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zh-CN"/>
        </w:rPr>
        <w:id w:val="-849861974"/>
        <w:docPartObj>
          <w:docPartGallery w:val="Table of Contents"/>
          <w:docPartUnique/>
        </w:docPartObj>
      </w:sdtPr>
      <w:sdtContent>
        <w:p w14:paraId="20DD8E1C" w14:textId="77777777" w:rsidR="006D1C3F" w:rsidRDefault="00000000">
          <w:pPr>
            <w:jc w:val="center"/>
            <w:rPr>
              <w:rFonts w:cstheme="minorBidi"/>
              <w:b w:val="0"/>
              <w:bCs w:val="0"/>
            </w:rPr>
          </w:pPr>
          <w:r>
            <w:rPr>
              <w:rFonts w:eastAsiaTheme="minorEastAsia" w:hint="eastAsia"/>
              <w:szCs w:val="20"/>
            </w:rPr>
            <w:t>Additional File</w:t>
          </w:r>
        </w:p>
        <w:p w14:paraId="25C8435A" w14:textId="2C3BA0B5" w:rsidR="002928E5" w:rsidRPr="002928E5" w:rsidRDefault="00000000">
          <w:pPr>
            <w:pStyle w:val="TOC1"/>
            <w:rPr>
              <w:rFonts w:asciiTheme="minorHAnsi" w:eastAsiaTheme="minorEastAsia" w:hAnsiTheme="minorHAnsi" w:cstheme="minorBidi" w:hint="eastAsia"/>
              <w:b w:val="0"/>
              <w:bCs w:val="0"/>
              <w:noProof/>
              <w:sz w:val="21"/>
              <w:szCs w:val="22"/>
              <w14:ligatures w14:val="standardContextual"/>
            </w:rPr>
          </w:pPr>
          <w:r w:rsidRPr="002928E5">
            <w:rPr>
              <w:b w:val="0"/>
              <w:bCs w:val="0"/>
              <w:sz w:val="18"/>
              <w:szCs w:val="22"/>
            </w:rPr>
            <w:fldChar w:fldCharType="begin"/>
          </w:r>
          <w:r w:rsidRPr="002928E5">
            <w:rPr>
              <w:b w:val="0"/>
              <w:bCs w:val="0"/>
              <w:sz w:val="18"/>
              <w:szCs w:val="22"/>
            </w:rPr>
            <w:instrText xml:space="preserve"> TOC \o "1-3" \h \z \u </w:instrText>
          </w:r>
          <w:r w:rsidRPr="002928E5">
            <w:rPr>
              <w:b w:val="0"/>
              <w:bCs w:val="0"/>
              <w:sz w:val="18"/>
              <w:szCs w:val="22"/>
            </w:rPr>
            <w:fldChar w:fldCharType="separate"/>
          </w:r>
          <w:hyperlink w:anchor="_Toc225844800" w:history="1">
            <w:r w:rsidR="002928E5" w:rsidRPr="002928E5">
              <w:rPr>
                <w:rStyle w:val="ad"/>
                <w:rFonts w:eastAsia="Times New Roman" w:hint="eastAsia"/>
                <w:b w:val="0"/>
                <w:bCs w:val="0"/>
                <w:noProof/>
                <w:kern w:val="44"/>
                <w:sz w:val="18"/>
                <w:szCs w:val="22"/>
              </w:rPr>
              <w:t xml:space="preserve">1 </w:t>
            </w:r>
            <w:r w:rsidR="002928E5" w:rsidRPr="002928E5">
              <w:rPr>
                <w:rStyle w:val="ad"/>
                <w:rFonts w:hint="eastAsia"/>
                <w:b w:val="0"/>
                <w:bCs w:val="0"/>
                <w:noProof/>
                <w:kern w:val="44"/>
                <w:sz w:val="18"/>
                <w:szCs w:val="22"/>
              </w:rPr>
              <w:t>e</w:t>
            </w:r>
            <w:r w:rsidR="002928E5" w:rsidRPr="002928E5">
              <w:rPr>
                <w:rStyle w:val="ad"/>
                <w:rFonts w:eastAsia="Times New Roman" w:hint="eastAsia"/>
                <w:b w:val="0"/>
                <w:bCs w:val="0"/>
                <w:noProof/>
                <w:kern w:val="44"/>
                <w:sz w:val="18"/>
                <w:szCs w:val="22"/>
              </w:rPr>
              <w:t>Method</w:t>
            </w:r>
            <w:r w:rsidR="002928E5" w:rsidRPr="002928E5">
              <w:rPr>
                <w:rStyle w:val="ad"/>
                <w:rFonts w:hint="eastAsia"/>
                <w:b w:val="0"/>
                <w:bCs w:val="0"/>
                <w:noProof/>
                <w:kern w:val="44"/>
                <w:sz w:val="18"/>
                <w:szCs w:val="22"/>
              </w:rPr>
              <w:t xml:space="preserve"> </w:t>
            </w:r>
            <w:r w:rsidR="002928E5" w:rsidRPr="002928E5">
              <w:rPr>
                <w:rStyle w:val="ad"/>
                <w:rFonts w:eastAsia="Times New Roman" w:hint="eastAsia"/>
                <w:b w:val="0"/>
                <w:bCs w:val="0"/>
                <w:noProof/>
                <w:kern w:val="44"/>
                <w:sz w:val="18"/>
                <w:szCs w:val="22"/>
              </w:rPr>
              <w:t>RCT Search Strategy</w:t>
            </w:r>
            <w:r w:rsidR="002928E5" w:rsidRPr="002928E5">
              <w:rPr>
                <w:rFonts w:hint="eastAsia"/>
                <w:b w:val="0"/>
                <w:bCs w:val="0"/>
                <w:noProof/>
                <w:webHidden/>
                <w:sz w:val="18"/>
                <w:szCs w:val="22"/>
              </w:rPr>
              <w:tab/>
            </w:r>
            <w:r w:rsidR="002928E5" w:rsidRPr="002928E5">
              <w:rPr>
                <w:rFonts w:hint="eastAsia"/>
                <w:b w:val="0"/>
                <w:bCs w:val="0"/>
                <w:noProof/>
                <w:webHidden/>
                <w:sz w:val="18"/>
                <w:szCs w:val="22"/>
              </w:rPr>
              <w:fldChar w:fldCharType="begin"/>
            </w:r>
            <w:r w:rsidR="002928E5" w:rsidRPr="002928E5">
              <w:rPr>
                <w:rFonts w:hint="eastAsia"/>
                <w:b w:val="0"/>
                <w:bCs w:val="0"/>
                <w:noProof/>
                <w:webHidden/>
                <w:sz w:val="18"/>
                <w:szCs w:val="22"/>
              </w:rPr>
              <w:instrText xml:space="preserve"> </w:instrText>
            </w:r>
            <w:r w:rsidR="002928E5" w:rsidRPr="002928E5">
              <w:rPr>
                <w:b w:val="0"/>
                <w:bCs w:val="0"/>
                <w:noProof/>
                <w:webHidden/>
                <w:sz w:val="18"/>
                <w:szCs w:val="22"/>
              </w:rPr>
              <w:instrText>PAGEREF _Toc225844800 \h</w:instrText>
            </w:r>
            <w:r w:rsidR="002928E5" w:rsidRPr="002928E5">
              <w:rPr>
                <w:rFonts w:hint="eastAsia"/>
                <w:b w:val="0"/>
                <w:bCs w:val="0"/>
                <w:noProof/>
                <w:webHidden/>
                <w:sz w:val="18"/>
                <w:szCs w:val="22"/>
              </w:rPr>
              <w:instrText xml:space="preserve"> </w:instrText>
            </w:r>
            <w:r w:rsidR="002928E5" w:rsidRPr="002928E5">
              <w:rPr>
                <w:rFonts w:hint="eastAsia"/>
                <w:b w:val="0"/>
                <w:bCs w:val="0"/>
                <w:noProof/>
                <w:webHidden/>
                <w:sz w:val="18"/>
                <w:szCs w:val="22"/>
              </w:rPr>
            </w:r>
            <w:r w:rsidR="002928E5" w:rsidRPr="002928E5">
              <w:rPr>
                <w:rFonts w:hint="eastAsia"/>
                <w:b w:val="0"/>
                <w:bCs w:val="0"/>
                <w:noProof/>
                <w:webHidden/>
                <w:sz w:val="18"/>
                <w:szCs w:val="22"/>
              </w:rPr>
              <w:fldChar w:fldCharType="separate"/>
            </w:r>
            <w:r w:rsidR="002928E5" w:rsidRPr="002928E5">
              <w:rPr>
                <w:b w:val="0"/>
                <w:bCs w:val="0"/>
                <w:noProof/>
                <w:webHidden/>
                <w:sz w:val="18"/>
                <w:szCs w:val="22"/>
              </w:rPr>
              <w:t>2</w:t>
            </w:r>
            <w:r w:rsidR="002928E5" w:rsidRPr="002928E5">
              <w:rPr>
                <w:rFonts w:hint="eastAsia"/>
                <w:b w:val="0"/>
                <w:bCs w:val="0"/>
                <w:noProof/>
                <w:webHidden/>
                <w:sz w:val="18"/>
                <w:szCs w:val="22"/>
              </w:rPr>
              <w:fldChar w:fldCharType="end"/>
            </w:r>
          </w:hyperlink>
        </w:p>
        <w:p w14:paraId="0ECCA1B3" w14:textId="06423CE5"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01" w:history="1">
            <w:r w:rsidRPr="002928E5">
              <w:rPr>
                <w:rStyle w:val="ad"/>
                <w:rFonts w:hint="eastAsia"/>
                <w:b w:val="0"/>
                <w:bCs w:val="0"/>
                <w:noProof/>
                <w:kern w:val="44"/>
                <w:sz w:val="18"/>
                <w:szCs w:val="22"/>
              </w:rPr>
              <w:t xml:space="preserve">2 eMethod </w:t>
            </w:r>
            <w:r w:rsidRPr="002928E5">
              <w:rPr>
                <w:rStyle w:val="ad"/>
                <w:rFonts w:eastAsia="Times New Roman" w:hint="eastAsia"/>
                <w:b w:val="0"/>
                <w:bCs w:val="0"/>
                <w:noProof/>
                <w:kern w:val="44"/>
                <w:sz w:val="18"/>
                <w:szCs w:val="22"/>
              </w:rPr>
              <w:t>Physician Preference Search Strategy</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_Toc225844801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4</w:t>
            </w:r>
            <w:r w:rsidRPr="002928E5">
              <w:rPr>
                <w:rFonts w:hint="eastAsia"/>
                <w:b w:val="0"/>
                <w:bCs w:val="0"/>
                <w:noProof/>
                <w:webHidden/>
                <w:sz w:val="18"/>
                <w:szCs w:val="22"/>
              </w:rPr>
              <w:fldChar w:fldCharType="end"/>
            </w:r>
          </w:hyperlink>
        </w:p>
        <w:p w14:paraId="5B6406E0" w14:textId="0CB5240D"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02" w:history="1">
            <w:r w:rsidRPr="002928E5">
              <w:rPr>
                <w:rStyle w:val="ad"/>
                <w:rFonts w:hint="eastAsia"/>
                <w:b w:val="0"/>
                <w:bCs w:val="0"/>
                <w:noProof/>
                <w:kern w:val="44"/>
                <w:sz w:val="18"/>
                <w:szCs w:val="22"/>
              </w:rPr>
              <w:t xml:space="preserve">3 eMethod </w:t>
            </w:r>
            <w:r w:rsidRPr="002928E5">
              <w:rPr>
                <w:rStyle w:val="ad"/>
                <w:rFonts w:eastAsia="Times New Roman" w:hint="eastAsia"/>
                <w:b w:val="0"/>
                <w:bCs w:val="0"/>
                <w:noProof/>
                <w:kern w:val="44"/>
                <w:sz w:val="18"/>
                <w:szCs w:val="22"/>
              </w:rPr>
              <w:t>Periodic Transition Probability</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_Toc225844802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5</w:t>
            </w:r>
            <w:r w:rsidRPr="002928E5">
              <w:rPr>
                <w:rFonts w:hint="eastAsia"/>
                <w:b w:val="0"/>
                <w:bCs w:val="0"/>
                <w:noProof/>
                <w:webHidden/>
                <w:sz w:val="18"/>
                <w:szCs w:val="22"/>
              </w:rPr>
              <w:fldChar w:fldCharType="end"/>
            </w:r>
          </w:hyperlink>
        </w:p>
        <w:p w14:paraId="276897B8" w14:textId="2F75F594"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03" w:history="1">
            <w:r w:rsidRPr="002928E5">
              <w:rPr>
                <w:rStyle w:val="ad"/>
                <w:rFonts w:hint="eastAsia"/>
                <w:b w:val="0"/>
                <w:bCs w:val="0"/>
                <w:noProof/>
                <w:kern w:val="44"/>
                <w:sz w:val="18"/>
                <w:szCs w:val="22"/>
              </w:rPr>
              <w:t>4 eMethod Probabilistic sensitivity analysis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_Toc225844803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7</w:t>
            </w:r>
            <w:r w:rsidRPr="002928E5">
              <w:rPr>
                <w:rFonts w:hint="eastAsia"/>
                <w:b w:val="0"/>
                <w:bCs w:val="0"/>
                <w:noProof/>
                <w:webHidden/>
                <w:sz w:val="18"/>
                <w:szCs w:val="22"/>
              </w:rPr>
              <w:fldChar w:fldCharType="end"/>
            </w:r>
          </w:hyperlink>
        </w:p>
        <w:p w14:paraId="7291273C" w14:textId="4BA2D3CB"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04" w:history="1">
            <w:r w:rsidRPr="002928E5">
              <w:rPr>
                <w:rStyle w:val="ad"/>
                <w:rFonts w:hint="eastAsia"/>
                <w:b w:val="0"/>
                <w:bCs w:val="0"/>
                <w:noProof/>
                <w:kern w:val="44"/>
                <w:sz w:val="18"/>
                <w:szCs w:val="22"/>
              </w:rPr>
              <w:t>5 eMethod Calculation and Standardization of the Physician Preference Weighting System</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_Toc225844804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8</w:t>
            </w:r>
            <w:r w:rsidRPr="002928E5">
              <w:rPr>
                <w:rFonts w:hint="eastAsia"/>
                <w:b w:val="0"/>
                <w:bCs w:val="0"/>
                <w:noProof/>
                <w:webHidden/>
                <w:sz w:val="18"/>
                <w:szCs w:val="22"/>
              </w:rPr>
              <w:fldChar w:fldCharType="end"/>
            </w:r>
          </w:hyperlink>
        </w:p>
        <w:p w14:paraId="459B2E3F" w14:textId="6E196CBF"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05" w:history="1">
            <w:r w:rsidRPr="002928E5">
              <w:rPr>
                <w:rStyle w:val="ad"/>
                <w:rFonts w:eastAsia="Times New Roman" w:hint="eastAsia"/>
                <w:b w:val="0"/>
                <w:bCs w:val="0"/>
                <w:noProof/>
                <w:kern w:val="44"/>
                <w:sz w:val="18"/>
                <w:szCs w:val="22"/>
              </w:rPr>
              <w:t>Table S1 Baseline characteristics of included RCT</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_Toc225844805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9</w:t>
            </w:r>
            <w:r w:rsidRPr="002928E5">
              <w:rPr>
                <w:rFonts w:hint="eastAsia"/>
                <w:b w:val="0"/>
                <w:bCs w:val="0"/>
                <w:noProof/>
                <w:webHidden/>
                <w:sz w:val="18"/>
                <w:szCs w:val="22"/>
              </w:rPr>
              <w:fldChar w:fldCharType="end"/>
            </w:r>
          </w:hyperlink>
        </w:p>
        <w:p w14:paraId="6D49EDB1" w14:textId="6D0A7597"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06" w:history="1">
            <w:r w:rsidRPr="002928E5">
              <w:rPr>
                <w:rStyle w:val="ad"/>
                <w:rFonts w:eastAsia="Times New Roman" w:hint="eastAsia"/>
                <w:b w:val="0"/>
                <w:bCs w:val="0"/>
                <w:noProof/>
                <w:kern w:val="44"/>
                <w:sz w:val="18"/>
                <w:szCs w:val="22"/>
              </w:rPr>
              <w:t>Table S2 Baseline characteristics of Patients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_Toc225844806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15</w:t>
            </w:r>
            <w:r w:rsidRPr="002928E5">
              <w:rPr>
                <w:rFonts w:hint="eastAsia"/>
                <w:b w:val="0"/>
                <w:bCs w:val="0"/>
                <w:noProof/>
                <w:webHidden/>
                <w:sz w:val="18"/>
                <w:szCs w:val="22"/>
              </w:rPr>
              <w:fldChar w:fldCharType="end"/>
            </w:r>
          </w:hyperlink>
        </w:p>
        <w:p w14:paraId="48309217" w14:textId="5DC5F5ED"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07" w:history="1">
            <w:r w:rsidRPr="002928E5">
              <w:rPr>
                <w:rStyle w:val="ad"/>
                <w:rFonts w:eastAsia="Times New Roman" w:hint="eastAsia"/>
                <w:b w:val="0"/>
                <w:bCs w:val="0"/>
                <w:noProof/>
                <w:kern w:val="44"/>
                <w:sz w:val="18"/>
                <w:szCs w:val="22"/>
              </w:rPr>
              <w:t xml:space="preserve">Table S3 </w:t>
            </w:r>
            <w:r w:rsidRPr="002928E5">
              <w:rPr>
                <w:rStyle w:val="ad"/>
                <w:rFonts w:eastAsia="Times New Roman"/>
                <w:b w:val="0"/>
                <w:bCs w:val="0"/>
                <w:noProof/>
                <w:kern w:val="44"/>
                <w:sz w:val="18"/>
                <w:szCs w:val="22"/>
              </w:rPr>
              <w:t>Utility Values for Adverse Reactions​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_Toc225844807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19</w:t>
            </w:r>
            <w:r w:rsidRPr="002928E5">
              <w:rPr>
                <w:rFonts w:hint="eastAsia"/>
                <w:b w:val="0"/>
                <w:bCs w:val="0"/>
                <w:noProof/>
                <w:webHidden/>
                <w:sz w:val="18"/>
                <w:szCs w:val="22"/>
              </w:rPr>
              <w:fldChar w:fldCharType="end"/>
            </w:r>
          </w:hyperlink>
        </w:p>
        <w:p w14:paraId="0A6160B0" w14:textId="3E00EAC7"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08" w:history="1">
            <w:r w:rsidRPr="002928E5">
              <w:rPr>
                <w:rStyle w:val="ad"/>
                <w:rFonts w:eastAsia="Times New Roman" w:hint="eastAsia"/>
                <w:b w:val="0"/>
                <w:bCs w:val="0"/>
                <w:noProof/>
                <w:kern w:val="44"/>
                <w:sz w:val="18"/>
                <w:szCs w:val="22"/>
              </w:rPr>
              <w:t>Table S4 Drug Prices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_Toc225844808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21</w:t>
            </w:r>
            <w:r w:rsidRPr="002928E5">
              <w:rPr>
                <w:rFonts w:hint="eastAsia"/>
                <w:b w:val="0"/>
                <w:bCs w:val="0"/>
                <w:noProof/>
                <w:webHidden/>
                <w:sz w:val="18"/>
                <w:szCs w:val="22"/>
              </w:rPr>
              <w:fldChar w:fldCharType="end"/>
            </w:r>
          </w:hyperlink>
        </w:p>
        <w:p w14:paraId="54C6FBBB" w14:textId="40ADFEDC"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09" w:history="1">
            <w:r w:rsidRPr="002928E5">
              <w:rPr>
                <w:rStyle w:val="ad"/>
                <w:rFonts w:eastAsia="Times New Roman" w:hint="eastAsia"/>
                <w:b w:val="0"/>
                <w:bCs w:val="0"/>
                <w:noProof/>
                <w:kern w:val="44"/>
                <w:sz w:val="18"/>
                <w:szCs w:val="22"/>
              </w:rPr>
              <w:t>Table S</w:t>
            </w:r>
            <w:r w:rsidRPr="002928E5">
              <w:rPr>
                <w:rStyle w:val="ad"/>
                <w:rFonts w:hint="eastAsia"/>
                <w:b w:val="0"/>
                <w:bCs w:val="0"/>
                <w:noProof/>
                <w:kern w:val="44"/>
                <w:sz w:val="18"/>
                <w:szCs w:val="22"/>
              </w:rPr>
              <w:t>5</w:t>
            </w:r>
            <w:r w:rsidRPr="002928E5">
              <w:rPr>
                <w:rStyle w:val="ad"/>
                <w:rFonts w:eastAsia="Times New Roman" w:hint="eastAsia"/>
                <w:b w:val="0"/>
                <w:bCs w:val="0"/>
                <w:noProof/>
                <w:kern w:val="44"/>
                <w:sz w:val="18"/>
                <w:szCs w:val="22"/>
              </w:rPr>
              <w:t xml:space="preserve"> </w:t>
            </w:r>
            <w:r w:rsidRPr="002928E5">
              <w:rPr>
                <w:rStyle w:val="ad"/>
                <w:rFonts w:eastAsia="Times New Roman"/>
                <w:b w:val="0"/>
                <w:bCs w:val="0"/>
                <w:noProof/>
                <w:kern w:val="44"/>
                <w:sz w:val="18"/>
                <w:szCs w:val="22"/>
              </w:rPr>
              <w:t>Costs of Adverse Reactions​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_Toc225844809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22</w:t>
            </w:r>
            <w:r w:rsidRPr="002928E5">
              <w:rPr>
                <w:rFonts w:hint="eastAsia"/>
                <w:b w:val="0"/>
                <w:bCs w:val="0"/>
                <w:noProof/>
                <w:webHidden/>
                <w:sz w:val="18"/>
                <w:szCs w:val="22"/>
              </w:rPr>
              <w:fldChar w:fldCharType="end"/>
            </w:r>
          </w:hyperlink>
        </w:p>
        <w:p w14:paraId="70B40CD2" w14:textId="07170418"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0" w:history="1">
            <w:r w:rsidRPr="002928E5">
              <w:rPr>
                <w:rStyle w:val="ad"/>
                <w:rFonts w:eastAsia="Times New Roman" w:hint="eastAsia"/>
                <w:b w:val="0"/>
                <w:bCs w:val="0"/>
                <w:noProof/>
                <w:kern w:val="44"/>
                <w:sz w:val="18"/>
                <w:szCs w:val="22"/>
              </w:rPr>
              <w:t>Table S</w:t>
            </w:r>
            <w:r w:rsidRPr="002928E5">
              <w:rPr>
                <w:rStyle w:val="ad"/>
                <w:rFonts w:hint="eastAsia"/>
                <w:b w:val="0"/>
                <w:bCs w:val="0"/>
                <w:noProof/>
                <w:kern w:val="44"/>
                <w:sz w:val="18"/>
                <w:szCs w:val="22"/>
              </w:rPr>
              <w:t>6</w:t>
            </w:r>
            <w:r w:rsidRPr="002928E5">
              <w:rPr>
                <w:rStyle w:val="ad"/>
                <w:rFonts w:eastAsia="Times New Roman" w:hint="eastAsia"/>
                <w:b w:val="0"/>
                <w:bCs w:val="0"/>
                <w:noProof/>
                <w:kern w:val="44"/>
                <w:sz w:val="18"/>
                <w:szCs w:val="22"/>
              </w:rPr>
              <w:t xml:space="preserve"> Results of Total Costs, QALY</w:t>
            </w:r>
            <w:r w:rsidRPr="002928E5">
              <w:rPr>
                <w:rStyle w:val="ad"/>
                <w:rFonts w:hint="eastAsia"/>
                <w:b w:val="0"/>
                <w:bCs w:val="0"/>
                <w:noProof/>
                <w:kern w:val="44"/>
                <w:sz w:val="18"/>
                <w:szCs w:val="22"/>
              </w:rPr>
              <w:t xml:space="preserve"> </w:t>
            </w:r>
            <w:r w:rsidRPr="002928E5">
              <w:rPr>
                <w:rStyle w:val="ad"/>
                <w:rFonts w:eastAsia="Times New Roman" w:hint="eastAsia"/>
                <w:b w:val="0"/>
                <w:bCs w:val="0"/>
                <w:noProof/>
                <w:kern w:val="44"/>
                <w:sz w:val="18"/>
                <w:szCs w:val="22"/>
              </w:rPr>
              <w:t>and NMB for Sequential Pathways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_Toc225844810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23</w:t>
            </w:r>
            <w:r w:rsidRPr="002928E5">
              <w:rPr>
                <w:rFonts w:hint="eastAsia"/>
                <w:b w:val="0"/>
                <w:bCs w:val="0"/>
                <w:noProof/>
                <w:webHidden/>
                <w:sz w:val="18"/>
                <w:szCs w:val="22"/>
              </w:rPr>
              <w:fldChar w:fldCharType="end"/>
            </w:r>
          </w:hyperlink>
        </w:p>
        <w:p w14:paraId="465CD6F7" w14:textId="65345C82"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1" w:history="1">
            <w:r w:rsidRPr="002928E5">
              <w:rPr>
                <w:rStyle w:val="ad"/>
                <w:rFonts w:eastAsia="Times New Roman" w:hint="eastAsia"/>
                <w:b w:val="0"/>
                <w:bCs w:val="0"/>
                <w:noProof/>
                <w:kern w:val="44"/>
                <w:sz w:val="18"/>
                <w:szCs w:val="22"/>
              </w:rPr>
              <w:t>Table S</w:t>
            </w:r>
            <w:r w:rsidRPr="002928E5">
              <w:rPr>
                <w:rStyle w:val="ad"/>
                <w:rFonts w:hint="eastAsia"/>
                <w:b w:val="0"/>
                <w:bCs w:val="0"/>
                <w:noProof/>
                <w:kern w:val="44"/>
                <w:sz w:val="18"/>
                <w:szCs w:val="22"/>
              </w:rPr>
              <w:t>7</w:t>
            </w:r>
            <w:r w:rsidRPr="002928E5">
              <w:rPr>
                <w:rStyle w:val="ad"/>
                <w:rFonts w:eastAsia="Times New Roman" w:hint="eastAsia"/>
                <w:b w:val="0"/>
                <w:bCs w:val="0"/>
                <w:noProof/>
                <w:kern w:val="44"/>
                <w:sz w:val="18"/>
                <w:szCs w:val="22"/>
              </w:rPr>
              <w:t xml:space="preserve"> Pooled Survival Data: Results from MetaSurv methodology</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_Toc225844811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25</w:t>
            </w:r>
            <w:r w:rsidRPr="002928E5">
              <w:rPr>
                <w:rFonts w:hint="eastAsia"/>
                <w:b w:val="0"/>
                <w:bCs w:val="0"/>
                <w:noProof/>
                <w:webHidden/>
                <w:sz w:val="18"/>
                <w:szCs w:val="22"/>
              </w:rPr>
              <w:fldChar w:fldCharType="end"/>
            </w:r>
          </w:hyperlink>
        </w:p>
        <w:p w14:paraId="72AF932D" w14:textId="076B58B6"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2" w:history="1">
            <w:r w:rsidRPr="002928E5">
              <w:rPr>
                <w:rStyle w:val="ad"/>
                <w:rFonts w:eastAsia="Times New Roman" w:hint="eastAsia"/>
                <w:b w:val="0"/>
                <w:bCs w:val="0"/>
                <w:noProof/>
                <w:kern w:val="44"/>
                <w:sz w:val="18"/>
                <w:szCs w:val="22"/>
              </w:rPr>
              <w:t>Table S</w:t>
            </w:r>
            <w:r w:rsidRPr="002928E5">
              <w:rPr>
                <w:rStyle w:val="ad"/>
                <w:rFonts w:hint="eastAsia"/>
                <w:b w:val="0"/>
                <w:bCs w:val="0"/>
                <w:noProof/>
                <w:kern w:val="44"/>
                <w:sz w:val="18"/>
                <w:szCs w:val="22"/>
              </w:rPr>
              <w:t>8</w:t>
            </w:r>
            <w:r w:rsidRPr="002928E5">
              <w:rPr>
                <w:rStyle w:val="ad"/>
                <w:rFonts w:eastAsia="Times New Roman" w:hint="eastAsia"/>
                <w:b w:val="0"/>
                <w:bCs w:val="0"/>
                <w:noProof/>
                <w:kern w:val="44"/>
                <w:sz w:val="18"/>
                <w:szCs w:val="22"/>
              </w:rPr>
              <w:t xml:space="preserve"> Parametric Fitting Effects of Survival Curves Across Treatment Regimens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_Toc225844812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28</w:t>
            </w:r>
            <w:r w:rsidRPr="002928E5">
              <w:rPr>
                <w:rFonts w:hint="eastAsia"/>
                <w:b w:val="0"/>
                <w:bCs w:val="0"/>
                <w:noProof/>
                <w:webHidden/>
                <w:sz w:val="18"/>
                <w:szCs w:val="22"/>
              </w:rPr>
              <w:fldChar w:fldCharType="end"/>
            </w:r>
          </w:hyperlink>
        </w:p>
        <w:p w14:paraId="54AE1032" w14:textId="20BCFE77"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3" w:history="1">
            <w:r w:rsidRPr="002928E5">
              <w:rPr>
                <w:rStyle w:val="ad"/>
                <w:rFonts w:eastAsia="Times New Roman" w:hint="eastAsia"/>
                <w:b w:val="0"/>
                <w:bCs w:val="0"/>
                <w:noProof/>
                <w:kern w:val="44"/>
                <w:sz w:val="18"/>
                <w:szCs w:val="22"/>
              </w:rPr>
              <w:t>Table S9 Physician Preferences for treatment of NSCLC: Adjusted Preference Weight Version</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_Toc225844813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32</w:t>
            </w:r>
            <w:r w:rsidRPr="002928E5">
              <w:rPr>
                <w:rFonts w:hint="eastAsia"/>
                <w:b w:val="0"/>
                <w:bCs w:val="0"/>
                <w:noProof/>
                <w:webHidden/>
                <w:sz w:val="18"/>
                <w:szCs w:val="22"/>
              </w:rPr>
              <w:fldChar w:fldCharType="end"/>
            </w:r>
          </w:hyperlink>
        </w:p>
        <w:p w14:paraId="34B028E7" w14:textId="3DA32D0B"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4" w:history="1">
            <w:r w:rsidRPr="002928E5">
              <w:rPr>
                <w:rStyle w:val="ad"/>
                <w:rFonts w:eastAsia="Times New Roman" w:hint="eastAsia"/>
                <w:b w:val="0"/>
                <w:bCs w:val="0"/>
                <w:noProof/>
                <w:kern w:val="44"/>
                <w:sz w:val="18"/>
                <w:szCs w:val="22"/>
              </w:rPr>
              <w:t>Table S</w:t>
            </w:r>
            <w:r w:rsidRPr="002928E5">
              <w:rPr>
                <w:rStyle w:val="ad"/>
                <w:rFonts w:hint="eastAsia"/>
                <w:b w:val="0"/>
                <w:bCs w:val="0"/>
                <w:noProof/>
                <w:kern w:val="44"/>
                <w:sz w:val="18"/>
                <w:szCs w:val="22"/>
              </w:rPr>
              <w:t>10</w:t>
            </w:r>
            <w:r w:rsidRPr="002928E5">
              <w:rPr>
                <w:rStyle w:val="ad"/>
                <w:rFonts w:eastAsia="Times New Roman" w:hint="eastAsia"/>
                <w:b w:val="0"/>
                <w:bCs w:val="0"/>
                <w:noProof/>
                <w:kern w:val="44"/>
                <w:sz w:val="18"/>
                <w:szCs w:val="22"/>
              </w:rPr>
              <w:t xml:space="preserve"> Normalized Performance Metrics and Selection Probabilities Under Physician Preferences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_Toc225844814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33</w:t>
            </w:r>
            <w:r w:rsidRPr="002928E5">
              <w:rPr>
                <w:rFonts w:hint="eastAsia"/>
                <w:b w:val="0"/>
                <w:bCs w:val="0"/>
                <w:noProof/>
                <w:webHidden/>
                <w:sz w:val="18"/>
                <w:szCs w:val="22"/>
              </w:rPr>
              <w:fldChar w:fldCharType="end"/>
            </w:r>
          </w:hyperlink>
        </w:p>
        <w:p w14:paraId="651DFE7B" w14:textId="070F9681"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5" w:history="1">
            <w:r w:rsidRPr="002928E5">
              <w:rPr>
                <w:rStyle w:val="ad"/>
                <w:rFonts w:eastAsia="Times New Roman" w:hint="eastAsia"/>
                <w:b w:val="0"/>
                <w:bCs w:val="0"/>
                <w:noProof/>
                <w:kern w:val="44"/>
                <w:sz w:val="18"/>
                <w:szCs w:val="22"/>
              </w:rPr>
              <w:t>Table S11 Normalized Performance Metrics and Selection Probabilities Under Patient Preferences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_Toc225844815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35</w:t>
            </w:r>
            <w:r w:rsidRPr="002928E5">
              <w:rPr>
                <w:rFonts w:hint="eastAsia"/>
                <w:b w:val="0"/>
                <w:bCs w:val="0"/>
                <w:noProof/>
                <w:webHidden/>
                <w:sz w:val="18"/>
                <w:szCs w:val="22"/>
              </w:rPr>
              <w:fldChar w:fldCharType="end"/>
            </w:r>
          </w:hyperlink>
        </w:p>
        <w:p w14:paraId="4AB8A959" w14:textId="2D5D8F7D"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6" w:history="1">
            <w:r w:rsidRPr="002928E5">
              <w:rPr>
                <w:rStyle w:val="ad"/>
                <w:rFonts w:eastAsia="Times New Roman" w:hint="eastAsia"/>
                <w:b w:val="0"/>
                <w:bCs w:val="0"/>
                <w:noProof/>
                <w:kern w:val="44"/>
                <w:sz w:val="18"/>
                <w:szCs w:val="22"/>
              </w:rPr>
              <w:t>Table S12 Incremental Cost-Effectiveness Ratios (ICERs) for Selected Sequential Strategies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_Toc225844816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37</w:t>
            </w:r>
            <w:r w:rsidRPr="002928E5">
              <w:rPr>
                <w:rFonts w:hint="eastAsia"/>
                <w:b w:val="0"/>
                <w:bCs w:val="0"/>
                <w:noProof/>
                <w:webHidden/>
                <w:sz w:val="18"/>
                <w:szCs w:val="22"/>
              </w:rPr>
              <w:fldChar w:fldCharType="end"/>
            </w:r>
          </w:hyperlink>
        </w:p>
        <w:p w14:paraId="29458E0E" w14:textId="02D08950"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7" w:history="1">
            <w:r w:rsidRPr="002928E5">
              <w:rPr>
                <w:rStyle w:val="ad"/>
                <w:rFonts w:eastAsia="Times New Roman" w:hint="eastAsia"/>
                <w:b w:val="0"/>
                <w:bCs w:val="0"/>
                <w:noProof/>
                <w:kern w:val="44"/>
                <w:sz w:val="18"/>
                <w:szCs w:val="22"/>
              </w:rPr>
              <w:t>Table S1</w:t>
            </w:r>
            <w:r w:rsidRPr="002928E5">
              <w:rPr>
                <w:rStyle w:val="ad"/>
                <w:rFonts w:asciiTheme="minorEastAsia" w:hAnsiTheme="minorEastAsia" w:hint="eastAsia"/>
                <w:b w:val="0"/>
                <w:bCs w:val="0"/>
                <w:noProof/>
                <w:kern w:val="44"/>
                <w:sz w:val="18"/>
                <w:szCs w:val="22"/>
              </w:rPr>
              <w:t>3</w:t>
            </w:r>
            <w:r w:rsidRPr="002928E5">
              <w:rPr>
                <w:rStyle w:val="ad"/>
                <w:rFonts w:eastAsia="Times New Roman" w:hint="eastAsia"/>
                <w:b w:val="0"/>
                <w:bCs w:val="0"/>
                <w:noProof/>
                <w:kern w:val="44"/>
                <w:sz w:val="18"/>
                <w:szCs w:val="22"/>
              </w:rPr>
              <w:t xml:space="preserve"> Scenario Analysis on Extrapolation Methods for Key Sequential Strategies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_Toc225844817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38</w:t>
            </w:r>
            <w:r w:rsidRPr="002928E5">
              <w:rPr>
                <w:rFonts w:hint="eastAsia"/>
                <w:b w:val="0"/>
                <w:bCs w:val="0"/>
                <w:noProof/>
                <w:webHidden/>
                <w:sz w:val="18"/>
                <w:szCs w:val="22"/>
              </w:rPr>
              <w:fldChar w:fldCharType="end"/>
            </w:r>
          </w:hyperlink>
        </w:p>
        <w:p w14:paraId="6C6776F1" w14:textId="7E1D0C2F"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8" w:history="1">
            <w:r w:rsidRPr="002928E5">
              <w:rPr>
                <w:rStyle w:val="ad"/>
                <w:rFonts w:eastAsia="Times New Roman" w:hint="eastAsia"/>
                <w:b w:val="0"/>
                <w:bCs w:val="0"/>
                <w:noProof/>
                <w:kern w:val="44"/>
                <w:sz w:val="18"/>
                <w:szCs w:val="22"/>
              </w:rPr>
              <w:t>Figure S1 Visualization and Evidence Synthesis for Treatment Strategies and Sequential Pathways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_Toc225844818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39</w:t>
            </w:r>
            <w:r w:rsidRPr="002928E5">
              <w:rPr>
                <w:rFonts w:hint="eastAsia"/>
                <w:b w:val="0"/>
                <w:bCs w:val="0"/>
                <w:noProof/>
                <w:webHidden/>
                <w:sz w:val="18"/>
                <w:szCs w:val="22"/>
              </w:rPr>
              <w:fldChar w:fldCharType="end"/>
            </w:r>
          </w:hyperlink>
        </w:p>
        <w:p w14:paraId="584ADCCE" w14:textId="55E83DBF"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19" w:history="1">
            <w:r w:rsidRPr="002928E5">
              <w:rPr>
                <w:rStyle w:val="ad"/>
                <w:rFonts w:eastAsia="Times New Roman" w:hint="eastAsia"/>
                <w:b w:val="0"/>
                <w:bCs w:val="0"/>
                <w:noProof/>
                <w:kern w:val="44"/>
                <w:sz w:val="18"/>
                <w:szCs w:val="22"/>
              </w:rPr>
              <w:t>Figure S</w:t>
            </w:r>
            <w:r w:rsidRPr="002928E5">
              <w:rPr>
                <w:rStyle w:val="ad"/>
                <w:rFonts w:asciiTheme="minorEastAsia" w:hAnsiTheme="minorEastAsia" w:hint="eastAsia"/>
                <w:b w:val="0"/>
                <w:bCs w:val="0"/>
                <w:noProof/>
                <w:kern w:val="44"/>
                <w:sz w:val="18"/>
                <w:szCs w:val="22"/>
              </w:rPr>
              <w:t>2</w:t>
            </w:r>
            <w:r w:rsidRPr="002928E5">
              <w:rPr>
                <w:rStyle w:val="ad"/>
                <w:rFonts w:eastAsia="Times New Roman" w:hint="eastAsia"/>
                <w:b w:val="0"/>
                <w:bCs w:val="0"/>
                <w:noProof/>
                <w:kern w:val="44"/>
                <w:sz w:val="18"/>
                <w:szCs w:val="22"/>
              </w:rPr>
              <w:t xml:space="preserve"> Modeled Relative Efficacy between Sequential Therapies Based on Survival Data</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_Toc225844819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40</w:t>
            </w:r>
            <w:r w:rsidRPr="002928E5">
              <w:rPr>
                <w:rFonts w:hint="eastAsia"/>
                <w:b w:val="0"/>
                <w:bCs w:val="0"/>
                <w:noProof/>
                <w:webHidden/>
                <w:sz w:val="18"/>
                <w:szCs w:val="22"/>
              </w:rPr>
              <w:fldChar w:fldCharType="end"/>
            </w:r>
          </w:hyperlink>
        </w:p>
        <w:p w14:paraId="4B05C259" w14:textId="10B34C40"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20" w:history="1">
            <w:r w:rsidRPr="002928E5">
              <w:rPr>
                <w:rStyle w:val="ad"/>
                <w:rFonts w:eastAsia="Times New Roman" w:hint="eastAsia"/>
                <w:b w:val="0"/>
                <w:bCs w:val="0"/>
                <w:noProof/>
                <w:kern w:val="44"/>
                <w:sz w:val="18"/>
                <w:szCs w:val="22"/>
              </w:rPr>
              <w:t>Figure S</w:t>
            </w:r>
            <w:r w:rsidRPr="002928E5">
              <w:rPr>
                <w:rStyle w:val="ad"/>
                <w:rFonts w:asciiTheme="minorEastAsia" w:hAnsiTheme="minorEastAsia" w:hint="eastAsia"/>
                <w:b w:val="0"/>
                <w:bCs w:val="0"/>
                <w:noProof/>
                <w:kern w:val="44"/>
                <w:sz w:val="18"/>
                <w:szCs w:val="22"/>
              </w:rPr>
              <w:t>3</w:t>
            </w:r>
            <w:r w:rsidRPr="002928E5">
              <w:rPr>
                <w:rStyle w:val="ad"/>
                <w:rFonts w:eastAsia="Times New Roman" w:hint="eastAsia"/>
                <w:b w:val="0"/>
                <w:bCs w:val="0"/>
                <w:noProof/>
                <w:kern w:val="44"/>
                <w:sz w:val="18"/>
                <w:szCs w:val="22"/>
              </w:rPr>
              <w:t xml:space="preserve"> Sequential Path</w:t>
            </w:r>
            <w:r w:rsidRPr="002928E5">
              <w:rPr>
                <w:rStyle w:val="ad"/>
                <w:rFonts w:hint="eastAsia"/>
                <w:b w:val="0"/>
                <w:bCs w:val="0"/>
                <w:noProof/>
                <w:kern w:val="44"/>
                <w:sz w:val="18"/>
                <w:szCs w:val="22"/>
              </w:rPr>
              <w:t>ways</w:t>
            </w:r>
            <w:r w:rsidRPr="002928E5">
              <w:rPr>
                <w:rStyle w:val="ad"/>
                <w:rFonts w:eastAsia="Times New Roman" w:hint="eastAsia"/>
                <w:b w:val="0"/>
                <w:bCs w:val="0"/>
                <w:noProof/>
                <w:kern w:val="44"/>
                <w:sz w:val="18"/>
                <w:szCs w:val="22"/>
              </w:rPr>
              <w:t xml:space="preserve"> Structure</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_Toc225844820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43</w:t>
            </w:r>
            <w:r w:rsidRPr="002928E5">
              <w:rPr>
                <w:rFonts w:hint="eastAsia"/>
                <w:b w:val="0"/>
                <w:bCs w:val="0"/>
                <w:noProof/>
                <w:webHidden/>
                <w:sz w:val="18"/>
                <w:szCs w:val="22"/>
              </w:rPr>
              <w:fldChar w:fldCharType="end"/>
            </w:r>
          </w:hyperlink>
        </w:p>
        <w:p w14:paraId="36FD9F4F" w14:textId="6F6E32C5" w:rsidR="002928E5" w:rsidRPr="002928E5" w:rsidRDefault="002928E5">
          <w:pPr>
            <w:pStyle w:val="TOC1"/>
            <w:rPr>
              <w:rFonts w:asciiTheme="minorHAnsi" w:eastAsiaTheme="minorEastAsia" w:hAnsiTheme="minorHAnsi" w:cstheme="minorBidi" w:hint="eastAsia"/>
              <w:b w:val="0"/>
              <w:bCs w:val="0"/>
              <w:noProof/>
              <w:sz w:val="21"/>
              <w:szCs w:val="22"/>
              <w14:ligatures w14:val="standardContextual"/>
            </w:rPr>
          </w:pPr>
          <w:hyperlink w:anchor="_Toc225844821" w:history="1">
            <w:r w:rsidRPr="002928E5">
              <w:rPr>
                <w:rStyle w:val="ad"/>
                <w:rFonts w:eastAsia="Times New Roman" w:hint="eastAsia"/>
                <w:b w:val="0"/>
                <w:bCs w:val="0"/>
                <w:noProof/>
                <w:kern w:val="44"/>
                <w:sz w:val="18"/>
                <w:szCs w:val="22"/>
              </w:rPr>
              <w:t>Figure S</w:t>
            </w:r>
            <w:r w:rsidRPr="002928E5">
              <w:rPr>
                <w:rStyle w:val="ad"/>
                <w:rFonts w:hint="eastAsia"/>
                <w:b w:val="0"/>
                <w:bCs w:val="0"/>
                <w:noProof/>
                <w:kern w:val="44"/>
                <w:sz w:val="18"/>
                <w:szCs w:val="22"/>
              </w:rPr>
              <w:t>4</w:t>
            </w:r>
            <w:r w:rsidRPr="002928E5">
              <w:rPr>
                <w:rStyle w:val="ad"/>
                <w:rFonts w:eastAsia="Times New Roman" w:hint="eastAsia"/>
                <w:b w:val="0"/>
                <w:bCs w:val="0"/>
                <w:noProof/>
                <w:kern w:val="44"/>
                <w:sz w:val="18"/>
                <w:szCs w:val="22"/>
              </w:rPr>
              <w:t xml:space="preserve"> Cost-Effectiveness Results</w:t>
            </w:r>
            <w:r w:rsidRPr="002928E5">
              <w:rPr>
                <w:rFonts w:hint="eastAsia"/>
                <w:b w:val="0"/>
                <w:bCs w:val="0"/>
                <w:noProof/>
                <w:webHidden/>
                <w:sz w:val="18"/>
                <w:szCs w:val="22"/>
              </w:rPr>
              <w:tab/>
            </w:r>
            <w:r w:rsidRPr="002928E5">
              <w:rPr>
                <w:rFonts w:hint="eastAsia"/>
                <w:b w:val="0"/>
                <w:bCs w:val="0"/>
                <w:noProof/>
                <w:webHidden/>
                <w:sz w:val="18"/>
                <w:szCs w:val="22"/>
              </w:rPr>
              <w:fldChar w:fldCharType="begin"/>
            </w:r>
            <w:r w:rsidRPr="002928E5">
              <w:rPr>
                <w:rFonts w:hint="eastAsia"/>
                <w:b w:val="0"/>
                <w:bCs w:val="0"/>
                <w:noProof/>
                <w:webHidden/>
                <w:sz w:val="18"/>
                <w:szCs w:val="22"/>
              </w:rPr>
              <w:instrText xml:space="preserve"> </w:instrText>
            </w:r>
            <w:r w:rsidRPr="002928E5">
              <w:rPr>
                <w:b w:val="0"/>
                <w:bCs w:val="0"/>
                <w:noProof/>
                <w:webHidden/>
                <w:sz w:val="18"/>
                <w:szCs w:val="22"/>
              </w:rPr>
              <w:instrText>PAGEREF _Toc225844821 \h</w:instrText>
            </w:r>
            <w:r w:rsidRPr="002928E5">
              <w:rPr>
                <w:rFonts w:hint="eastAsia"/>
                <w:b w:val="0"/>
                <w:bCs w:val="0"/>
                <w:noProof/>
                <w:webHidden/>
                <w:sz w:val="18"/>
                <w:szCs w:val="22"/>
              </w:rPr>
              <w:instrText xml:space="preserve"> </w:instrText>
            </w:r>
            <w:r w:rsidRPr="002928E5">
              <w:rPr>
                <w:rFonts w:hint="eastAsia"/>
                <w:b w:val="0"/>
                <w:bCs w:val="0"/>
                <w:noProof/>
                <w:webHidden/>
                <w:sz w:val="18"/>
                <w:szCs w:val="22"/>
              </w:rPr>
            </w:r>
            <w:r w:rsidRPr="002928E5">
              <w:rPr>
                <w:rFonts w:hint="eastAsia"/>
                <w:b w:val="0"/>
                <w:bCs w:val="0"/>
                <w:noProof/>
                <w:webHidden/>
                <w:sz w:val="18"/>
                <w:szCs w:val="22"/>
              </w:rPr>
              <w:fldChar w:fldCharType="separate"/>
            </w:r>
            <w:r w:rsidRPr="002928E5">
              <w:rPr>
                <w:b w:val="0"/>
                <w:bCs w:val="0"/>
                <w:noProof/>
                <w:webHidden/>
                <w:sz w:val="18"/>
                <w:szCs w:val="22"/>
              </w:rPr>
              <w:t>44</w:t>
            </w:r>
            <w:r w:rsidRPr="002928E5">
              <w:rPr>
                <w:rFonts w:hint="eastAsia"/>
                <w:b w:val="0"/>
                <w:bCs w:val="0"/>
                <w:noProof/>
                <w:webHidden/>
                <w:sz w:val="18"/>
                <w:szCs w:val="22"/>
              </w:rPr>
              <w:fldChar w:fldCharType="end"/>
            </w:r>
          </w:hyperlink>
        </w:p>
        <w:p w14:paraId="0D5BC46B" w14:textId="3AD55E69" w:rsidR="006D1C3F" w:rsidRDefault="00000000">
          <w:pPr>
            <w:ind w:firstLine="360"/>
          </w:pPr>
          <w:r w:rsidRPr="002928E5">
            <w:rPr>
              <w:b w:val="0"/>
              <w:bCs w:val="0"/>
              <w:sz w:val="18"/>
              <w:szCs w:val="22"/>
              <w:lang w:val="zh-CN"/>
            </w:rPr>
            <w:fldChar w:fldCharType="end"/>
          </w:r>
        </w:p>
      </w:sdtContent>
    </w:sdt>
    <w:p w14:paraId="148AF42C" w14:textId="77777777" w:rsidR="006D1C3F" w:rsidRDefault="00000000">
      <w:pPr>
        <w:keepNext/>
        <w:keepLines/>
        <w:pageBreakBefore/>
        <w:spacing w:before="340" w:after="156" w:line="240" w:lineRule="auto"/>
        <w:ind w:firstLineChars="0" w:firstLine="0"/>
        <w:outlineLvl w:val="0"/>
        <w:rPr>
          <w:rFonts w:eastAsia="Times New Roman" w:cstheme="minorBidi"/>
          <w:b w:val="0"/>
          <w:bCs w:val="0"/>
          <w:kern w:val="44"/>
        </w:rPr>
      </w:pPr>
      <w:bookmarkStart w:id="0" w:name="_Hlk211977973"/>
      <w:bookmarkStart w:id="1" w:name="_Toc225844800"/>
      <w:r>
        <w:rPr>
          <w:rFonts w:eastAsia="Times New Roman" w:cstheme="minorBidi"/>
          <w:b w:val="0"/>
          <w:bCs w:val="0"/>
          <w:kern w:val="44"/>
        </w:rPr>
        <w:lastRenderedPageBreak/>
        <w:t xml:space="preserve">1 </w:t>
      </w:r>
      <w:proofErr w:type="spellStart"/>
      <w:r>
        <w:rPr>
          <w:rFonts w:cstheme="minorBidi" w:hint="eastAsia"/>
          <w:b w:val="0"/>
          <w:bCs w:val="0"/>
          <w:kern w:val="44"/>
        </w:rPr>
        <w:t>e</w:t>
      </w:r>
      <w:r>
        <w:rPr>
          <w:rFonts w:eastAsia="Times New Roman" w:cstheme="minorBidi" w:hint="eastAsia"/>
          <w:b w:val="0"/>
          <w:bCs w:val="0"/>
          <w:kern w:val="44"/>
        </w:rPr>
        <w:t>Method</w:t>
      </w:r>
      <w:bookmarkEnd w:id="0"/>
      <w:proofErr w:type="spellEnd"/>
      <w:r>
        <w:rPr>
          <w:rFonts w:cstheme="minorBidi" w:hint="eastAsia"/>
          <w:b w:val="0"/>
          <w:bCs w:val="0"/>
          <w:kern w:val="44"/>
        </w:rPr>
        <w:t xml:space="preserve"> </w:t>
      </w:r>
      <w:r>
        <w:rPr>
          <w:rFonts w:eastAsia="Times New Roman" w:cstheme="minorBidi"/>
          <w:b w:val="0"/>
          <w:bCs w:val="0"/>
          <w:kern w:val="44"/>
        </w:rPr>
        <w:t>RCT Search Strategy</w:t>
      </w:r>
      <w:bookmarkEnd w:id="1"/>
    </w:p>
    <w:p w14:paraId="31C5F169" w14:textId="77777777" w:rsidR="006D1C3F" w:rsidRDefault="00000000">
      <w:pPr>
        <w:numPr>
          <w:ilvl w:val="0"/>
          <w:numId w:val="1"/>
        </w:numPr>
        <w:spacing w:line="240" w:lineRule="auto"/>
        <w:ind w:firstLineChars="0" w:firstLine="0"/>
        <w:rPr>
          <w:rFonts w:eastAsiaTheme="minorEastAsia" w:cstheme="minorBidi"/>
          <w:b w:val="0"/>
          <w:bCs w:val="0"/>
        </w:rPr>
      </w:pPr>
      <w:bookmarkStart w:id="2" w:name="_Hlk209814899"/>
      <w:r>
        <w:rPr>
          <w:rFonts w:eastAsiaTheme="minorEastAsia" w:cstheme="minorBidi" w:hint="eastAsia"/>
          <w:b w:val="0"/>
          <w:bCs w:val="0"/>
        </w:rPr>
        <w:t xml:space="preserve">PubMed Search Strategy </w:t>
      </w:r>
    </w:p>
    <w:p w14:paraId="11CB102E"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#1</w:t>
      </w:r>
      <w:r>
        <w:rPr>
          <w:rFonts w:eastAsia="TimesNewRomanPSMT"/>
          <w:b w:val="0"/>
          <w:bCs w:val="0"/>
        </w:rPr>
        <w:t xml:space="preserve"> ("Carcinoma, non-small cell lung"[Mesh] OR "carcinomas, non-small cell lung" OR "lung carcinoma, non-small cell" OR "lung carcinomas, non-small cell" OR "non-small cell lung carcinomas" OR "</w:t>
      </w:r>
      <w:proofErr w:type="spellStart"/>
      <w:r>
        <w:rPr>
          <w:rFonts w:eastAsia="TimesNewRomanPSMT"/>
          <w:b w:val="0"/>
          <w:bCs w:val="0"/>
        </w:rPr>
        <w:t>nonsmall</w:t>
      </w:r>
      <w:proofErr w:type="spellEnd"/>
      <w:r>
        <w:rPr>
          <w:rFonts w:eastAsia="TimesNewRomanPSMT"/>
          <w:b w:val="0"/>
          <w:bCs w:val="0"/>
        </w:rPr>
        <w:t xml:space="preserve"> cell lung cancer" OR "non-small-cell lung carcinoma" OR "</w:t>
      </w:r>
      <w:proofErr w:type="spellStart"/>
      <w:r>
        <w:rPr>
          <w:rFonts w:eastAsia="TimesNewRomanPSMT"/>
          <w:b w:val="0"/>
          <w:bCs w:val="0"/>
        </w:rPr>
        <w:t>non small</w:t>
      </w:r>
      <w:proofErr w:type="spellEnd"/>
      <w:r>
        <w:rPr>
          <w:rFonts w:eastAsia="TimesNewRomanPSMT"/>
          <w:b w:val="0"/>
          <w:bCs w:val="0"/>
        </w:rPr>
        <w:t xml:space="preserve"> cell lung carcinoma" OR "carcinoma, non-small cell lung" OR "non-small cell lung cancer")</w:t>
      </w:r>
    </w:p>
    <w:p w14:paraId="36386FAE"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#2</w:t>
      </w:r>
      <w:r>
        <w:rPr>
          <w:rFonts w:eastAsia="TimesNewRomanPSMT"/>
          <w:b w:val="0"/>
          <w:bCs w:val="0"/>
        </w:rPr>
        <w:t xml:space="preserve"> ("rearrangement" OR "anaplastic lymphoma kinase" OR "ALK-mutant rearrangement patients" OR "patients with ALK mutations" OR "NPM-ALK" OR "ALK Kinase" OR "CD246 Antigen")</w:t>
      </w:r>
    </w:p>
    <w:p w14:paraId="2E213E2E"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#3</w:t>
      </w:r>
      <w:r>
        <w:rPr>
          <w:rFonts w:eastAsia="TimesNewRomanPSMT" w:hint="eastAsia"/>
          <w:b w:val="0"/>
          <w:bCs w:val="0"/>
        </w:rPr>
        <w:t xml:space="preserve"> </w:t>
      </w:r>
      <w:r>
        <w:rPr>
          <w:rFonts w:eastAsia="TimesNewRomanPSMT"/>
          <w:b w:val="0"/>
          <w:bCs w:val="0"/>
        </w:rPr>
        <w:t>(randomized controlled trial[pt] OR controlled clinical trial[pt] OR randomized[</w:t>
      </w:r>
      <w:proofErr w:type="spellStart"/>
      <w:r>
        <w:rPr>
          <w:rFonts w:eastAsia="TimesNewRomanPSMT"/>
          <w:b w:val="0"/>
          <w:bCs w:val="0"/>
        </w:rPr>
        <w:t>tiab</w:t>
      </w:r>
      <w:proofErr w:type="spellEnd"/>
      <w:r>
        <w:rPr>
          <w:rFonts w:eastAsia="TimesNewRomanPSMT"/>
          <w:b w:val="0"/>
          <w:bCs w:val="0"/>
        </w:rPr>
        <w:t>] OR placebo[</w:t>
      </w:r>
      <w:proofErr w:type="spellStart"/>
      <w:r>
        <w:rPr>
          <w:rFonts w:eastAsia="TimesNewRomanPSMT"/>
          <w:b w:val="0"/>
          <w:bCs w:val="0"/>
        </w:rPr>
        <w:t>tiab</w:t>
      </w:r>
      <w:proofErr w:type="spellEnd"/>
      <w:r>
        <w:rPr>
          <w:rFonts w:eastAsia="TimesNewRomanPSMT"/>
          <w:b w:val="0"/>
          <w:bCs w:val="0"/>
        </w:rPr>
        <w:t>] OR clinical trials as topic[</w:t>
      </w:r>
      <w:proofErr w:type="spellStart"/>
      <w:proofErr w:type="gramStart"/>
      <w:r>
        <w:rPr>
          <w:rFonts w:eastAsia="TimesNewRomanPSMT"/>
          <w:b w:val="0"/>
          <w:bCs w:val="0"/>
        </w:rPr>
        <w:t>mesh:noexp</w:t>
      </w:r>
      <w:proofErr w:type="spellEnd"/>
      <w:proofErr w:type="gramEnd"/>
      <w:r>
        <w:rPr>
          <w:rFonts w:eastAsia="TimesNewRomanPSMT"/>
          <w:b w:val="0"/>
          <w:bCs w:val="0"/>
        </w:rPr>
        <w:t>] OR randomly[</w:t>
      </w:r>
      <w:proofErr w:type="spellStart"/>
      <w:r>
        <w:rPr>
          <w:rFonts w:eastAsia="TimesNewRomanPSMT"/>
          <w:b w:val="0"/>
          <w:bCs w:val="0"/>
        </w:rPr>
        <w:t>tiab</w:t>
      </w:r>
      <w:proofErr w:type="spellEnd"/>
      <w:r>
        <w:rPr>
          <w:rFonts w:eastAsia="TimesNewRomanPSMT"/>
          <w:b w:val="0"/>
          <w:bCs w:val="0"/>
        </w:rPr>
        <w:t>] OR trial[</w:t>
      </w:r>
      <w:proofErr w:type="spellStart"/>
      <w:r>
        <w:rPr>
          <w:rFonts w:eastAsia="TimesNewRomanPSMT"/>
          <w:b w:val="0"/>
          <w:bCs w:val="0"/>
        </w:rPr>
        <w:t>ti</w:t>
      </w:r>
      <w:proofErr w:type="spellEnd"/>
      <w:r>
        <w:rPr>
          <w:rFonts w:eastAsia="TimesNewRomanPSMT"/>
          <w:b w:val="0"/>
          <w:bCs w:val="0"/>
        </w:rPr>
        <w:t>])</w:t>
      </w:r>
    </w:p>
    <w:p w14:paraId="4C5B27A1"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#4</w:t>
      </w:r>
      <w:r>
        <w:rPr>
          <w:rFonts w:eastAsia="TimesNewRomanPSMT" w:hint="eastAsia"/>
          <w:b w:val="0"/>
          <w:bCs w:val="0"/>
        </w:rPr>
        <w:t xml:space="preserve"> </w:t>
      </w:r>
      <w:r>
        <w:rPr>
          <w:rFonts w:eastAsia="TimesNewRomanPSMT"/>
          <w:b w:val="0"/>
          <w:bCs w:val="0"/>
        </w:rPr>
        <w:t>(animals[</w:t>
      </w:r>
      <w:proofErr w:type="spellStart"/>
      <w:r>
        <w:rPr>
          <w:rFonts w:eastAsia="TimesNewRomanPSMT"/>
          <w:b w:val="0"/>
          <w:bCs w:val="0"/>
        </w:rPr>
        <w:t>mh</w:t>
      </w:r>
      <w:proofErr w:type="spellEnd"/>
      <w:r>
        <w:rPr>
          <w:rFonts w:eastAsia="TimesNewRomanPSMT"/>
          <w:b w:val="0"/>
          <w:bCs w:val="0"/>
        </w:rPr>
        <w:t>] NOT humans[</w:t>
      </w:r>
      <w:proofErr w:type="spellStart"/>
      <w:r>
        <w:rPr>
          <w:rFonts w:eastAsia="TimesNewRomanPSMT"/>
          <w:b w:val="0"/>
          <w:bCs w:val="0"/>
        </w:rPr>
        <w:t>mh</w:t>
      </w:r>
      <w:proofErr w:type="spellEnd"/>
      <w:r>
        <w:rPr>
          <w:rFonts w:eastAsia="TimesNewRomanPSMT"/>
          <w:b w:val="0"/>
          <w:bCs w:val="0"/>
        </w:rPr>
        <w:t>])</w:t>
      </w:r>
    </w:p>
    <w:p w14:paraId="600C18D0"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 xml:space="preserve">#5 </w:t>
      </w:r>
      <w:r>
        <w:rPr>
          <w:rFonts w:eastAsia="TimesNewRomanPSMT"/>
          <w:b w:val="0"/>
          <w:bCs w:val="0"/>
        </w:rPr>
        <w:t>#1 AND #2 AND #3</w:t>
      </w:r>
    </w:p>
    <w:p w14:paraId="4B20CEC9"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#6</w:t>
      </w:r>
      <w:r>
        <w:rPr>
          <w:rFonts w:eastAsia="TimesNewRomanPSMT"/>
          <w:b w:val="0"/>
          <w:bCs w:val="0"/>
        </w:rPr>
        <w:t xml:space="preserve"> #5 NOT #4</w:t>
      </w:r>
    </w:p>
    <w:p w14:paraId="44A9CC16" w14:textId="77777777" w:rsidR="006D1C3F" w:rsidRDefault="006D1C3F">
      <w:pPr>
        <w:spacing w:line="240" w:lineRule="auto"/>
        <w:ind w:firstLineChars="0" w:firstLine="0"/>
        <w:jc w:val="left"/>
        <w:rPr>
          <w:rFonts w:eastAsiaTheme="minorEastAsia" w:cstheme="minorBidi"/>
          <w:b w:val="0"/>
          <w:bCs w:val="0"/>
        </w:rPr>
      </w:pPr>
    </w:p>
    <w:p w14:paraId="41074461" w14:textId="77777777" w:rsidR="006D1C3F" w:rsidRDefault="00000000">
      <w:pPr>
        <w:numPr>
          <w:ilvl w:val="0"/>
          <w:numId w:val="1"/>
        </w:numPr>
        <w:spacing w:line="240" w:lineRule="auto"/>
        <w:ind w:firstLineChars="0" w:firstLine="0"/>
        <w:jc w:val="left"/>
        <w:rPr>
          <w:rFonts w:eastAsiaTheme="minorEastAsia" w:cstheme="minorBidi"/>
          <w:b w:val="0"/>
          <w:bCs w:val="0"/>
        </w:rPr>
      </w:pPr>
      <w:r>
        <w:rPr>
          <w:rFonts w:eastAsiaTheme="minorEastAsia" w:cstheme="minorBidi"/>
          <w:b w:val="0"/>
          <w:bCs w:val="0"/>
        </w:rPr>
        <w:t>Embase</w:t>
      </w:r>
    </w:p>
    <w:p w14:paraId="4ED715A7"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#1</w:t>
      </w:r>
      <w:r>
        <w:rPr>
          <w:rFonts w:eastAsia="TimesNewRomanPSMT"/>
          <w:b w:val="0"/>
          <w:bCs w:val="0"/>
        </w:rPr>
        <w:t xml:space="preserve"> 'Anaplastic Lymphoma Kinase':</w:t>
      </w:r>
      <w:proofErr w:type="spellStart"/>
      <w:r>
        <w:rPr>
          <w:rFonts w:eastAsia="TimesNewRomanPSMT"/>
          <w:b w:val="0"/>
          <w:bCs w:val="0"/>
        </w:rPr>
        <w:t>ti,ab,kw,de,tn</w:t>
      </w:r>
      <w:proofErr w:type="spellEnd"/>
      <w:r>
        <w:rPr>
          <w:rFonts w:eastAsia="TimesNewRomanPSMT"/>
          <w:b w:val="0"/>
          <w:bCs w:val="0"/>
        </w:rPr>
        <w:t xml:space="preserve"> OR 'ALK Tyrosine Kinase Receptor':</w:t>
      </w:r>
      <w:proofErr w:type="spellStart"/>
      <w:r>
        <w:rPr>
          <w:rFonts w:eastAsia="TimesNewRomanPSMT"/>
          <w:b w:val="0"/>
          <w:bCs w:val="0"/>
        </w:rPr>
        <w:t>ti,ab,kw,de,tn</w:t>
      </w:r>
      <w:proofErr w:type="spellEnd"/>
      <w:r>
        <w:rPr>
          <w:rFonts w:eastAsia="TimesNewRomanPSMT"/>
          <w:b w:val="0"/>
          <w:bCs w:val="0"/>
        </w:rPr>
        <w:t xml:space="preserve"> OR 'Anaplastic Lymphoma Receptor Tyrosine Kinase':</w:t>
      </w:r>
      <w:proofErr w:type="spellStart"/>
      <w:r>
        <w:rPr>
          <w:rFonts w:eastAsia="TimesNewRomanPSMT"/>
          <w:b w:val="0"/>
          <w:bCs w:val="0"/>
        </w:rPr>
        <w:t>ti,ab,kw,de,tn</w:t>
      </w:r>
      <w:proofErr w:type="spellEnd"/>
      <w:r>
        <w:rPr>
          <w:rFonts w:eastAsia="TimesNewRomanPSMT"/>
          <w:b w:val="0"/>
          <w:bCs w:val="0"/>
        </w:rPr>
        <w:t xml:space="preserve"> OR '</w:t>
      </w:r>
      <w:proofErr w:type="spellStart"/>
      <w:r>
        <w:rPr>
          <w:rFonts w:eastAsia="TimesNewRomanPSMT"/>
          <w:b w:val="0"/>
          <w:bCs w:val="0"/>
        </w:rPr>
        <w:t>Nucleophosmin</w:t>
      </w:r>
      <w:proofErr w:type="spellEnd"/>
      <w:r>
        <w:rPr>
          <w:rFonts w:eastAsia="TimesNewRomanPSMT"/>
          <w:b w:val="0"/>
          <w:bCs w:val="0"/>
        </w:rPr>
        <w:t>-Anaplastic Lymphoma Kinase':</w:t>
      </w:r>
      <w:proofErr w:type="spellStart"/>
      <w:r>
        <w:rPr>
          <w:rFonts w:eastAsia="TimesNewRomanPSMT"/>
          <w:b w:val="0"/>
          <w:bCs w:val="0"/>
        </w:rPr>
        <w:t>ti,ab,kw,de,tn</w:t>
      </w:r>
      <w:proofErr w:type="spellEnd"/>
      <w:r>
        <w:rPr>
          <w:rFonts w:eastAsia="TimesNewRomanPSMT"/>
          <w:b w:val="0"/>
          <w:bCs w:val="0"/>
        </w:rPr>
        <w:t xml:space="preserve"> OR '</w:t>
      </w:r>
      <w:proofErr w:type="spellStart"/>
      <w:r>
        <w:rPr>
          <w:rFonts w:eastAsia="TimesNewRomanPSMT"/>
          <w:b w:val="0"/>
          <w:bCs w:val="0"/>
        </w:rPr>
        <w:t>Nucleophosmin</w:t>
      </w:r>
      <w:proofErr w:type="spellEnd"/>
      <w:r>
        <w:rPr>
          <w:rFonts w:eastAsia="TimesNewRomanPSMT"/>
          <w:b w:val="0"/>
          <w:bCs w:val="0"/>
        </w:rPr>
        <w:t> Anaplastic Lymphoma Kinase':</w:t>
      </w:r>
      <w:proofErr w:type="spellStart"/>
      <w:r>
        <w:rPr>
          <w:rFonts w:eastAsia="TimesNewRomanPSMT"/>
          <w:b w:val="0"/>
          <w:bCs w:val="0"/>
        </w:rPr>
        <w:t>ti,ab,kw,de,tn</w:t>
      </w:r>
      <w:proofErr w:type="spellEnd"/>
      <w:r>
        <w:rPr>
          <w:rFonts w:eastAsia="TimesNewRomanPSMT"/>
          <w:b w:val="0"/>
          <w:bCs w:val="0"/>
        </w:rPr>
        <w:t xml:space="preserve"> OR 'ALK Kinase':</w:t>
      </w:r>
      <w:proofErr w:type="spellStart"/>
      <w:r>
        <w:rPr>
          <w:rFonts w:eastAsia="TimesNewRomanPSMT"/>
          <w:b w:val="0"/>
          <w:bCs w:val="0"/>
        </w:rPr>
        <w:t>ti,ab,kw,de,tn</w:t>
      </w:r>
      <w:proofErr w:type="spellEnd"/>
      <w:r>
        <w:rPr>
          <w:rFonts w:eastAsia="TimesNewRomanPSMT"/>
          <w:b w:val="0"/>
          <w:bCs w:val="0"/>
        </w:rPr>
        <w:t xml:space="preserve"> OR 'CD246 Antigen':</w:t>
      </w:r>
      <w:proofErr w:type="spellStart"/>
      <w:r>
        <w:rPr>
          <w:rFonts w:eastAsia="TimesNewRomanPSMT"/>
          <w:b w:val="0"/>
          <w:bCs w:val="0"/>
        </w:rPr>
        <w:t>ti,ab,kw,de,tn</w:t>
      </w:r>
      <w:proofErr w:type="spellEnd"/>
      <w:r>
        <w:rPr>
          <w:rFonts w:eastAsia="TimesNewRomanPSMT"/>
          <w:b w:val="0"/>
          <w:bCs w:val="0"/>
        </w:rPr>
        <w:t xml:space="preserve"> </w:t>
      </w:r>
    </w:p>
    <w:p w14:paraId="2C668E65" w14:textId="77777777" w:rsidR="006D1C3F" w:rsidRDefault="00000000">
      <w:pPr>
        <w:shd w:val="clear" w:color="auto" w:fill="FFFFFF"/>
        <w:spacing w:before="100" w:beforeAutospacing="1" w:after="156" w:afterAutospacing="1" w:line="360" w:lineRule="exact"/>
        <w:ind w:firstLineChars="0" w:firstLine="0"/>
        <w:rPr>
          <w:b w:val="0"/>
          <w:bCs w:val="0"/>
          <w:color w:val="000000"/>
          <w:szCs w:val="20"/>
        </w:rPr>
      </w:pPr>
      <w:r>
        <w:rPr>
          <w:rFonts w:eastAsia="TimesNewRomanPSMT"/>
        </w:rPr>
        <w:t>#2</w:t>
      </w:r>
      <w:r>
        <w:rPr>
          <w:rFonts w:eastAsia="TimesNewRomanPSMT"/>
          <w:b w:val="0"/>
          <w:bCs w:val="0"/>
        </w:rPr>
        <w:t xml:space="preserve"> 'Carcinoma, Non-Small-Cell Lung':</w:t>
      </w:r>
      <w:proofErr w:type="spellStart"/>
      <w:r>
        <w:rPr>
          <w:rFonts w:eastAsia="TimesNewRomanPSMT"/>
          <w:b w:val="0"/>
          <w:bCs w:val="0"/>
        </w:rPr>
        <w:t>ti,ab,kw,de,tn</w:t>
      </w:r>
      <w:proofErr w:type="spellEnd"/>
      <w:r>
        <w:rPr>
          <w:rFonts w:eastAsia="TimesNewRomanPSMT"/>
          <w:b w:val="0"/>
          <w:bCs w:val="0"/>
        </w:rPr>
        <w:t xml:space="preserve"> OR 'Carcinoma, </w:t>
      </w:r>
      <w:proofErr w:type="spellStart"/>
      <w:r>
        <w:rPr>
          <w:rFonts w:eastAsia="TimesNewRomanPSMT"/>
          <w:b w:val="0"/>
          <w:bCs w:val="0"/>
        </w:rPr>
        <w:t>Non Small</w:t>
      </w:r>
      <w:proofErr w:type="spellEnd"/>
      <w:r>
        <w:rPr>
          <w:rFonts w:eastAsia="TimesNewRomanPSMT"/>
          <w:b w:val="0"/>
          <w:bCs w:val="0"/>
        </w:rPr>
        <w:t xml:space="preserve"> Cell Lung':</w:t>
      </w:r>
      <w:proofErr w:type="spellStart"/>
      <w:r>
        <w:rPr>
          <w:rFonts w:eastAsia="TimesNewRomanPSMT"/>
          <w:b w:val="0"/>
          <w:bCs w:val="0"/>
        </w:rPr>
        <w:t>ti,ab,kw,de,tn</w:t>
      </w:r>
      <w:proofErr w:type="spellEnd"/>
      <w:r>
        <w:rPr>
          <w:rFonts w:eastAsia="TimesNewRomanPSMT"/>
          <w:b w:val="0"/>
          <w:bCs w:val="0"/>
        </w:rPr>
        <w:t xml:space="preserve"> OR 'Carcinomas, Non-Small-Cell Lung':</w:t>
      </w:r>
      <w:proofErr w:type="spellStart"/>
      <w:r>
        <w:rPr>
          <w:rFonts w:eastAsia="TimesNewRomanPSMT"/>
          <w:b w:val="0"/>
          <w:bCs w:val="0"/>
        </w:rPr>
        <w:t>ti,ab,kw,de,tn</w:t>
      </w:r>
      <w:proofErr w:type="spellEnd"/>
      <w:r>
        <w:rPr>
          <w:rFonts w:eastAsia="TimesNewRomanPSMT"/>
          <w:b w:val="0"/>
          <w:bCs w:val="0"/>
        </w:rPr>
        <w:t xml:space="preserve"> OR 'Lung Carcinoma, Non-Small-Cell':</w:t>
      </w:r>
      <w:proofErr w:type="spellStart"/>
      <w:r>
        <w:rPr>
          <w:rFonts w:eastAsia="TimesNewRomanPSMT"/>
          <w:b w:val="0"/>
          <w:bCs w:val="0"/>
        </w:rPr>
        <w:t>ti,ab,kw,de,tn</w:t>
      </w:r>
      <w:proofErr w:type="spellEnd"/>
      <w:r>
        <w:rPr>
          <w:rFonts w:eastAsia="TimesNewRomanPSMT"/>
          <w:b w:val="0"/>
          <w:bCs w:val="0"/>
        </w:rPr>
        <w:t xml:space="preserve"> OR 'Lung Carcinomas, Non-Small-Cell':</w:t>
      </w:r>
      <w:proofErr w:type="spellStart"/>
      <w:r>
        <w:rPr>
          <w:rFonts w:eastAsia="TimesNewRomanPSMT"/>
          <w:b w:val="0"/>
          <w:bCs w:val="0"/>
        </w:rPr>
        <w:t>ti,ab,kw,de,tn</w:t>
      </w:r>
      <w:proofErr w:type="spellEnd"/>
      <w:r>
        <w:rPr>
          <w:rFonts w:eastAsia="TimesNewRomanPSMT"/>
          <w:b w:val="0"/>
          <w:bCs w:val="0"/>
        </w:rPr>
        <w:t xml:space="preserve"> OR 'Non-Small-Cell Lung Carcinomas':</w:t>
      </w:r>
      <w:proofErr w:type="spellStart"/>
      <w:r>
        <w:rPr>
          <w:rFonts w:eastAsia="TimesNewRomanPSMT"/>
          <w:b w:val="0"/>
          <w:bCs w:val="0"/>
        </w:rPr>
        <w:t>ti,ab,kw,de,tn</w:t>
      </w:r>
      <w:proofErr w:type="spellEnd"/>
      <w:r>
        <w:rPr>
          <w:rFonts w:eastAsia="TimesNewRomanPSMT"/>
          <w:b w:val="0"/>
          <w:bCs w:val="0"/>
        </w:rPr>
        <w:t xml:space="preserve"> OR 'Non-Small-Cell Lung Carcinoma':</w:t>
      </w:r>
      <w:proofErr w:type="spellStart"/>
      <w:r>
        <w:rPr>
          <w:rFonts w:eastAsia="TimesNewRomanPSMT"/>
          <w:b w:val="0"/>
          <w:bCs w:val="0"/>
        </w:rPr>
        <w:t>ti,ab,kw,de,tn</w:t>
      </w:r>
      <w:proofErr w:type="spellEnd"/>
      <w:r>
        <w:rPr>
          <w:rFonts w:eastAsia="TimesNewRomanPSMT"/>
          <w:b w:val="0"/>
          <w:bCs w:val="0"/>
        </w:rPr>
        <w:t xml:space="preserve"> OR '</w:t>
      </w:r>
      <w:proofErr w:type="spellStart"/>
      <w:r>
        <w:rPr>
          <w:rFonts w:eastAsia="TimesNewRomanPSMT"/>
          <w:b w:val="0"/>
          <w:bCs w:val="0"/>
        </w:rPr>
        <w:t>Non Small</w:t>
      </w:r>
      <w:proofErr w:type="spellEnd"/>
      <w:r>
        <w:rPr>
          <w:rFonts w:eastAsia="TimesNewRomanPSMT"/>
          <w:b w:val="0"/>
          <w:bCs w:val="0"/>
        </w:rPr>
        <w:t xml:space="preserve"> Cell Lung Carcinoma':</w:t>
      </w:r>
      <w:proofErr w:type="spellStart"/>
      <w:r>
        <w:rPr>
          <w:rFonts w:eastAsia="TimesNewRomanPSMT"/>
          <w:b w:val="0"/>
          <w:bCs w:val="0"/>
        </w:rPr>
        <w:t>ti,ab,kw,de,tn</w:t>
      </w:r>
      <w:proofErr w:type="spellEnd"/>
      <w:r>
        <w:rPr>
          <w:rFonts w:eastAsia="TimesNewRomanPSMT"/>
          <w:b w:val="0"/>
          <w:bCs w:val="0"/>
        </w:rPr>
        <w:t xml:space="preserve"> OR 'Carcinoma, Non-Small Cell Lung': </w:t>
      </w:r>
      <w:proofErr w:type="spellStart"/>
      <w:r>
        <w:rPr>
          <w:rFonts w:eastAsia="TimesNewRomanPSMT"/>
          <w:b w:val="0"/>
          <w:bCs w:val="0"/>
        </w:rPr>
        <w:t>ti,ab,kw,de,tn</w:t>
      </w:r>
      <w:proofErr w:type="spellEnd"/>
      <w:r>
        <w:rPr>
          <w:rFonts w:eastAsia="TimesNewRomanPSMT"/>
          <w:b w:val="0"/>
          <w:bCs w:val="0"/>
        </w:rPr>
        <w:t xml:space="preserve"> OR 'Non-Small Cell Lung Carcinoma':</w:t>
      </w:r>
      <w:proofErr w:type="spellStart"/>
      <w:r>
        <w:rPr>
          <w:rFonts w:eastAsia="TimesNewRomanPSMT"/>
          <w:b w:val="0"/>
          <w:bCs w:val="0"/>
        </w:rPr>
        <w:t>ti,ab,kw,de,tn</w:t>
      </w:r>
      <w:proofErr w:type="spellEnd"/>
      <w:r>
        <w:rPr>
          <w:rFonts w:eastAsia="TimesNewRomanPSMT"/>
          <w:b w:val="0"/>
          <w:bCs w:val="0"/>
        </w:rPr>
        <w:t xml:space="preserve"> OR 'Non-Small Cell Lung Cancer':</w:t>
      </w:r>
      <w:proofErr w:type="spellStart"/>
      <w:r>
        <w:rPr>
          <w:rFonts w:eastAsia="TimesNewRomanPSMT"/>
          <w:b w:val="0"/>
          <w:bCs w:val="0"/>
        </w:rPr>
        <w:t>ti,ab,kw,de,tn</w:t>
      </w:r>
      <w:proofErr w:type="spellEnd"/>
      <w:r>
        <w:rPr>
          <w:rFonts w:eastAsia="TimesNewRomanPSMT"/>
          <w:b w:val="0"/>
          <w:bCs w:val="0"/>
        </w:rPr>
        <w:t xml:space="preserve"> OR '</w:t>
      </w:r>
      <w:proofErr w:type="spellStart"/>
      <w:r>
        <w:rPr>
          <w:rFonts w:eastAsia="TimesNewRomanPSMT"/>
          <w:b w:val="0"/>
          <w:bCs w:val="0"/>
        </w:rPr>
        <w:t>Nonsmall</w:t>
      </w:r>
      <w:proofErr w:type="spellEnd"/>
      <w:r>
        <w:rPr>
          <w:rFonts w:eastAsia="TimesNewRomanPSMT"/>
          <w:b w:val="0"/>
          <w:bCs w:val="0"/>
        </w:rPr>
        <w:t xml:space="preserve"> Cell Lung Cancer':</w:t>
      </w:r>
      <w:proofErr w:type="spellStart"/>
      <w:r>
        <w:rPr>
          <w:rFonts w:eastAsia="TimesNewRomanPSMT"/>
          <w:b w:val="0"/>
          <w:bCs w:val="0"/>
        </w:rPr>
        <w:t>ti,ab,kw,de,tn</w:t>
      </w:r>
      <w:proofErr w:type="spellEnd"/>
      <w:r>
        <w:rPr>
          <w:rFonts w:eastAsia="TimesNewRomanPSMT"/>
          <w:b w:val="0"/>
          <w:bCs w:val="0"/>
        </w:rPr>
        <w:t xml:space="preserve"> </w:t>
      </w:r>
    </w:p>
    <w:p w14:paraId="757193A7" w14:textId="77777777" w:rsidR="006D1C3F" w:rsidRDefault="00000000">
      <w:pPr>
        <w:shd w:val="clear" w:color="auto" w:fill="FFFFFF"/>
        <w:spacing w:before="100" w:beforeAutospacing="1" w:after="156" w:afterAutospacing="1" w:line="360" w:lineRule="exact"/>
        <w:ind w:firstLineChars="0" w:firstLine="0"/>
        <w:rPr>
          <w:b w:val="0"/>
          <w:bCs w:val="0"/>
          <w:color w:val="000000"/>
          <w:szCs w:val="20"/>
        </w:rPr>
      </w:pPr>
      <w:r>
        <w:rPr>
          <w:rFonts w:eastAsia="TimesNewRomanPSMT"/>
        </w:rPr>
        <w:t>#</w:t>
      </w:r>
      <w:r>
        <w:rPr>
          <w:rFonts w:eastAsia="TimesNewRomanPSMT" w:hint="eastAsia"/>
        </w:rPr>
        <w:t>3</w:t>
      </w:r>
      <w:r>
        <w:rPr>
          <w:rFonts w:eastAsia="TimesNewRomanPSMT"/>
          <w:b w:val="0"/>
          <w:bCs w:val="0"/>
        </w:rPr>
        <w:t xml:space="preserve"> 'Randomized Controlled Trial</w:t>
      </w:r>
      <w:proofErr w:type="gramStart"/>
      <w:r>
        <w:rPr>
          <w:rFonts w:eastAsia="TimesNewRomanPSMT"/>
          <w:b w:val="0"/>
          <w:bCs w:val="0"/>
        </w:rPr>
        <w:t>':</w:t>
      </w:r>
      <w:proofErr w:type="spellStart"/>
      <w:r>
        <w:rPr>
          <w:rFonts w:eastAsia="TimesNewRomanPSMT"/>
          <w:b w:val="0"/>
          <w:bCs w:val="0"/>
        </w:rPr>
        <w:t>ti</w:t>
      </w:r>
      <w:proofErr w:type="gramEnd"/>
      <w:r>
        <w:rPr>
          <w:rFonts w:eastAsia="TimesNewRomanPSMT"/>
          <w:b w:val="0"/>
          <w:bCs w:val="0"/>
        </w:rPr>
        <w:t>,</w:t>
      </w:r>
      <w:proofErr w:type="gramStart"/>
      <w:r>
        <w:rPr>
          <w:rFonts w:eastAsia="TimesNewRomanPSMT"/>
          <w:b w:val="0"/>
          <w:bCs w:val="0"/>
        </w:rPr>
        <w:t>ab,kw</w:t>
      </w:r>
      <w:proofErr w:type="gramEnd"/>
      <w:r>
        <w:rPr>
          <w:rFonts w:eastAsia="TimesNewRomanPSMT"/>
          <w:b w:val="0"/>
          <w:bCs w:val="0"/>
        </w:rPr>
        <w:t>,</w:t>
      </w:r>
      <w:proofErr w:type="gramStart"/>
      <w:r>
        <w:rPr>
          <w:rFonts w:eastAsia="TimesNewRomanPSMT"/>
          <w:b w:val="0"/>
          <w:bCs w:val="0"/>
        </w:rPr>
        <w:t>de,tn</w:t>
      </w:r>
      <w:proofErr w:type="spellEnd"/>
      <w:proofErr w:type="gramEnd"/>
      <w:r>
        <w:rPr>
          <w:rFonts w:eastAsia="TimesNewRomanPSMT"/>
          <w:b w:val="0"/>
          <w:bCs w:val="0"/>
        </w:rPr>
        <w:t xml:space="preserve"> OR 'Clinical Trials, Randomized</w:t>
      </w:r>
      <w:proofErr w:type="gramStart"/>
      <w:r>
        <w:rPr>
          <w:rFonts w:eastAsia="TimesNewRomanPSMT"/>
          <w:b w:val="0"/>
          <w:bCs w:val="0"/>
        </w:rPr>
        <w:t>':</w:t>
      </w:r>
      <w:proofErr w:type="spellStart"/>
      <w:r>
        <w:rPr>
          <w:rFonts w:eastAsia="TimesNewRomanPSMT"/>
          <w:b w:val="0"/>
          <w:bCs w:val="0"/>
        </w:rPr>
        <w:t>ti</w:t>
      </w:r>
      <w:proofErr w:type="gramEnd"/>
      <w:r>
        <w:rPr>
          <w:rFonts w:eastAsia="TimesNewRomanPSMT"/>
          <w:b w:val="0"/>
          <w:bCs w:val="0"/>
        </w:rPr>
        <w:t>,</w:t>
      </w:r>
      <w:proofErr w:type="gramStart"/>
      <w:r>
        <w:rPr>
          <w:rFonts w:eastAsia="TimesNewRomanPSMT"/>
          <w:b w:val="0"/>
          <w:bCs w:val="0"/>
        </w:rPr>
        <w:t>ab,kw</w:t>
      </w:r>
      <w:proofErr w:type="gramEnd"/>
      <w:r>
        <w:rPr>
          <w:rFonts w:eastAsia="TimesNewRomanPSMT"/>
          <w:b w:val="0"/>
          <w:bCs w:val="0"/>
        </w:rPr>
        <w:t>,</w:t>
      </w:r>
      <w:proofErr w:type="gramStart"/>
      <w:r>
        <w:rPr>
          <w:rFonts w:eastAsia="TimesNewRomanPSMT"/>
          <w:b w:val="0"/>
          <w:bCs w:val="0"/>
        </w:rPr>
        <w:t>de,tn</w:t>
      </w:r>
      <w:proofErr w:type="spellEnd"/>
      <w:proofErr w:type="gramEnd"/>
      <w:r>
        <w:rPr>
          <w:rFonts w:eastAsia="TimesNewRomanPSMT"/>
          <w:b w:val="0"/>
          <w:bCs w:val="0"/>
        </w:rPr>
        <w:t xml:space="preserve"> OR 'Trials, Randomized Clinical</w:t>
      </w:r>
      <w:proofErr w:type="gramStart"/>
      <w:r>
        <w:rPr>
          <w:rFonts w:eastAsia="TimesNewRomanPSMT"/>
          <w:b w:val="0"/>
          <w:bCs w:val="0"/>
        </w:rPr>
        <w:t>':</w:t>
      </w:r>
      <w:proofErr w:type="spellStart"/>
      <w:r>
        <w:rPr>
          <w:rFonts w:eastAsia="TimesNewRomanPSMT"/>
          <w:b w:val="0"/>
          <w:bCs w:val="0"/>
        </w:rPr>
        <w:t>ti</w:t>
      </w:r>
      <w:proofErr w:type="gramEnd"/>
      <w:r>
        <w:rPr>
          <w:rFonts w:eastAsia="TimesNewRomanPSMT"/>
          <w:b w:val="0"/>
          <w:bCs w:val="0"/>
        </w:rPr>
        <w:t>,</w:t>
      </w:r>
      <w:proofErr w:type="gramStart"/>
      <w:r>
        <w:rPr>
          <w:rFonts w:eastAsia="TimesNewRomanPSMT"/>
          <w:b w:val="0"/>
          <w:bCs w:val="0"/>
        </w:rPr>
        <w:t>ab,kw</w:t>
      </w:r>
      <w:proofErr w:type="gramEnd"/>
      <w:r>
        <w:rPr>
          <w:rFonts w:eastAsia="TimesNewRomanPSMT"/>
          <w:b w:val="0"/>
          <w:bCs w:val="0"/>
        </w:rPr>
        <w:t>,</w:t>
      </w:r>
      <w:proofErr w:type="gramStart"/>
      <w:r>
        <w:rPr>
          <w:rFonts w:eastAsia="TimesNewRomanPSMT"/>
          <w:b w:val="0"/>
          <w:bCs w:val="0"/>
        </w:rPr>
        <w:t>de,tn</w:t>
      </w:r>
      <w:proofErr w:type="spellEnd"/>
      <w:proofErr w:type="gramEnd"/>
      <w:r>
        <w:rPr>
          <w:rFonts w:eastAsia="TimesNewRomanPSMT"/>
          <w:b w:val="0"/>
          <w:bCs w:val="0"/>
        </w:rPr>
        <w:t xml:space="preserve"> OR ' Controlled Clinical Trials, Randomized</w:t>
      </w:r>
      <w:proofErr w:type="gramStart"/>
      <w:r>
        <w:rPr>
          <w:rFonts w:eastAsia="TimesNewRomanPSMT"/>
          <w:b w:val="0"/>
          <w:bCs w:val="0"/>
        </w:rPr>
        <w:t>':</w:t>
      </w:r>
      <w:proofErr w:type="spellStart"/>
      <w:r>
        <w:rPr>
          <w:rFonts w:eastAsia="TimesNewRomanPSMT"/>
          <w:b w:val="0"/>
          <w:bCs w:val="0"/>
        </w:rPr>
        <w:t>ti</w:t>
      </w:r>
      <w:proofErr w:type="gramEnd"/>
      <w:r>
        <w:rPr>
          <w:rFonts w:eastAsia="TimesNewRomanPSMT"/>
          <w:b w:val="0"/>
          <w:bCs w:val="0"/>
        </w:rPr>
        <w:t>,</w:t>
      </w:r>
      <w:proofErr w:type="gramStart"/>
      <w:r>
        <w:rPr>
          <w:rFonts w:eastAsia="TimesNewRomanPSMT"/>
          <w:b w:val="0"/>
          <w:bCs w:val="0"/>
        </w:rPr>
        <w:t>ab,kw</w:t>
      </w:r>
      <w:proofErr w:type="gramEnd"/>
      <w:r>
        <w:rPr>
          <w:rFonts w:eastAsia="TimesNewRomanPSMT"/>
          <w:b w:val="0"/>
          <w:bCs w:val="0"/>
        </w:rPr>
        <w:t>,</w:t>
      </w:r>
      <w:proofErr w:type="gramStart"/>
      <w:r>
        <w:rPr>
          <w:rFonts w:eastAsia="TimesNewRomanPSMT"/>
          <w:b w:val="0"/>
          <w:bCs w:val="0"/>
        </w:rPr>
        <w:t>de,tn</w:t>
      </w:r>
      <w:proofErr w:type="spellEnd"/>
      <w:proofErr w:type="gramEnd"/>
      <w:r>
        <w:rPr>
          <w:rFonts w:eastAsia="TimesNewRomanPSMT"/>
          <w:b w:val="0"/>
          <w:bCs w:val="0"/>
        </w:rPr>
        <w:t xml:space="preserve"> </w:t>
      </w:r>
    </w:p>
    <w:p w14:paraId="213A5B24" w14:textId="77777777" w:rsidR="006D1C3F" w:rsidRDefault="00000000">
      <w:pPr>
        <w:autoSpaceDE w:val="0"/>
        <w:autoSpaceDN w:val="0"/>
        <w:adjustRightInd w:val="0"/>
        <w:spacing w:line="360" w:lineRule="exact"/>
        <w:ind w:firstLineChars="0" w:firstLine="0"/>
        <w:rPr>
          <w:rFonts w:eastAsia="TimesNewRomanPSMT"/>
          <w:b w:val="0"/>
          <w:bCs w:val="0"/>
        </w:rPr>
      </w:pPr>
      <w:r>
        <w:rPr>
          <w:rFonts w:eastAsia="TimesNewRomanPSMT"/>
        </w:rPr>
        <w:t>#</w:t>
      </w:r>
      <w:r>
        <w:rPr>
          <w:rFonts w:eastAsia="TimesNewRomanPSMT" w:hint="eastAsia"/>
        </w:rPr>
        <w:t>4</w:t>
      </w:r>
      <w:r>
        <w:rPr>
          <w:rFonts w:eastAsia="TimesNewRomanPSMT"/>
          <w:b w:val="0"/>
          <w:bCs w:val="0"/>
        </w:rPr>
        <w:t xml:space="preserve"> #1 AND #2 AND #3</w:t>
      </w:r>
      <w:bookmarkEnd w:id="2"/>
    </w:p>
    <w:p w14:paraId="56C73617" w14:textId="77777777" w:rsidR="006D1C3F" w:rsidRDefault="00000000">
      <w:pPr>
        <w:numPr>
          <w:ilvl w:val="0"/>
          <w:numId w:val="1"/>
        </w:numPr>
        <w:spacing w:line="360" w:lineRule="exact"/>
        <w:ind w:firstLineChars="0" w:firstLine="0"/>
        <w:jc w:val="left"/>
        <w:rPr>
          <w:rFonts w:eastAsiaTheme="minorEastAsia" w:cstheme="minorBidi"/>
          <w:b w:val="0"/>
          <w:bCs w:val="0"/>
        </w:rPr>
      </w:pPr>
      <w:r>
        <w:rPr>
          <w:rFonts w:eastAsiaTheme="minorEastAsia" w:cstheme="minorBidi"/>
          <w:b w:val="0"/>
          <w:bCs w:val="0"/>
        </w:rPr>
        <w:lastRenderedPageBreak/>
        <w:t>The Cochrane Central Register of Controlled Trials (CENTRAL)</w:t>
      </w:r>
    </w:p>
    <w:p w14:paraId="3372EB2B" w14:textId="77777777" w:rsidR="006D1C3F" w:rsidRDefault="00000000">
      <w:pPr>
        <w:autoSpaceDE w:val="0"/>
        <w:autoSpaceDN w:val="0"/>
        <w:adjustRightInd w:val="0"/>
        <w:spacing w:line="360" w:lineRule="exact"/>
        <w:ind w:firstLineChars="0" w:firstLine="0"/>
        <w:rPr>
          <w:rFonts w:eastAsia="TimesNewRomanPSMT"/>
          <w:b w:val="0"/>
          <w:bCs w:val="0"/>
        </w:rPr>
      </w:pPr>
      <w:r>
        <w:rPr>
          <w:rFonts w:eastAsia="TimesNewRomanPSMT"/>
        </w:rPr>
        <w:t xml:space="preserve">#1 </w:t>
      </w:r>
      <w:r>
        <w:rPr>
          <w:rFonts w:eastAsia="TimesNewRomanPSMT"/>
          <w:b w:val="0"/>
          <w:bCs w:val="0"/>
        </w:rPr>
        <w:t>(</w:t>
      </w:r>
      <w:r>
        <w:rPr>
          <w:rFonts w:eastAsiaTheme="minorEastAsia"/>
          <w:b w:val="0"/>
          <w:bCs w:val="0"/>
          <w:color w:val="333333"/>
          <w:shd w:val="clear" w:color="auto" w:fill="FFFFFF"/>
        </w:rPr>
        <w:t>Anaplastic Lymphoma Kinase</w:t>
      </w:r>
      <w:r>
        <w:rPr>
          <w:rFonts w:eastAsia="TimesNewRomanPSMT"/>
          <w:b w:val="0"/>
          <w:bCs w:val="0"/>
        </w:rPr>
        <w:t xml:space="preserve"> or </w:t>
      </w:r>
      <w:r>
        <w:rPr>
          <w:b w:val="0"/>
          <w:bCs w:val="0"/>
          <w:color w:val="000000"/>
        </w:rPr>
        <w:t>ALK Tyrosine Kinase Receptor</w:t>
      </w:r>
      <w:r>
        <w:rPr>
          <w:rFonts w:eastAsia="TimesNewRomanPSMT"/>
          <w:b w:val="0"/>
          <w:bCs w:val="0"/>
        </w:rPr>
        <w:t xml:space="preserve"> or </w:t>
      </w:r>
      <w:r>
        <w:rPr>
          <w:b w:val="0"/>
          <w:bCs w:val="0"/>
          <w:color w:val="000000"/>
        </w:rPr>
        <w:t>Anaplastic Lymphoma Receptor Tyrosine Kinase</w:t>
      </w:r>
      <w:r>
        <w:rPr>
          <w:rFonts w:eastAsia="TimesNewRomanPSMT"/>
          <w:b w:val="0"/>
          <w:bCs w:val="0"/>
        </w:rPr>
        <w:t xml:space="preserve"> or</w:t>
      </w:r>
      <w:r>
        <w:rPr>
          <w:b w:val="0"/>
          <w:bCs w:val="0"/>
          <w:color w:val="000000"/>
        </w:rPr>
        <w:t xml:space="preserve"> </w:t>
      </w:r>
      <w:proofErr w:type="spellStart"/>
      <w:r>
        <w:rPr>
          <w:b w:val="0"/>
          <w:bCs w:val="0"/>
          <w:color w:val="000000"/>
        </w:rPr>
        <w:t>Nucleophosmin</w:t>
      </w:r>
      <w:proofErr w:type="spellEnd"/>
      <w:r>
        <w:rPr>
          <w:b w:val="0"/>
          <w:bCs w:val="0"/>
          <w:color w:val="000000"/>
        </w:rPr>
        <w:t>-Anaplastic Lymphoma Kinase</w:t>
      </w:r>
      <w:r>
        <w:rPr>
          <w:rFonts w:eastAsia="TimesNewRomanPSMT"/>
          <w:b w:val="0"/>
          <w:bCs w:val="0"/>
        </w:rPr>
        <w:t xml:space="preserve"> or </w:t>
      </w:r>
      <w:proofErr w:type="spellStart"/>
      <w:r>
        <w:rPr>
          <w:b w:val="0"/>
          <w:bCs w:val="0"/>
          <w:color w:val="000000"/>
        </w:rPr>
        <w:t>Nucleophosmin</w:t>
      </w:r>
      <w:proofErr w:type="spellEnd"/>
      <w:r>
        <w:rPr>
          <w:b w:val="0"/>
          <w:bCs w:val="0"/>
          <w:color w:val="000000"/>
        </w:rPr>
        <w:t> Anaplastic Lymphoma Kinase</w:t>
      </w:r>
      <w:r>
        <w:rPr>
          <w:rFonts w:eastAsia="TimesNewRomanPSMT"/>
          <w:b w:val="0"/>
          <w:bCs w:val="0"/>
        </w:rPr>
        <w:t xml:space="preserve"> or </w:t>
      </w:r>
      <w:r>
        <w:rPr>
          <w:b w:val="0"/>
          <w:bCs w:val="0"/>
          <w:color w:val="000000"/>
        </w:rPr>
        <w:t>ALK Kinase</w:t>
      </w:r>
      <w:r>
        <w:rPr>
          <w:rFonts w:eastAsia="TimesNewRomanPSMT"/>
          <w:b w:val="0"/>
          <w:bCs w:val="0"/>
        </w:rPr>
        <w:t xml:space="preserve"> or </w:t>
      </w:r>
      <w:r>
        <w:rPr>
          <w:b w:val="0"/>
          <w:bCs w:val="0"/>
          <w:color w:val="000000"/>
        </w:rPr>
        <w:t xml:space="preserve">CD246 Antigen) </w:t>
      </w:r>
      <w:r>
        <w:rPr>
          <w:rFonts w:eastAsia="TimesNewRomanPSMT"/>
          <w:b w:val="0"/>
          <w:bCs w:val="0"/>
        </w:rPr>
        <w:t xml:space="preserve"> </w:t>
      </w:r>
    </w:p>
    <w:p w14:paraId="5AB4B027" w14:textId="77777777" w:rsidR="006D1C3F" w:rsidRDefault="006D1C3F">
      <w:pPr>
        <w:autoSpaceDE w:val="0"/>
        <w:autoSpaceDN w:val="0"/>
        <w:adjustRightInd w:val="0"/>
        <w:spacing w:line="360" w:lineRule="exact"/>
        <w:ind w:firstLineChars="0" w:firstLine="0"/>
        <w:rPr>
          <w:rFonts w:eastAsia="TimesNewRomanPSMT"/>
          <w:b w:val="0"/>
          <w:bCs w:val="0"/>
        </w:rPr>
      </w:pPr>
    </w:p>
    <w:p w14:paraId="60D6B8B5" w14:textId="77777777" w:rsidR="006D1C3F" w:rsidRDefault="00000000">
      <w:pPr>
        <w:autoSpaceDE w:val="0"/>
        <w:autoSpaceDN w:val="0"/>
        <w:adjustRightInd w:val="0"/>
        <w:spacing w:line="360" w:lineRule="exact"/>
        <w:ind w:firstLineChars="0" w:firstLine="0"/>
        <w:rPr>
          <w:rFonts w:eastAsia="TimesNewRomanPSMT"/>
          <w:b w:val="0"/>
          <w:bCs w:val="0"/>
        </w:rPr>
      </w:pPr>
      <w:r>
        <w:rPr>
          <w:rFonts w:eastAsia="TimesNewRomanPSMT"/>
        </w:rPr>
        <w:t>#2</w:t>
      </w:r>
      <w:r>
        <w:rPr>
          <w:rFonts w:eastAsia="TimesNewRomanPSMT"/>
          <w:b w:val="0"/>
          <w:bCs w:val="0"/>
        </w:rPr>
        <w:t xml:space="preserve"> (</w:t>
      </w:r>
      <w:r>
        <w:rPr>
          <w:rFonts w:eastAsiaTheme="minorEastAsia"/>
          <w:b w:val="0"/>
          <w:bCs w:val="0"/>
          <w:color w:val="333333"/>
          <w:shd w:val="clear" w:color="auto" w:fill="FFFFFF"/>
        </w:rPr>
        <w:t>Carcinoma, Non-Small-Cell Lung</w:t>
      </w:r>
      <w:r>
        <w:rPr>
          <w:rFonts w:eastAsia="TimesNewRomanPSMT"/>
          <w:b w:val="0"/>
          <w:bCs w:val="0"/>
        </w:rPr>
        <w:t xml:space="preserve"> or </w:t>
      </w:r>
      <w:r>
        <w:rPr>
          <w:b w:val="0"/>
          <w:bCs w:val="0"/>
          <w:color w:val="000000"/>
        </w:rPr>
        <w:t xml:space="preserve">Carcinoma, </w:t>
      </w:r>
      <w:proofErr w:type="spellStart"/>
      <w:r>
        <w:rPr>
          <w:b w:val="0"/>
          <w:bCs w:val="0"/>
          <w:color w:val="000000"/>
        </w:rPr>
        <w:t>Non Small</w:t>
      </w:r>
      <w:proofErr w:type="spellEnd"/>
      <w:r>
        <w:rPr>
          <w:b w:val="0"/>
          <w:bCs w:val="0"/>
          <w:color w:val="000000"/>
        </w:rPr>
        <w:t xml:space="preserve"> Cell Lung</w:t>
      </w:r>
      <w:r>
        <w:rPr>
          <w:rFonts w:eastAsia="TimesNewRomanPSMT"/>
          <w:b w:val="0"/>
          <w:bCs w:val="0"/>
        </w:rPr>
        <w:t xml:space="preserve"> or </w:t>
      </w:r>
      <w:r>
        <w:rPr>
          <w:b w:val="0"/>
          <w:bCs w:val="0"/>
          <w:color w:val="000000"/>
        </w:rPr>
        <w:t xml:space="preserve">Carcinoma, </w:t>
      </w:r>
      <w:proofErr w:type="spellStart"/>
      <w:r>
        <w:rPr>
          <w:b w:val="0"/>
          <w:bCs w:val="0"/>
          <w:color w:val="000000"/>
        </w:rPr>
        <w:t>Non Small</w:t>
      </w:r>
      <w:proofErr w:type="spellEnd"/>
      <w:r>
        <w:rPr>
          <w:b w:val="0"/>
          <w:bCs w:val="0"/>
          <w:color w:val="000000"/>
        </w:rPr>
        <w:t xml:space="preserve"> Cell Lung</w:t>
      </w:r>
      <w:r>
        <w:rPr>
          <w:rFonts w:eastAsia="TimesNewRomanPSMT"/>
          <w:b w:val="0"/>
          <w:bCs w:val="0"/>
        </w:rPr>
        <w:t xml:space="preserve"> or</w:t>
      </w:r>
      <w:r>
        <w:rPr>
          <w:b w:val="0"/>
          <w:bCs w:val="0"/>
          <w:color w:val="000000"/>
        </w:rPr>
        <w:t xml:space="preserve"> Lung Carcinomas, Non-Small-Cell</w:t>
      </w:r>
      <w:r>
        <w:rPr>
          <w:rFonts w:eastAsia="TimesNewRomanPSMT"/>
          <w:b w:val="0"/>
          <w:bCs w:val="0"/>
        </w:rPr>
        <w:t xml:space="preserve"> or </w:t>
      </w:r>
      <w:r>
        <w:rPr>
          <w:b w:val="0"/>
          <w:bCs w:val="0"/>
          <w:color w:val="000000"/>
        </w:rPr>
        <w:t>Non-Small-Cell Lung Carcinomas</w:t>
      </w:r>
      <w:r>
        <w:rPr>
          <w:rFonts w:eastAsia="TimesNewRomanPSMT"/>
          <w:b w:val="0"/>
          <w:bCs w:val="0"/>
        </w:rPr>
        <w:t xml:space="preserve"> or </w:t>
      </w:r>
      <w:r>
        <w:rPr>
          <w:b w:val="0"/>
          <w:bCs w:val="0"/>
          <w:color w:val="000000"/>
        </w:rPr>
        <w:t>Non-Small-Cell Lung Carcinoma</w:t>
      </w:r>
      <w:r>
        <w:rPr>
          <w:rFonts w:eastAsia="TimesNewRomanPSMT"/>
          <w:b w:val="0"/>
          <w:bCs w:val="0"/>
        </w:rPr>
        <w:t xml:space="preserve"> or </w:t>
      </w:r>
      <w:proofErr w:type="spellStart"/>
      <w:r>
        <w:rPr>
          <w:b w:val="0"/>
          <w:bCs w:val="0"/>
          <w:color w:val="000000"/>
        </w:rPr>
        <w:t>Non Small</w:t>
      </w:r>
      <w:proofErr w:type="spellEnd"/>
      <w:r>
        <w:rPr>
          <w:b w:val="0"/>
          <w:bCs w:val="0"/>
          <w:color w:val="000000"/>
        </w:rPr>
        <w:t xml:space="preserve"> Cell Lung Carcinoma or Carcinoma, Non-Small Cell Lung or Non-Small Cell Lung Carcinoma or Carcinoma, Non-Small Cell Lung or Non-Small Cell Lung Carcinoma or Non-Small Cell Lung Cancer or </w:t>
      </w:r>
      <w:proofErr w:type="spellStart"/>
      <w:r>
        <w:rPr>
          <w:b w:val="0"/>
          <w:bCs w:val="0"/>
          <w:color w:val="000000"/>
        </w:rPr>
        <w:t>Nonsmall</w:t>
      </w:r>
      <w:proofErr w:type="spellEnd"/>
      <w:r>
        <w:rPr>
          <w:b w:val="0"/>
          <w:bCs w:val="0"/>
          <w:color w:val="000000"/>
        </w:rPr>
        <w:t xml:space="preserve"> Cell Lung Cancer</w:t>
      </w:r>
      <w:r>
        <w:rPr>
          <w:rFonts w:eastAsia="TimesNewRomanPSMT"/>
          <w:b w:val="0"/>
          <w:bCs w:val="0"/>
        </w:rPr>
        <w:t>):</w:t>
      </w:r>
      <w:proofErr w:type="spellStart"/>
      <w:r>
        <w:rPr>
          <w:rFonts w:eastAsia="TimesNewRomanPSMT"/>
          <w:b w:val="0"/>
          <w:bCs w:val="0"/>
        </w:rPr>
        <w:t>ti,ab,kw</w:t>
      </w:r>
      <w:proofErr w:type="spellEnd"/>
      <w:r>
        <w:rPr>
          <w:b w:val="0"/>
          <w:bCs w:val="0"/>
          <w:color w:val="000000"/>
        </w:rPr>
        <w:t xml:space="preserve"> </w:t>
      </w:r>
      <w:r>
        <w:rPr>
          <w:rFonts w:eastAsia="TimesNewRomanPSMT"/>
          <w:b w:val="0"/>
          <w:bCs w:val="0"/>
        </w:rPr>
        <w:t xml:space="preserve"> </w:t>
      </w:r>
    </w:p>
    <w:p w14:paraId="2878F137" w14:textId="77777777" w:rsidR="006D1C3F" w:rsidRDefault="006D1C3F">
      <w:pPr>
        <w:autoSpaceDE w:val="0"/>
        <w:autoSpaceDN w:val="0"/>
        <w:adjustRightInd w:val="0"/>
        <w:spacing w:line="360" w:lineRule="exact"/>
        <w:ind w:firstLineChars="0" w:firstLine="0"/>
        <w:rPr>
          <w:rFonts w:eastAsia="TimesNewRomanPSMT"/>
          <w:b w:val="0"/>
          <w:bCs w:val="0"/>
        </w:rPr>
      </w:pPr>
    </w:p>
    <w:p w14:paraId="42CA8F51" w14:textId="77777777" w:rsidR="006D1C3F" w:rsidRDefault="00000000">
      <w:pPr>
        <w:autoSpaceDE w:val="0"/>
        <w:autoSpaceDN w:val="0"/>
        <w:adjustRightInd w:val="0"/>
        <w:spacing w:line="360" w:lineRule="exact"/>
        <w:ind w:firstLineChars="0" w:firstLine="0"/>
        <w:rPr>
          <w:rFonts w:eastAsia="TimesNewRomanPSMT"/>
          <w:b w:val="0"/>
          <w:bCs w:val="0"/>
        </w:rPr>
      </w:pPr>
      <w:r>
        <w:rPr>
          <w:rFonts w:eastAsia="TimesNewRomanPSMT"/>
        </w:rPr>
        <w:t>#</w:t>
      </w:r>
      <w:r>
        <w:rPr>
          <w:rFonts w:eastAsia="TimesNewRomanPSMT" w:hint="eastAsia"/>
        </w:rPr>
        <w:t>3</w:t>
      </w:r>
      <w:r>
        <w:rPr>
          <w:rFonts w:eastAsia="TimesNewRomanPSMT"/>
        </w:rPr>
        <w:t xml:space="preserve"> </w:t>
      </w:r>
      <w:r>
        <w:rPr>
          <w:rFonts w:eastAsia="TimesNewRomanPSMT"/>
          <w:b w:val="0"/>
          <w:bCs w:val="0"/>
        </w:rPr>
        <w:t>(</w:t>
      </w:r>
      <w:r>
        <w:rPr>
          <w:rFonts w:eastAsiaTheme="minorEastAsia"/>
          <w:b w:val="0"/>
          <w:bCs w:val="0"/>
        </w:rPr>
        <w:t>Randomized Controlled Trial</w:t>
      </w:r>
      <w:r>
        <w:rPr>
          <w:rFonts w:eastAsia="TimesNewRomanPSMT"/>
          <w:b w:val="0"/>
          <w:bCs w:val="0"/>
        </w:rPr>
        <w:t xml:space="preserve"> or </w:t>
      </w:r>
      <w:r>
        <w:rPr>
          <w:b w:val="0"/>
          <w:bCs w:val="0"/>
          <w:color w:val="000000"/>
        </w:rPr>
        <w:t>Clinical Trials, Randomized</w:t>
      </w:r>
      <w:r>
        <w:rPr>
          <w:rFonts w:eastAsia="TimesNewRomanPSMT"/>
          <w:b w:val="0"/>
          <w:bCs w:val="0"/>
        </w:rPr>
        <w:t xml:space="preserve"> or </w:t>
      </w:r>
      <w:r>
        <w:rPr>
          <w:b w:val="0"/>
          <w:bCs w:val="0"/>
          <w:color w:val="000000"/>
        </w:rPr>
        <w:t>Trials, Randomized Clinical or Controlled Clinical Trials, Randomized</w:t>
      </w:r>
      <w:proofErr w:type="gramStart"/>
      <w:r>
        <w:rPr>
          <w:b w:val="0"/>
          <w:bCs w:val="0"/>
          <w:color w:val="000000"/>
        </w:rPr>
        <w:t>):</w:t>
      </w:r>
      <w:proofErr w:type="spellStart"/>
      <w:r>
        <w:rPr>
          <w:rFonts w:eastAsia="TimesNewRomanPSMT"/>
          <w:b w:val="0"/>
          <w:bCs w:val="0"/>
        </w:rPr>
        <w:t>ti</w:t>
      </w:r>
      <w:proofErr w:type="gramEnd"/>
      <w:r>
        <w:rPr>
          <w:rFonts w:eastAsia="TimesNewRomanPSMT"/>
          <w:b w:val="0"/>
          <w:bCs w:val="0"/>
        </w:rPr>
        <w:t>,</w:t>
      </w:r>
      <w:proofErr w:type="gramStart"/>
      <w:r>
        <w:rPr>
          <w:rFonts w:eastAsia="TimesNewRomanPSMT"/>
          <w:b w:val="0"/>
          <w:bCs w:val="0"/>
        </w:rPr>
        <w:t>ab,kw</w:t>
      </w:r>
      <w:proofErr w:type="spellEnd"/>
      <w:proofErr w:type="gramEnd"/>
      <w:r>
        <w:rPr>
          <w:rFonts w:eastAsia="TimesNewRomanPSMT"/>
          <w:b w:val="0"/>
          <w:bCs w:val="0"/>
        </w:rPr>
        <w:t xml:space="preserve"> *(Randomized controlled trials were defaulted in CENTRAL of The Cochrane Library Central Register) </w:t>
      </w:r>
    </w:p>
    <w:p w14:paraId="6FE8E313" w14:textId="77777777" w:rsidR="006D1C3F" w:rsidRDefault="00000000">
      <w:pPr>
        <w:pStyle w:val="af0"/>
        <w:keepNext/>
        <w:keepLines/>
        <w:pageBreakBefore/>
        <w:spacing w:before="340" w:after="156" w:line="240" w:lineRule="auto"/>
        <w:ind w:firstLineChars="0" w:firstLine="0"/>
        <w:outlineLvl w:val="0"/>
        <w:rPr>
          <w:rFonts w:eastAsiaTheme="minorEastAsia" w:cstheme="minorBidi"/>
          <w:b w:val="0"/>
          <w:bCs w:val="0"/>
          <w:kern w:val="44"/>
        </w:rPr>
      </w:pPr>
      <w:bookmarkStart w:id="3" w:name="_Hlk211978160"/>
      <w:bookmarkStart w:id="4" w:name="_Toc225844801"/>
      <w:r>
        <w:rPr>
          <w:rFonts w:cstheme="minorBidi" w:hint="eastAsia"/>
          <w:b w:val="0"/>
          <w:bCs w:val="0"/>
          <w:kern w:val="44"/>
        </w:rPr>
        <w:lastRenderedPageBreak/>
        <w:t xml:space="preserve">2 </w:t>
      </w:r>
      <w:proofErr w:type="spellStart"/>
      <w:r>
        <w:rPr>
          <w:rFonts w:cstheme="minorBidi" w:hint="eastAsia"/>
          <w:b w:val="0"/>
          <w:bCs w:val="0"/>
          <w:kern w:val="44"/>
        </w:rPr>
        <w:t>eMethod</w:t>
      </w:r>
      <w:proofErr w:type="spellEnd"/>
      <w:r>
        <w:rPr>
          <w:rFonts w:cstheme="minorBidi" w:hint="eastAsia"/>
          <w:b w:val="0"/>
          <w:bCs w:val="0"/>
          <w:kern w:val="44"/>
        </w:rPr>
        <w:t xml:space="preserve"> </w:t>
      </w:r>
      <w:bookmarkEnd w:id="3"/>
      <w:r>
        <w:rPr>
          <w:rFonts w:eastAsia="Times New Roman" w:cstheme="minorBidi"/>
          <w:b w:val="0"/>
          <w:bCs w:val="0"/>
          <w:kern w:val="44"/>
        </w:rPr>
        <w:t>Physician Preference Search Strategy</w:t>
      </w:r>
      <w:bookmarkEnd w:id="4"/>
    </w:p>
    <w:p w14:paraId="545C4923" w14:textId="77777777" w:rsidR="006D1C3F" w:rsidRDefault="00000000">
      <w:pPr>
        <w:spacing w:line="360" w:lineRule="exact"/>
        <w:ind w:firstLineChars="0" w:firstLine="0"/>
        <w:rPr>
          <w:rFonts w:eastAsiaTheme="minorEastAsia" w:cstheme="minorBidi"/>
          <w:b w:val="0"/>
          <w:bCs w:val="0"/>
        </w:rPr>
      </w:pPr>
      <w:r>
        <w:rPr>
          <w:rFonts w:eastAsiaTheme="minorEastAsia" w:cstheme="minorBidi" w:hint="eastAsia"/>
          <w:b w:val="0"/>
          <w:bCs w:val="0"/>
        </w:rPr>
        <w:t>（</w:t>
      </w:r>
      <w:r>
        <w:rPr>
          <w:rFonts w:eastAsiaTheme="minorEastAsia" w:cstheme="minorBidi" w:hint="eastAsia"/>
          <w:b w:val="0"/>
          <w:bCs w:val="0"/>
        </w:rPr>
        <w:t>1</w:t>
      </w:r>
      <w:r>
        <w:rPr>
          <w:rFonts w:eastAsiaTheme="minorEastAsia" w:cstheme="minorBidi" w:hint="eastAsia"/>
          <w:b w:val="0"/>
          <w:bCs w:val="0"/>
        </w:rPr>
        <w:t>）</w:t>
      </w:r>
      <w:r>
        <w:rPr>
          <w:rFonts w:eastAsiaTheme="minorEastAsia" w:cstheme="minorBidi" w:hint="eastAsia"/>
          <w:b w:val="0"/>
          <w:bCs w:val="0"/>
        </w:rPr>
        <w:t xml:space="preserve">PubMed Search Strategy </w:t>
      </w:r>
    </w:p>
    <w:p w14:paraId="736E99A8"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#1</w:t>
      </w:r>
      <w:r>
        <w:rPr>
          <w:rFonts w:eastAsia="TimesNewRomanPSMT"/>
          <w:b w:val="0"/>
          <w:bCs w:val="0"/>
        </w:rPr>
        <w:t xml:space="preserve"> physician*[</w:t>
      </w:r>
      <w:proofErr w:type="spellStart"/>
      <w:r>
        <w:rPr>
          <w:rFonts w:eastAsia="TimesNewRomanPSMT"/>
          <w:b w:val="0"/>
          <w:bCs w:val="0"/>
        </w:rPr>
        <w:t>ti</w:t>
      </w:r>
      <w:proofErr w:type="spellEnd"/>
      <w:r>
        <w:rPr>
          <w:rFonts w:eastAsia="TimesNewRomanPSMT"/>
          <w:b w:val="0"/>
          <w:bCs w:val="0"/>
        </w:rPr>
        <w:t>] OR doctor[</w:t>
      </w:r>
      <w:proofErr w:type="spellStart"/>
      <w:r>
        <w:rPr>
          <w:rFonts w:eastAsia="TimesNewRomanPSMT"/>
          <w:b w:val="0"/>
          <w:bCs w:val="0"/>
        </w:rPr>
        <w:t>ti</w:t>
      </w:r>
      <w:proofErr w:type="spellEnd"/>
      <w:r>
        <w:rPr>
          <w:rFonts w:eastAsia="TimesNewRomanPSMT"/>
          <w:b w:val="0"/>
          <w:bCs w:val="0"/>
        </w:rPr>
        <w:t>] OR hospitalist*[</w:t>
      </w:r>
      <w:proofErr w:type="spellStart"/>
      <w:r>
        <w:rPr>
          <w:rFonts w:eastAsia="TimesNewRomanPSMT"/>
          <w:b w:val="0"/>
          <w:bCs w:val="0"/>
        </w:rPr>
        <w:t>ti</w:t>
      </w:r>
      <w:proofErr w:type="spellEnd"/>
      <w:r>
        <w:rPr>
          <w:rFonts w:eastAsia="TimesNewRomanPSMT"/>
          <w:b w:val="0"/>
          <w:bCs w:val="0"/>
        </w:rPr>
        <w:t>] OR oncologist*[</w:t>
      </w:r>
      <w:proofErr w:type="spellStart"/>
      <w:r>
        <w:rPr>
          <w:rFonts w:eastAsia="TimesNewRomanPSMT"/>
          <w:b w:val="0"/>
          <w:bCs w:val="0"/>
        </w:rPr>
        <w:t>ti</w:t>
      </w:r>
      <w:proofErr w:type="spellEnd"/>
      <w:r>
        <w:rPr>
          <w:rFonts w:eastAsia="TimesNewRomanPSMT"/>
          <w:b w:val="0"/>
          <w:bCs w:val="0"/>
        </w:rPr>
        <w:t>] OR clinician*[</w:t>
      </w:r>
      <w:proofErr w:type="spellStart"/>
      <w:r>
        <w:rPr>
          <w:rFonts w:eastAsia="TimesNewRomanPSMT"/>
          <w:b w:val="0"/>
          <w:bCs w:val="0"/>
        </w:rPr>
        <w:t>ti</w:t>
      </w:r>
      <w:proofErr w:type="spellEnd"/>
      <w:r>
        <w:rPr>
          <w:rFonts w:eastAsia="TimesNewRomanPSMT"/>
          <w:b w:val="0"/>
          <w:bCs w:val="0"/>
        </w:rPr>
        <w:t xml:space="preserve">] OR </w:t>
      </w:r>
      <w:proofErr w:type="spellStart"/>
      <w:r>
        <w:rPr>
          <w:rFonts w:eastAsia="TimesNewRomanPSMT"/>
          <w:b w:val="0"/>
          <w:bCs w:val="0"/>
        </w:rPr>
        <w:t>mediciner</w:t>
      </w:r>
      <w:proofErr w:type="spellEnd"/>
      <w:r>
        <w:rPr>
          <w:rFonts w:eastAsia="TimesNewRomanPSMT"/>
          <w:b w:val="0"/>
          <w:bCs w:val="0"/>
        </w:rPr>
        <w:t>*[</w:t>
      </w:r>
      <w:proofErr w:type="spellStart"/>
      <w:r>
        <w:rPr>
          <w:rFonts w:eastAsia="TimesNewRomanPSMT"/>
          <w:b w:val="0"/>
          <w:bCs w:val="0"/>
        </w:rPr>
        <w:t>ti</w:t>
      </w:r>
      <w:proofErr w:type="spellEnd"/>
      <w:r>
        <w:rPr>
          <w:rFonts w:eastAsia="TimesNewRomanPSMT"/>
          <w:b w:val="0"/>
          <w:bCs w:val="0"/>
        </w:rPr>
        <w:t>] OR provider*[</w:t>
      </w:r>
      <w:proofErr w:type="spellStart"/>
      <w:r>
        <w:rPr>
          <w:rFonts w:eastAsia="TimesNewRomanPSMT"/>
          <w:b w:val="0"/>
          <w:bCs w:val="0"/>
        </w:rPr>
        <w:t>ti</w:t>
      </w:r>
      <w:proofErr w:type="spellEnd"/>
      <w:r>
        <w:rPr>
          <w:rFonts w:eastAsia="TimesNewRomanPSMT"/>
          <w:b w:val="0"/>
          <w:bCs w:val="0"/>
        </w:rPr>
        <w:t>]</w:t>
      </w:r>
    </w:p>
    <w:p w14:paraId="7509A8FB"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#2</w:t>
      </w:r>
      <w:r>
        <w:rPr>
          <w:rFonts w:eastAsia="TimesNewRomanPSMT" w:hint="eastAsia"/>
          <w:b w:val="0"/>
          <w:bCs w:val="0"/>
        </w:rPr>
        <w:t xml:space="preserve"> </w:t>
      </w:r>
      <w:r>
        <w:rPr>
          <w:rFonts w:eastAsia="TimesNewRomanPSMT"/>
          <w:b w:val="0"/>
          <w:bCs w:val="0"/>
        </w:rPr>
        <w:t>neoplasm*[mesh] OR cancer*[</w:t>
      </w:r>
      <w:proofErr w:type="spellStart"/>
      <w:r>
        <w:rPr>
          <w:rFonts w:eastAsia="TimesNewRomanPSMT"/>
          <w:b w:val="0"/>
          <w:bCs w:val="0"/>
        </w:rPr>
        <w:t>ti</w:t>
      </w:r>
      <w:proofErr w:type="spellEnd"/>
      <w:r>
        <w:rPr>
          <w:rFonts w:eastAsia="TimesNewRomanPSMT"/>
          <w:b w:val="0"/>
          <w:bCs w:val="0"/>
        </w:rPr>
        <w:t>] OR tumor*[</w:t>
      </w:r>
      <w:proofErr w:type="spellStart"/>
      <w:r>
        <w:rPr>
          <w:rFonts w:eastAsia="TimesNewRomanPSMT"/>
          <w:b w:val="0"/>
          <w:bCs w:val="0"/>
        </w:rPr>
        <w:t>ti</w:t>
      </w:r>
      <w:proofErr w:type="spellEnd"/>
      <w:r>
        <w:rPr>
          <w:rFonts w:eastAsia="TimesNewRomanPSMT"/>
          <w:b w:val="0"/>
          <w:bCs w:val="0"/>
        </w:rPr>
        <w:t>] OR oncology[</w:t>
      </w:r>
      <w:proofErr w:type="spellStart"/>
      <w:r>
        <w:rPr>
          <w:rFonts w:eastAsia="TimesNewRomanPSMT"/>
          <w:b w:val="0"/>
          <w:bCs w:val="0"/>
        </w:rPr>
        <w:t>ti</w:t>
      </w:r>
      <w:proofErr w:type="spellEnd"/>
      <w:r>
        <w:rPr>
          <w:rFonts w:eastAsia="TimesNewRomanPSMT"/>
          <w:b w:val="0"/>
          <w:bCs w:val="0"/>
        </w:rPr>
        <w:t>] OR mesothelioma[</w:t>
      </w:r>
      <w:proofErr w:type="spellStart"/>
      <w:r>
        <w:rPr>
          <w:rFonts w:eastAsia="TimesNewRomanPSMT"/>
          <w:b w:val="0"/>
          <w:bCs w:val="0"/>
        </w:rPr>
        <w:t>ti</w:t>
      </w:r>
      <w:proofErr w:type="spellEnd"/>
      <w:r>
        <w:rPr>
          <w:rFonts w:eastAsia="TimesNewRomanPSMT"/>
          <w:b w:val="0"/>
          <w:bCs w:val="0"/>
        </w:rPr>
        <w:t>] OR lymphoma[</w:t>
      </w:r>
      <w:proofErr w:type="spellStart"/>
      <w:r>
        <w:rPr>
          <w:rFonts w:eastAsia="TimesNewRomanPSMT"/>
          <w:b w:val="0"/>
          <w:bCs w:val="0"/>
        </w:rPr>
        <w:t>ti</w:t>
      </w:r>
      <w:proofErr w:type="spellEnd"/>
      <w:r>
        <w:rPr>
          <w:rFonts w:eastAsia="TimesNewRomanPSMT"/>
          <w:b w:val="0"/>
          <w:bCs w:val="0"/>
        </w:rPr>
        <w:t>] OR leukemia[</w:t>
      </w:r>
      <w:proofErr w:type="spellStart"/>
      <w:r>
        <w:rPr>
          <w:rFonts w:eastAsia="TimesNewRomanPSMT"/>
          <w:b w:val="0"/>
          <w:bCs w:val="0"/>
        </w:rPr>
        <w:t>ti</w:t>
      </w:r>
      <w:proofErr w:type="spellEnd"/>
      <w:r>
        <w:rPr>
          <w:rFonts w:eastAsia="TimesNewRomanPSMT"/>
          <w:b w:val="0"/>
          <w:bCs w:val="0"/>
        </w:rPr>
        <w:t>] OR melanoma[</w:t>
      </w:r>
      <w:proofErr w:type="spellStart"/>
      <w:r>
        <w:rPr>
          <w:rFonts w:eastAsia="TimesNewRomanPSMT"/>
          <w:b w:val="0"/>
          <w:bCs w:val="0"/>
        </w:rPr>
        <w:t>ti</w:t>
      </w:r>
      <w:proofErr w:type="spellEnd"/>
      <w:r>
        <w:rPr>
          <w:rFonts w:eastAsia="TimesNewRomanPSMT"/>
          <w:b w:val="0"/>
          <w:bCs w:val="0"/>
        </w:rPr>
        <w:t xml:space="preserve">] OR </w:t>
      </w:r>
      <w:proofErr w:type="spellStart"/>
      <w:r>
        <w:rPr>
          <w:rFonts w:eastAsia="TimesNewRomanPSMT"/>
          <w:b w:val="0"/>
          <w:bCs w:val="0"/>
        </w:rPr>
        <w:t>malignan</w:t>
      </w:r>
      <w:proofErr w:type="spellEnd"/>
      <w:r>
        <w:rPr>
          <w:rFonts w:eastAsia="TimesNewRomanPSMT"/>
          <w:b w:val="0"/>
          <w:bCs w:val="0"/>
        </w:rPr>
        <w:t>*[</w:t>
      </w:r>
      <w:proofErr w:type="spellStart"/>
      <w:r>
        <w:rPr>
          <w:rFonts w:eastAsia="TimesNewRomanPSMT"/>
          <w:b w:val="0"/>
          <w:bCs w:val="0"/>
        </w:rPr>
        <w:t>ti</w:t>
      </w:r>
      <w:proofErr w:type="spellEnd"/>
      <w:r>
        <w:rPr>
          <w:rFonts w:eastAsia="TimesNewRomanPSMT"/>
          <w:b w:val="0"/>
          <w:bCs w:val="0"/>
        </w:rPr>
        <w:t>]</w:t>
      </w:r>
    </w:p>
    <w:p w14:paraId="0EA49534"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#3</w:t>
      </w:r>
      <w:r>
        <w:rPr>
          <w:rFonts w:eastAsia="TimesNewRomanPSMT" w:hint="eastAsia"/>
          <w:b w:val="0"/>
          <w:bCs w:val="0"/>
        </w:rPr>
        <w:t xml:space="preserve"> </w:t>
      </w:r>
      <w:r>
        <w:rPr>
          <w:rFonts w:eastAsia="TimesNewRomanPSMT"/>
          <w:b w:val="0"/>
          <w:bCs w:val="0"/>
        </w:rPr>
        <w:t>choice*[</w:t>
      </w:r>
      <w:proofErr w:type="spellStart"/>
      <w:r>
        <w:rPr>
          <w:rFonts w:eastAsia="TimesNewRomanPSMT"/>
          <w:b w:val="0"/>
          <w:bCs w:val="0"/>
        </w:rPr>
        <w:t>ti</w:t>
      </w:r>
      <w:proofErr w:type="spellEnd"/>
      <w:r>
        <w:rPr>
          <w:rFonts w:eastAsia="TimesNewRomanPSMT"/>
          <w:b w:val="0"/>
          <w:bCs w:val="0"/>
        </w:rPr>
        <w:t>] OR preference*[</w:t>
      </w:r>
      <w:proofErr w:type="spellStart"/>
      <w:r>
        <w:rPr>
          <w:rFonts w:eastAsia="TimesNewRomanPSMT"/>
          <w:b w:val="0"/>
          <w:bCs w:val="0"/>
        </w:rPr>
        <w:t>ti</w:t>
      </w:r>
      <w:proofErr w:type="spellEnd"/>
      <w:r>
        <w:rPr>
          <w:rFonts w:eastAsia="TimesNewRomanPSMT"/>
          <w:b w:val="0"/>
          <w:bCs w:val="0"/>
        </w:rPr>
        <w:t>] OR attitude*[</w:t>
      </w:r>
      <w:proofErr w:type="spellStart"/>
      <w:r>
        <w:rPr>
          <w:rFonts w:eastAsia="TimesNewRomanPSMT"/>
          <w:b w:val="0"/>
          <w:bCs w:val="0"/>
        </w:rPr>
        <w:t>ti</w:t>
      </w:r>
      <w:proofErr w:type="spellEnd"/>
      <w:r>
        <w:rPr>
          <w:rFonts w:eastAsia="TimesNewRomanPSMT"/>
          <w:b w:val="0"/>
          <w:bCs w:val="0"/>
        </w:rPr>
        <w:t>]</w:t>
      </w:r>
    </w:p>
    <w:p w14:paraId="5AFCB4A5"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w:t>
      </w:r>
      <w:r>
        <w:rPr>
          <w:rFonts w:eastAsia="TimesNewRomanPSMT" w:hint="eastAsia"/>
        </w:rPr>
        <w:t>4</w:t>
      </w:r>
      <w:r>
        <w:rPr>
          <w:rFonts w:eastAsia="TimesNewRomanPSMT"/>
        </w:rPr>
        <w:t xml:space="preserve"> </w:t>
      </w:r>
      <w:r>
        <w:rPr>
          <w:rFonts w:eastAsia="TimesNewRomanPSMT"/>
          <w:b w:val="0"/>
          <w:bCs w:val="0"/>
        </w:rPr>
        <w:t>#1 AND #2 AND #3</w:t>
      </w:r>
    </w:p>
    <w:p w14:paraId="2BAB0618" w14:textId="77777777" w:rsidR="006D1C3F" w:rsidRDefault="006D1C3F">
      <w:pPr>
        <w:spacing w:line="240" w:lineRule="auto"/>
        <w:ind w:firstLineChars="0" w:firstLine="0"/>
        <w:jc w:val="left"/>
        <w:rPr>
          <w:rFonts w:eastAsiaTheme="minorEastAsia" w:cstheme="minorBidi"/>
          <w:b w:val="0"/>
          <w:bCs w:val="0"/>
        </w:rPr>
      </w:pPr>
    </w:p>
    <w:p w14:paraId="5B158CA0" w14:textId="77777777" w:rsidR="006D1C3F" w:rsidRDefault="00000000">
      <w:pPr>
        <w:spacing w:line="240" w:lineRule="auto"/>
        <w:ind w:firstLineChars="0" w:firstLine="0"/>
        <w:jc w:val="left"/>
        <w:rPr>
          <w:rFonts w:eastAsiaTheme="minorEastAsia" w:cstheme="minorBidi"/>
          <w:b w:val="0"/>
          <w:bCs w:val="0"/>
        </w:rPr>
      </w:pPr>
      <w:r>
        <w:rPr>
          <w:rFonts w:eastAsiaTheme="minorEastAsia" w:cstheme="minorBidi" w:hint="eastAsia"/>
          <w:b w:val="0"/>
          <w:bCs w:val="0"/>
        </w:rPr>
        <w:t>（</w:t>
      </w:r>
      <w:r>
        <w:rPr>
          <w:rFonts w:eastAsiaTheme="minorEastAsia" w:cstheme="minorBidi" w:hint="eastAsia"/>
          <w:b w:val="0"/>
          <w:bCs w:val="0"/>
        </w:rPr>
        <w:t>2</w:t>
      </w:r>
      <w:r>
        <w:rPr>
          <w:rFonts w:eastAsiaTheme="minorEastAsia" w:cstheme="minorBidi" w:hint="eastAsia"/>
          <w:b w:val="0"/>
          <w:bCs w:val="0"/>
        </w:rPr>
        <w:t>）</w:t>
      </w:r>
      <w:r>
        <w:rPr>
          <w:rFonts w:eastAsiaTheme="minorEastAsia" w:cstheme="minorBidi"/>
          <w:b w:val="0"/>
          <w:bCs w:val="0"/>
        </w:rPr>
        <w:t>Embase</w:t>
      </w:r>
    </w:p>
    <w:p w14:paraId="64C0C205" w14:textId="77777777" w:rsidR="006D1C3F" w:rsidRDefault="00000000">
      <w:pPr>
        <w:shd w:val="clear" w:color="auto" w:fill="FFFFFF"/>
        <w:spacing w:before="100" w:beforeAutospacing="1" w:after="156" w:afterAutospacing="1" w:line="360" w:lineRule="exact"/>
        <w:ind w:firstLineChars="0" w:firstLine="0"/>
        <w:rPr>
          <w:rFonts w:eastAsia="TimesNewRomanPSMT"/>
          <w:b w:val="0"/>
          <w:bCs w:val="0"/>
        </w:rPr>
      </w:pPr>
      <w:r>
        <w:rPr>
          <w:rFonts w:eastAsia="TimesNewRomanPSMT"/>
        </w:rPr>
        <w:t>#1</w:t>
      </w:r>
      <w:r>
        <w:rPr>
          <w:rFonts w:eastAsia="TimesNewRomanPSMT"/>
          <w:b w:val="0"/>
          <w:bCs w:val="0"/>
        </w:rPr>
        <w:t xml:space="preserve"> physician*.</w:t>
      </w:r>
      <w:proofErr w:type="spellStart"/>
      <w:r>
        <w:rPr>
          <w:rFonts w:eastAsia="TimesNewRomanPSMT"/>
          <w:b w:val="0"/>
          <w:bCs w:val="0"/>
        </w:rPr>
        <w:t>ti</w:t>
      </w:r>
      <w:proofErr w:type="spellEnd"/>
      <w:r>
        <w:rPr>
          <w:rFonts w:eastAsia="TimesNewRomanPSMT"/>
          <w:b w:val="0"/>
          <w:bCs w:val="0"/>
        </w:rPr>
        <w:t xml:space="preserve">. OR </w:t>
      </w:r>
      <w:proofErr w:type="spellStart"/>
      <w:r>
        <w:rPr>
          <w:rFonts w:eastAsia="TimesNewRomanPSMT"/>
          <w:b w:val="0"/>
          <w:bCs w:val="0"/>
        </w:rPr>
        <w:t>doctor.ti</w:t>
      </w:r>
      <w:proofErr w:type="spellEnd"/>
      <w:r>
        <w:rPr>
          <w:rFonts w:eastAsia="TimesNewRomanPSMT"/>
          <w:b w:val="0"/>
          <w:bCs w:val="0"/>
        </w:rPr>
        <w:t>. OR hospitalist*.</w:t>
      </w:r>
      <w:proofErr w:type="spellStart"/>
      <w:r>
        <w:rPr>
          <w:rFonts w:eastAsia="TimesNewRomanPSMT"/>
          <w:b w:val="0"/>
          <w:bCs w:val="0"/>
        </w:rPr>
        <w:t>ti</w:t>
      </w:r>
      <w:proofErr w:type="spellEnd"/>
      <w:r>
        <w:rPr>
          <w:rFonts w:eastAsia="TimesNewRomanPSMT"/>
          <w:b w:val="0"/>
          <w:bCs w:val="0"/>
        </w:rPr>
        <w:t>. OR oncologist*.</w:t>
      </w:r>
      <w:proofErr w:type="spellStart"/>
      <w:r>
        <w:rPr>
          <w:rFonts w:eastAsia="TimesNewRomanPSMT"/>
          <w:b w:val="0"/>
          <w:bCs w:val="0"/>
        </w:rPr>
        <w:t>ti</w:t>
      </w:r>
      <w:proofErr w:type="spellEnd"/>
      <w:r>
        <w:rPr>
          <w:rFonts w:eastAsia="TimesNewRomanPSMT"/>
          <w:b w:val="0"/>
          <w:bCs w:val="0"/>
        </w:rPr>
        <w:t>. OR clinician*.</w:t>
      </w:r>
      <w:proofErr w:type="spellStart"/>
      <w:r>
        <w:rPr>
          <w:rFonts w:eastAsia="TimesNewRomanPSMT"/>
          <w:b w:val="0"/>
          <w:bCs w:val="0"/>
        </w:rPr>
        <w:t>ti</w:t>
      </w:r>
      <w:proofErr w:type="spellEnd"/>
      <w:r>
        <w:rPr>
          <w:rFonts w:eastAsia="TimesNewRomanPSMT"/>
          <w:b w:val="0"/>
          <w:bCs w:val="0"/>
        </w:rPr>
        <w:t xml:space="preserve">. OR </w:t>
      </w:r>
      <w:proofErr w:type="spellStart"/>
      <w:r>
        <w:rPr>
          <w:rFonts w:eastAsia="TimesNewRomanPSMT"/>
          <w:b w:val="0"/>
          <w:bCs w:val="0"/>
        </w:rPr>
        <w:t>mediciner</w:t>
      </w:r>
      <w:proofErr w:type="spellEnd"/>
      <w:r>
        <w:rPr>
          <w:rFonts w:eastAsia="TimesNewRomanPSMT"/>
          <w:b w:val="0"/>
          <w:bCs w:val="0"/>
        </w:rPr>
        <w:t>*.</w:t>
      </w:r>
      <w:proofErr w:type="spellStart"/>
      <w:r>
        <w:rPr>
          <w:rFonts w:eastAsia="TimesNewRomanPSMT"/>
          <w:b w:val="0"/>
          <w:bCs w:val="0"/>
        </w:rPr>
        <w:t>ti</w:t>
      </w:r>
      <w:proofErr w:type="spellEnd"/>
      <w:r>
        <w:rPr>
          <w:rFonts w:eastAsia="TimesNewRomanPSMT"/>
          <w:b w:val="0"/>
          <w:bCs w:val="0"/>
        </w:rPr>
        <w:t>. OR provider*.</w:t>
      </w:r>
      <w:proofErr w:type="spellStart"/>
      <w:r>
        <w:rPr>
          <w:rFonts w:eastAsia="TimesNewRomanPSMT"/>
          <w:b w:val="0"/>
          <w:bCs w:val="0"/>
        </w:rPr>
        <w:t>ti</w:t>
      </w:r>
      <w:proofErr w:type="spellEnd"/>
      <w:r>
        <w:rPr>
          <w:rFonts w:eastAsia="TimesNewRomanPSMT"/>
          <w:b w:val="0"/>
          <w:bCs w:val="0"/>
        </w:rPr>
        <w:t>.</w:t>
      </w:r>
    </w:p>
    <w:p w14:paraId="51E0293C" w14:textId="77777777" w:rsidR="006D1C3F" w:rsidRDefault="00000000">
      <w:pPr>
        <w:shd w:val="clear" w:color="auto" w:fill="FFFFFF"/>
        <w:spacing w:before="100" w:beforeAutospacing="1" w:after="156" w:afterAutospacing="1" w:line="360" w:lineRule="exact"/>
        <w:ind w:firstLineChars="0" w:firstLine="0"/>
        <w:rPr>
          <w:b w:val="0"/>
          <w:bCs w:val="0"/>
          <w:color w:val="000000"/>
          <w:szCs w:val="20"/>
        </w:rPr>
      </w:pPr>
      <w:r>
        <w:rPr>
          <w:rFonts w:eastAsia="TimesNewRomanPSMT"/>
        </w:rPr>
        <w:t>#2</w:t>
      </w:r>
      <w:r>
        <w:rPr>
          <w:rFonts w:eastAsia="TimesNewRomanPSMT"/>
          <w:b w:val="0"/>
          <w:bCs w:val="0"/>
        </w:rPr>
        <w:t xml:space="preserve"> exp neoplasm/ OR </w:t>
      </w:r>
      <w:proofErr w:type="spellStart"/>
      <w:r>
        <w:rPr>
          <w:rFonts w:eastAsia="TimesNewRomanPSMT"/>
          <w:b w:val="0"/>
          <w:bCs w:val="0"/>
        </w:rPr>
        <w:t>cancer.ti</w:t>
      </w:r>
      <w:proofErr w:type="spellEnd"/>
      <w:r>
        <w:rPr>
          <w:rFonts w:eastAsia="TimesNewRomanPSMT"/>
          <w:b w:val="0"/>
          <w:bCs w:val="0"/>
        </w:rPr>
        <w:t xml:space="preserve">. OR </w:t>
      </w:r>
      <w:proofErr w:type="spellStart"/>
      <w:r>
        <w:rPr>
          <w:rFonts w:eastAsia="TimesNewRomanPSMT"/>
          <w:b w:val="0"/>
          <w:bCs w:val="0"/>
        </w:rPr>
        <w:t>tumor.ti</w:t>
      </w:r>
      <w:proofErr w:type="spellEnd"/>
      <w:r>
        <w:rPr>
          <w:rFonts w:eastAsia="TimesNewRomanPSMT"/>
          <w:b w:val="0"/>
          <w:bCs w:val="0"/>
        </w:rPr>
        <w:t xml:space="preserve">. OR </w:t>
      </w:r>
      <w:proofErr w:type="spellStart"/>
      <w:r>
        <w:rPr>
          <w:rFonts w:eastAsia="TimesNewRomanPSMT"/>
          <w:b w:val="0"/>
          <w:bCs w:val="0"/>
        </w:rPr>
        <w:t>oncology.ti</w:t>
      </w:r>
      <w:proofErr w:type="spellEnd"/>
      <w:r>
        <w:rPr>
          <w:rFonts w:eastAsia="TimesNewRomanPSMT"/>
          <w:b w:val="0"/>
          <w:bCs w:val="0"/>
        </w:rPr>
        <w:t xml:space="preserve">. OR </w:t>
      </w:r>
      <w:proofErr w:type="spellStart"/>
      <w:r>
        <w:rPr>
          <w:rFonts w:eastAsia="TimesNewRomanPSMT"/>
          <w:b w:val="0"/>
          <w:bCs w:val="0"/>
        </w:rPr>
        <w:t>mesothelioma.ti</w:t>
      </w:r>
      <w:proofErr w:type="spellEnd"/>
      <w:r>
        <w:rPr>
          <w:rFonts w:eastAsia="TimesNewRomanPSMT"/>
          <w:b w:val="0"/>
          <w:bCs w:val="0"/>
        </w:rPr>
        <w:t xml:space="preserve">. OR </w:t>
      </w:r>
      <w:proofErr w:type="spellStart"/>
      <w:r>
        <w:rPr>
          <w:rFonts w:eastAsia="TimesNewRomanPSMT"/>
          <w:b w:val="0"/>
          <w:bCs w:val="0"/>
        </w:rPr>
        <w:t>lymphoma.ti</w:t>
      </w:r>
      <w:proofErr w:type="spellEnd"/>
      <w:r>
        <w:rPr>
          <w:rFonts w:eastAsia="TimesNewRomanPSMT"/>
          <w:b w:val="0"/>
          <w:bCs w:val="0"/>
        </w:rPr>
        <w:t xml:space="preserve">. OR </w:t>
      </w:r>
      <w:proofErr w:type="spellStart"/>
      <w:r>
        <w:rPr>
          <w:rFonts w:eastAsia="TimesNewRomanPSMT"/>
          <w:b w:val="0"/>
          <w:bCs w:val="0"/>
        </w:rPr>
        <w:t>leukemia.ti</w:t>
      </w:r>
      <w:proofErr w:type="spellEnd"/>
      <w:r>
        <w:rPr>
          <w:rFonts w:eastAsia="TimesNewRomanPSMT"/>
          <w:b w:val="0"/>
          <w:bCs w:val="0"/>
        </w:rPr>
        <w:t xml:space="preserve">. OR </w:t>
      </w:r>
      <w:proofErr w:type="spellStart"/>
      <w:r>
        <w:rPr>
          <w:rFonts w:eastAsia="TimesNewRomanPSMT"/>
          <w:b w:val="0"/>
          <w:bCs w:val="0"/>
        </w:rPr>
        <w:t>melanoma.ti</w:t>
      </w:r>
      <w:proofErr w:type="spellEnd"/>
      <w:r>
        <w:rPr>
          <w:rFonts w:eastAsia="TimesNewRomanPSMT"/>
          <w:b w:val="0"/>
          <w:bCs w:val="0"/>
        </w:rPr>
        <w:t xml:space="preserve">. OR </w:t>
      </w:r>
      <w:proofErr w:type="spellStart"/>
      <w:r>
        <w:rPr>
          <w:rFonts w:eastAsia="TimesNewRomanPSMT"/>
          <w:b w:val="0"/>
          <w:bCs w:val="0"/>
        </w:rPr>
        <w:t>malignan</w:t>
      </w:r>
      <w:proofErr w:type="spellEnd"/>
      <w:r>
        <w:rPr>
          <w:rFonts w:eastAsia="TimesNewRomanPSMT"/>
          <w:b w:val="0"/>
          <w:bCs w:val="0"/>
        </w:rPr>
        <w:t>*.</w:t>
      </w:r>
      <w:proofErr w:type="spellStart"/>
      <w:r>
        <w:rPr>
          <w:rFonts w:eastAsia="TimesNewRomanPSMT"/>
          <w:b w:val="0"/>
          <w:bCs w:val="0"/>
        </w:rPr>
        <w:t>ti</w:t>
      </w:r>
      <w:proofErr w:type="spellEnd"/>
      <w:r>
        <w:rPr>
          <w:rFonts w:eastAsia="TimesNewRomanPSMT"/>
          <w:b w:val="0"/>
          <w:bCs w:val="0"/>
        </w:rPr>
        <w:t>.</w:t>
      </w:r>
    </w:p>
    <w:p w14:paraId="1F9AC076" w14:textId="77777777" w:rsidR="006D1C3F" w:rsidRDefault="00000000">
      <w:pPr>
        <w:shd w:val="clear" w:color="auto" w:fill="FFFFFF"/>
        <w:spacing w:before="100" w:beforeAutospacing="1" w:after="156" w:afterAutospacing="1" w:line="360" w:lineRule="exact"/>
        <w:ind w:firstLineChars="0" w:firstLine="0"/>
        <w:rPr>
          <w:b w:val="0"/>
          <w:bCs w:val="0"/>
          <w:color w:val="000000"/>
          <w:szCs w:val="20"/>
        </w:rPr>
      </w:pPr>
      <w:r>
        <w:rPr>
          <w:rFonts w:eastAsia="TimesNewRomanPSMT"/>
        </w:rPr>
        <w:t>#</w:t>
      </w:r>
      <w:r>
        <w:rPr>
          <w:rFonts w:eastAsia="TimesNewRomanPSMT" w:hint="eastAsia"/>
        </w:rPr>
        <w:t>3</w:t>
      </w:r>
      <w:r>
        <w:rPr>
          <w:rFonts w:eastAsia="TimesNewRomanPSMT"/>
          <w:b w:val="0"/>
          <w:bCs w:val="0"/>
        </w:rPr>
        <w:t xml:space="preserve"> choice*.</w:t>
      </w:r>
      <w:proofErr w:type="spellStart"/>
      <w:r>
        <w:rPr>
          <w:rFonts w:eastAsia="TimesNewRomanPSMT"/>
          <w:b w:val="0"/>
          <w:bCs w:val="0"/>
        </w:rPr>
        <w:t>ti</w:t>
      </w:r>
      <w:proofErr w:type="spellEnd"/>
      <w:r>
        <w:rPr>
          <w:rFonts w:eastAsia="TimesNewRomanPSMT"/>
          <w:b w:val="0"/>
          <w:bCs w:val="0"/>
        </w:rPr>
        <w:t>. OR preference*.</w:t>
      </w:r>
      <w:proofErr w:type="spellStart"/>
      <w:r>
        <w:rPr>
          <w:rFonts w:eastAsia="TimesNewRomanPSMT"/>
          <w:b w:val="0"/>
          <w:bCs w:val="0"/>
        </w:rPr>
        <w:t>ti</w:t>
      </w:r>
      <w:proofErr w:type="spellEnd"/>
      <w:r>
        <w:rPr>
          <w:rFonts w:eastAsia="TimesNewRomanPSMT"/>
          <w:b w:val="0"/>
          <w:bCs w:val="0"/>
        </w:rPr>
        <w:t>. OR attitude*.</w:t>
      </w:r>
      <w:proofErr w:type="spellStart"/>
      <w:r>
        <w:rPr>
          <w:rFonts w:eastAsia="TimesNewRomanPSMT"/>
          <w:b w:val="0"/>
          <w:bCs w:val="0"/>
        </w:rPr>
        <w:t>ti</w:t>
      </w:r>
      <w:proofErr w:type="spellEnd"/>
      <w:r>
        <w:rPr>
          <w:rFonts w:eastAsia="TimesNewRomanPSMT"/>
          <w:b w:val="0"/>
          <w:bCs w:val="0"/>
        </w:rPr>
        <w:t>.</w:t>
      </w:r>
    </w:p>
    <w:p w14:paraId="0ED6244B" w14:textId="77777777" w:rsidR="006D1C3F" w:rsidRDefault="00000000">
      <w:pPr>
        <w:autoSpaceDE w:val="0"/>
        <w:autoSpaceDN w:val="0"/>
        <w:adjustRightInd w:val="0"/>
        <w:spacing w:line="360" w:lineRule="exact"/>
        <w:ind w:firstLineChars="0" w:firstLine="0"/>
        <w:rPr>
          <w:rFonts w:eastAsia="TimesNewRomanPSMT"/>
          <w:b w:val="0"/>
          <w:bCs w:val="0"/>
        </w:rPr>
      </w:pPr>
      <w:r>
        <w:rPr>
          <w:rFonts w:eastAsia="TimesNewRomanPSMT"/>
        </w:rPr>
        <w:t>#</w:t>
      </w:r>
      <w:r>
        <w:rPr>
          <w:rFonts w:eastAsia="TimesNewRomanPSMT" w:hint="eastAsia"/>
        </w:rPr>
        <w:t>4</w:t>
      </w:r>
      <w:r>
        <w:rPr>
          <w:rFonts w:eastAsia="TimesNewRomanPSMT"/>
          <w:b w:val="0"/>
          <w:bCs w:val="0"/>
        </w:rPr>
        <w:t xml:space="preserve"> #1 AND #2 AND #3</w:t>
      </w:r>
    </w:p>
    <w:p w14:paraId="483B1847" w14:textId="77777777" w:rsidR="006D1C3F" w:rsidRDefault="006D1C3F">
      <w:pPr>
        <w:autoSpaceDE w:val="0"/>
        <w:autoSpaceDN w:val="0"/>
        <w:adjustRightInd w:val="0"/>
        <w:spacing w:line="360" w:lineRule="exact"/>
        <w:ind w:firstLineChars="0" w:firstLine="0"/>
        <w:rPr>
          <w:rFonts w:eastAsia="TimesNewRomanPSMT"/>
          <w:b w:val="0"/>
          <w:bCs w:val="0"/>
        </w:rPr>
      </w:pPr>
    </w:p>
    <w:p w14:paraId="1E1F3D21" w14:textId="77777777" w:rsidR="006D1C3F" w:rsidRDefault="00000000">
      <w:pPr>
        <w:pStyle w:val="af0"/>
        <w:numPr>
          <w:ilvl w:val="0"/>
          <w:numId w:val="2"/>
        </w:numPr>
        <w:spacing w:line="360" w:lineRule="exact"/>
        <w:ind w:firstLineChars="0"/>
        <w:rPr>
          <w:rFonts w:eastAsiaTheme="minorEastAsia" w:cstheme="minorBidi"/>
          <w:b w:val="0"/>
          <w:bCs w:val="0"/>
        </w:rPr>
      </w:pPr>
      <w:r>
        <w:rPr>
          <w:rFonts w:eastAsiaTheme="minorEastAsia" w:cstheme="minorBidi"/>
          <w:b w:val="0"/>
          <w:bCs w:val="0"/>
        </w:rPr>
        <w:t>Inclusion Criteria:​​</w:t>
      </w:r>
    </w:p>
    <w:p w14:paraId="2F78CC98" w14:textId="77777777" w:rsidR="006D1C3F" w:rsidRDefault="00000000">
      <w:pPr>
        <w:spacing w:line="360" w:lineRule="exact"/>
        <w:ind w:firstLineChars="0" w:firstLine="0"/>
        <w:rPr>
          <w:rFonts w:eastAsiaTheme="minorEastAsia" w:cstheme="minorBidi"/>
          <w:b w:val="0"/>
          <w:bCs w:val="0"/>
        </w:rPr>
      </w:pPr>
      <w:r>
        <w:rPr>
          <w:rFonts w:eastAsiaTheme="minorEastAsia" w:cstheme="minorBidi"/>
          <w:b w:val="0"/>
          <w:bCs w:val="0"/>
        </w:rPr>
        <w:t>The study subjects are physicians, or both physicians and patients.</w:t>
      </w:r>
    </w:p>
    <w:p w14:paraId="484DA023" w14:textId="77777777" w:rsidR="006D1C3F" w:rsidRDefault="00000000">
      <w:pPr>
        <w:spacing w:line="360" w:lineRule="exact"/>
        <w:ind w:firstLineChars="0" w:firstLine="0"/>
        <w:rPr>
          <w:rFonts w:eastAsiaTheme="minorEastAsia" w:cstheme="minorBidi"/>
          <w:b w:val="0"/>
          <w:bCs w:val="0"/>
        </w:rPr>
      </w:pPr>
      <w:r>
        <w:rPr>
          <w:rFonts w:eastAsiaTheme="minorEastAsia" w:cstheme="minorBidi"/>
          <w:b w:val="0"/>
          <w:bCs w:val="0"/>
        </w:rPr>
        <w:t>The study focuses on measuring physicians’ preferences in cancer treatment, rather than cancer screening or diagnosis.</w:t>
      </w:r>
    </w:p>
    <w:p w14:paraId="65052C0A" w14:textId="77777777" w:rsidR="006D1C3F" w:rsidRDefault="00000000">
      <w:pPr>
        <w:pStyle w:val="af0"/>
        <w:numPr>
          <w:ilvl w:val="0"/>
          <w:numId w:val="2"/>
        </w:numPr>
        <w:spacing w:line="360" w:lineRule="exact"/>
        <w:ind w:firstLineChars="0"/>
        <w:rPr>
          <w:rFonts w:eastAsiaTheme="minorEastAsia" w:cstheme="minorBidi"/>
          <w:b w:val="0"/>
          <w:bCs w:val="0"/>
        </w:rPr>
      </w:pPr>
      <w:r>
        <w:rPr>
          <w:rFonts w:eastAsiaTheme="minorEastAsia" w:cstheme="minorBidi"/>
          <w:b w:val="0"/>
          <w:bCs w:val="0"/>
        </w:rPr>
        <w:t>​​Exclusion Criteria:​​</w:t>
      </w:r>
    </w:p>
    <w:p w14:paraId="127766DC" w14:textId="77777777" w:rsidR="006D1C3F" w:rsidRDefault="00000000">
      <w:pPr>
        <w:spacing w:line="360" w:lineRule="exact"/>
        <w:ind w:firstLineChars="0" w:firstLine="0"/>
        <w:rPr>
          <w:rFonts w:eastAsiaTheme="minorEastAsia" w:cstheme="minorBidi"/>
          <w:b w:val="0"/>
          <w:bCs w:val="0"/>
        </w:rPr>
      </w:pPr>
      <w:r>
        <w:rPr>
          <w:rFonts w:eastAsiaTheme="minorEastAsia" w:cstheme="minorBidi"/>
          <w:b w:val="0"/>
          <w:bCs w:val="0"/>
        </w:rPr>
        <w:t>Literature not published in Chinese or English.</w:t>
      </w:r>
    </w:p>
    <w:p w14:paraId="09B1B6A1" w14:textId="77777777" w:rsidR="006D1C3F" w:rsidRDefault="00000000">
      <w:pPr>
        <w:spacing w:line="360" w:lineRule="exact"/>
        <w:ind w:firstLineChars="0" w:firstLine="0"/>
        <w:rPr>
          <w:rFonts w:eastAsiaTheme="minorEastAsia" w:cstheme="minorBidi"/>
          <w:b w:val="0"/>
          <w:bCs w:val="0"/>
        </w:rPr>
      </w:pPr>
      <w:r>
        <w:rPr>
          <w:rFonts w:eastAsiaTheme="minorEastAsia" w:cstheme="minorBidi"/>
          <w:b w:val="0"/>
          <w:bCs w:val="0"/>
        </w:rPr>
        <w:t>Duplicate publications.</w:t>
      </w:r>
    </w:p>
    <w:p w14:paraId="01B7F484" w14:textId="77777777" w:rsidR="006D1C3F" w:rsidRDefault="00000000">
      <w:pPr>
        <w:spacing w:line="360" w:lineRule="exact"/>
        <w:ind w:firstLineChars="0" w:firstLine="0"/>
        <w:rPr>
          <w:rFonts w:eastAsiaTheme="minorEastAsia" w:cstheme="minorBidi"/>
          <w:b w:val="0"/>
          <w:bCs w:val="0"/>
        </w:rPr>
      </w:pPr>
      <w:r>
        <w:rPr>
          <w:rFonts w:eastAsiaTheme="minorEastAsia" w:cstheme="minorBidi"/>
          <w:b w:val="0"/>
          <w:bCs w:val="0"/>
        </w:rPr>
        <w:t>Reviews and conference abstracts.</w:t>
      </w:r>
    </w:p>
    <w:p w14:paraId="092C1E02" w14:textId="77777777" w:rsidR="006D1C3F" w:rsidRDefault="00000000">
      <w:pPr>
        <w:spacing w:line="360" w:lineRule="exact"/>
        <w:ind w:firstLineChars="0" w:firstLine="0"/>
        <w:rPr>
          <w:rFonts w:eastAsiaTheme="minorEastAsia" w:cstheme="minorBidi"/>
          <w:b w:val="0"/>
          <w:bCs w:val="0"/>
        </w:rPr>
      </w:pPr>
      <w:r>
        <w:rPr>
          <w:rFonts w:eastAsiaTheme="minorEastAsia" w:cstheme="minorBidi"/>
          <w:b w:val="0"/>
          <w:bCs w:val="0"/>
        </w:rPr>
        <w:t>Literature for which the full text is unavailable.</w:t>
      </w:r>
    </w:p>
    <w:p w14:paraId="7C87F317" w14:textId="77777777" w:rsidR="006D1C3F" w:rsidRDefault="00000000">
      <w:pPr>
        <w:pStyle w:val="af0"/>
        <w:keepNext/>
        <w:keepLines/>
        <w:pageBreakBefore/>
        <w:spacing w:before="340" w:after="156" w:line="240" w:lineRule="auto"/>
        <w:ind w:firstLineChars="0" w:firstLine="0"/>
        <w:outlineLvl w:val="0"/>
        <w:rPr>
          <w:rFonts w:eastAsiaTheme="minorEastAsia" w:cstheme="minorBidi"/>
          <w:b w:val="0"/>
          <w:bCs w:val="0"/>
          <w:kern w:val="44"/>
        </w:rPr>
      </w:pPr>
      <w:bookmarkStart w:id="5" w:name="_Hlk211978032"/>
      <w:bookmarkStart w:id="6" w:name="_Toc225844802"/>
      <w:r>
        <w:rPr>
          <w:rFonts w:cstheme="minorBidi" w:hint="eastAsia"/>
          <w:b w:val="0"/>
          <w:bCs w:val="0"/>
          <w:kern w:val="44"/>
        </w:rPr>
        <w:lastRenderedPageBreak/>
        <w:t xml:space="preserve">3 </w:t>
      </w:r>
      <w:proofErr w:type="spellStart"/>
      <w:r>
        <w:rPr>
          <w:rFonts w:cstheme="minorBidi" w:hint="eastAsia"/>
          <w:b w:val="0"/>
          <w:bCs w:val="0"/>
          <w:kern w:val="44"/>
        </w:rPr>
        <w:t>eMethod</w:t>
      </w:r>
      <w:bookmarkEnd w:id="5"/>
      <w:proofErr w:type="spellEnd"/>
      <w:r>
        <w:rPr>
          <w:rFonts w:cstheme="minorBidi" w:hint="eastAsia"/>
          <w:b w:val="0"/>
          <w:bCs w:val="0"/>
          <w:kern w:val="44"/>
        </w:rPr>
        <w:t xml:space="preserve"> </w:t>
      </w:r>
      <w:r>
        <w:rPr>
          <w:rFonts w:eastAsia="Times New Roman" w:cstheme="minorBidi" w:hint="eastAsia"/>
          <w:b w:val="0"/>
          <w:bCs w:val="0"/>
          <w:kern w:val="44"/>
        </w:rPr>
        <w:t>Periodic Transition Probability</w:t>
      </w:r>
      <w:bookmarkEnd w:id="6"/>
      <w:r>
        <w:rPr>
          <w:rFonts w:eastAsia="Times New Roman" w:cstheme="minorBidi" w:hint="eastAsia"/>
          <w:b w:val="0"/>
          <w:bCs w:val="0"/>
          <w:kern w:val="44"/>
        </w:rPr>
        <w:t xml:space="preserve"> </w:t>
      </w:r>
    </w:p>
    <w:p w14:paraId="0685AB51" w14:textId="77777777" w:rsidR="006D1C3F" w:rsidRDefault="00000000">
      <w:pPr>
        <w:ind w:firstLine="400"/>
        <w:rPr>
          <w:b w:val="0"/>
          <w:bCs w:val="0"/>
          <w:szCs w:val="20"/>
        </w:rPr>
      </w:pPr>
      <w:r>
        <w:rPr>
          <w:rFonts w:hint="eastAsia"/>
          <w:b w:val="0"/>
          <w:bCs w:val="0"/>
          <w:szCs w:val="20"/>
        </w:rPr>
        <w:t>We adapted the core principles of partitioned survival modeling to calculate cumulative PFS and mortality rates at each time point. These estimates were then used to derive the periodic transition probabilities for the microsimulation. For both first- and second-line treatments, a competing risks model was applied to estimate cycle-specific transition probabilities for disease progression and death. These probabilities were calculated as follows:</w:t>
      </w:r>
    </w:p>
    <w:p w14:paraId="5109F141" w14:textId="77777777" w:rsidR="006D1C3F" w:rsidRDefault="00000000">
      <w:pPr>
        <w:pStyle w:val="af0"/>
        <w:numPr>
          <w:ilvl w:val="0"/>
          <w:numId w:val="3"/>
        </w:numPr>
        <w:ind w:firstLineChars="0"/>
        <w:rPr>
          <w:b w:val="0"/>
          <w:bCs w:val="0"/>
          <w:szCs w:val="20"/>
        </w:rPr>
      </w:pPr>
      <w:r>
        <w:rPr>
          <w:b w:val="0"/>
          <w:bCs w:val="0"/>
          <w:szCs w:val="20"/>
        </w:rPr>
        <w:t>First-line Treatment Phase (PFS State in the Model)​</w:t>
      </w:r>
    </w:p>
    <w:p w14:paraId="0579389D" w14:textId="77777777" w:rsidR="006D1C3F" w:rsidRDefault="00000000">
      <w:pPr>
        <w:ind w:firstLine="400"/>
        <w:rPr>
          <w:b w:val="0"/>
          <w:bCs w:val="0"/>
          <w:szCs w:val="20"/>
        </w:rPr>
      </w:pPr>
      <w:r>
        <w:rPr>
          <w:rFonts w:hint="eastAsia"/>
          <w:b w:val="0"/>
          <w:bCs w:val="0"/>
          <w:szCs w:val="20"/>
        </w:rPr>
        <w:t>·</w:t>
      </w:r>
      <w:r>
        <w:rPr>
          <w:b w:val="0"/>
          <w:bCs w:val="0"/>
          <w:szCs w:val="20"/>
        </w:rPr>
        <w:t>​Probability of remaining in PFS at cycle T (PFS to PFS transition):​</w:t>
      </w:r>
    </w:p>
    <w:p w14:paraId="167D8507" w14:textId="77777777" w:rsidR="006D1C3F" w:rsidRDefault="00000000">
      <w:pPr>
        <w:ind w:firstLine="400"/>
        <w:rPr>
          <w:b w:val="0"/>
          <w:bCs w:val="0"/>
          <w:szCs w:val="20"/>
        </w:rPr>
      </w:pPr>
      <m:oMathPara>
        <m:oMath>
          <m:sSub>
            <m:sSubPr>
              <m:ctrlPr>
                <w:rPr>
                  <w:rFonts w:ascii="Cambria Math" w:hAnsi="Cambria Math"/>
                  <w:b w:val="0"/>
                  <w:bCs w:val="0"/>
                  <w:i/>
                  <w:szCs w:val="20"/>
                </w:rPr>
              </m:ctrlPr>
            </m:sSubPr>
            <m:e>
              <m:r>
                <m:rPr>
                  <m:sty m:val="bi"/>
                </m:rPr>
                <w:rPr>
                  <w:rFonts w:ascii="Cambria Math" w:hAnsi="Cambria Math"/>
                  <w:szCs w:val="20"/>
                </w:rPr>
                <m:t>P</m:t>
              </m:r>
            </m:e>
            <m:sub>
              <m:r>
                <m:rPr>
                  <m:sty m:val="bi"/>
                </m:rPr>
                <w:rPr>
                  <w:rFonts w:ascii="Cambria Math" w:hAnsi="Cambria Math"/>
                  <w:szCs w:val="20"/>
                </w:rPr>
                <m:t>aT</m:t>
              </m:r>
            </m:sub>
          </m:sSub>
          <m:r>
            <m:rPr>
              <m:sty m:val="bi"/>
            </m:rPr>
            <w:rPr>
              <w:rFonts w:ascii="Cambria Math" w:hAnsi="Cambria Math"/>
              <w:szCs w:val="20"/>
            </w:rPr>
            <m:t>=</m:t>
          </m:r>
          <m:f>
            <m:fPr>
              <m:ctrlPr>
                <w:rPr>
                  <w:rFonts w:ascii="Cambria Math" w:hAnsi="Cambria Math"/>
                  <w:b w:val="0"/>
                  <w:bCs w:val="0"/>
                  <w:szCs w:val="20"/>
                </w:rPr>
              </m:ctrlPr>
            </m:fPr>
            <m:num>
              <m:sSub>
                <m:sSubPr>
                  <m:ctrlPr>
                    <w:rPr>
                      <w:rFonts w:ascii="Cambria Math" w:hAnsi="Cambria Math"/>
                      <w:b w:val="0"/>
                      <w:bCs w:val="0"/>
                      <w:i/>
                      <w:szCs w:val="20"/>
                    </w:rPr>
                  </m:ctrlPr>
                </m:sSubPr>
                <m:e>
                  <m:r>
                    <m:rPr>
                      <m:sty m:val="bi"/>
                    </m:rPr>
                    <w:rPr>
                      <w:rFonts w:ascii="Cambria Math" w:hAnsi="Cambria Math"/>
                      <w:szCs w:val="20"/>
                    </w:rPr>
                    <m:t>S</m:t>
                  </m:r>
                </m:e>
                <m:sub>
                  <m:r>
                    <m:rPr>
                      <m:sty m:val="bi"/>
                    </m:rPr>
                    <w:rPr>
                      <w:rFonts w:ascii="Cambria Math" w:hAnsi="Cambria Math"/>
                      <w:szCs w:val="20"/>
                    </w:rPr>
                    <m:t>aT</m:t>
                  </m:r>
                </m:sub>
              </m:sSub>
              <m:ctrlPr>
                <w:rPr>
                  <w:rFonts w:ascii="Cambria Math" w:hAnsi="Cambria Math"/>
                  <w:b w:val="0"/>
                  <w:bCs w:val="0"/>
                  <w:i/>
                  <w:szCs w:val="20"/>
                </w:rPr>
              </m:ctrlPr>
            </m:num>
            <m:den>
              <m:sSub>
                <m:sSubPr>
                  <m:ctrlPr>
                    <w:rPr>
                      <w:rFonts w:ascii="Cambria Math" w:hAnsi="Cambria Math"/>
                      <w:b w:val="0"/>
                      <w:bCs w:val="0"/>
                      <w:i/>
                      <w:szCs w:val="20"/>
                    </w:rPr>
                  </m:ctrlPr>
                </m:sSubPr>
                <m:e>
                  <m:r>
                    <m:rPr>
                      <m:sty m:val="bi"/>
                    </m:rPr>
                    <w:rPr>
                      <w:rFonts w:ascii="Cambria Math" w:hAnsi="Cambria Math"/>
                      <w:szCs w:val="20"/>
                    </w:rPr>
                    <m:t>S</m:t>
                  </m:r>
                </m:e>
                <m:sub>
                  <m:r>
                    <m:rPr>
                      <m:sty m:val="bi"/>
                    </m:rPr>
                    <w:rPr>
                      <w:rFonts w:ascii="Cambria Math" w:hAnsi="Cambria Math"/>
                      <w:szCs w:val="20"/>
                    </w:rPr>
                    <m:t>aT-1</m:t>
                  </m:r>
                </m:sub>
              </m:sSub>
              <m:ctrlPr>
                <w:rPr>
                  <w:rFonts w:ascii="Cambria Math" w:hAnsi="Cambria Math"/>
                  <w:b w:val="0"/>
                  <w:bCs w:val="0"/>
                  <w:i/>
                  <w:szCs w:val="20"/>
                </w:rPr>
              </m:ctrlPr>
            </m:den>
          </m:f>
        </m:oMath>
      </m:oMathPara>
    </w:p>
    <w:p w14:paraId="6865148A" w14:textId="77777777" w:rsidR="006D1C3F" w:rsidRDefault="00000000">
      <w:pPr>
        <w:ind w:firstLine="400"/>
        <w:rPr>
          <w:b w:val="0"/>
          <w:bCs w:val="0"/>
          <w:szCs w:val="20"/>
        </w:rPr>
      </w:pPr>
      <w:r>
        <w:rPr>
          <w:rFonts w:hint="eastAsia"/>
          <w:b w:val="0"/>
          <w:bCs w:val="0"/>
          <w:szCs w:val="20"/>
        </w:rPr>
        <w:t xml:space="preserve">Where </w:t>
      </w:r>
      <m:oMath>
        <m:sSub>
          <m:sSubPr>
            <m:ctrlPr>
              <w:rPr>
                <w:rFonts w:ascii="Cambria Math" w:hAnsi="Cambria Math"/>
                <w:b w:val="0"/>
                <w:bCs w:val="0"/>
                <w:i/>
                <w:szCs w:val="20"/>
              </w:rPr>
            </m:ctrlPr>
          </m:sSubPr>
          <m:e>
            <m:r>
              <m:rPr>
                <m:sty m:val="bi"/>
              </m:rPr>
              <w:rPr>
                <w:rFonts w:ascii="Cambria Math" w:hAnsi="Cambria Math"/>
                <w:szCs w:val="20"/>
              </w:rPr>
              <m:t>S</m:t>
            </m:r>
          </m:e>
          <m:sub>
            <m:r>
              <m:rPr>
                <m:sty m:val="bi"/>
              </m:rPr>
              <w:rPr>
                <w:rFonts w:ascii="Cambria Math" w:hAnsi="Cambria Math"/>
                <w:szCs w:val="20"/>
              </w:rPr>
              <m:t>aT</m:t>
            </m:r>
          </m:sub>
        </m:sSub>
      </m:oMath>
      <w:r>
        <w:rPr>
          <w:rFonts w:hint="eastAsia"/>
          <w:b w:val="0"/>
          <w:bCs w:val="0"/>
          <w:szCs w:val="20"/>
        </w:rPr>
        <w:t>is the cumulative progression-free survival probability derived from the first-line PFS survival curve.</w:t>
      </w:r>
    </w:p>
    <w:p w14:paraId="08D1D86A" w14:textId="77777777" w:rsidR="006D1C3F" w:rsidRDefault="00000000">
      <w:pPr>
        <w:ind w:firstLine="400"/>
        <w:rPr>
          <w:b w:val="0"/>
          <w:bCs w:val="0"/>
          <w:szCs w:val="20"/>
        </w:rPr>
      </w:pPr>
      <w:r>
        <w:rPr>
          <w:rFonts w:hint="eastAsia"/>
          <w:b w:val="0"/>
          <w:bCs w:val="0"/>
          <w:szCs w:val="20"/>
        </w:rPr>
        <w:t>·</w:t>
      </w:r>
      <w:r>
        <w:rPr>
          <w:b w:val="0"/>
          <w:bCs w:val="0"/>
          <w:szCs w:val="20"/>
        </w:rPr>
        <w:t>​​​Probability of transitioning from PFS to first PD at cycle T (PFS to PD transition):​</w:t>
      </w:r>
    </w:p>
    <w:p w14:paraId="75680BA8" w14:textId="77777777" w:rsidR="006D1C3F" w:rsidRDefault="00000000">
      <w:pPr>
        <w:ind w:firstLine="400"/>
        <w:rPr>
          <w:b w:val="0"/>
          <w:bCs w:val="0"/>
          <w:szCs w:val="20"/>
        </w:rPr>
      </w:pPr>
      <m:oMathPara>
        <m:oMath>
          <m:sSub>
            <m:sSubPr>
              <m:ctrlPr>
                <w:rPr>
                  <w:rFonts w:ascii="Cambria Math" w:hAnsi="Cambria Math"/>
                  <w:b w:val="0"/>
                  <w:bCs w:val="0"/>
                  <w:i/>
                  <w:szCs w:val="20"/>
                </w:rPr>
              </m:ctrlPr>
            </m:sSubPr>
            <m:e>
              <m:r>
                <m:rPr>
                  <m:sty m:val="bi"/>
                </m:rPr>
                <w:rPr>
                  <w:rFonts w:ascii="Cambria Math" w:hAnsi="Cambria Math"/>
                  <w:szCs w:val="20"/>
                </w:rPr>
                <m:t>P</m:t>
              </m:r>
            </m:e>
            <m:sub>
              <m:r>
                <m:rPr>
                  <m:sty m:val="bi"/>
                </m:rPr>
                <w:rPr>
                  <w:rFonts w:ascii="Cambria Math" w:hAnsi="Cambria Math"/>
                  <w:szCs w:val="20"/>
                </w:rPr>
                <m:t>bT</m:t>
              </m:r>
            </m:sub>
          </m:sSub>
          <m:r>
            <m:rPr>
              <m:sty m:val="bi"/>
            </m:rPr>
            <w:rPr>
              <w:rFonts w:ascii="Cambria Math" w:hAnsi="Cambria Math"/>
              <w:szCs w:val="20"/>
            </w:rPr>
            <m:t>=1-</m:t>
          </m:r>
          <m:f>
            <m:fPr>
              <m:ctrlPr>
                <w:rPr>
                  <w:rFonts w:ascii="Cambria Math" w:hAnsi="Cambria Math"/>
                  <w:b w:val="0"/>
                  <w:bCs w:val="0"/>
                  <w:szCs w:val="20"/>
                </w:rPr>
              </m:ctrlPr>
            </m:fPr>
            <m:num>
              <m:sSub>
                <m:sSubPr>
                  <m:ctrlPr>
                    <w:rPr>
                      <w:rFonts w:ascii="Cambria Math" w:hAnsi="Cambria Math"/>
                      <w:b w:val="0"/>
                      <w:bCs w:val="0"/>
                      <w:i/>
                      <w:szCs w:val="20"/>
                    </w:rPr>
                  </m:ctrlPr>
                </m:sSubPr>
                <m:e>
                  <m:r>
                    <m:rPr>
                      <m:sty m:val="bi"/>
                    </m:rPr>
                    <w:rPr>
                      <w:rFonts w:ascii="Cambria Math" w:hAnsi="Cambria Math"/>
                      <w:szCs w:val="20"/>
                    </w:rPr>
                    <m:t>S</m:t>
                  </m:r>
                </m:e>
                <m:sub>
                  <m:r>
                    <m:rPr>
                      <m:sty m:val="bi"/>
                    </m:rPr>
                    <w:rPr>
                      <w:rFonts w:ascii="Cambria Math" w:hAnsi="Cambria Math"/>
                      <w:szCs w:val="20"/>
                    </w:rPr>
                    <m:t>aT</m:t>
                  </m:r>
                </m:sub>
              </m:sSub>
              <m:ctrlPr>
                <w:rPr>
                  <w:rFonts w:ascii="Cambria Math" w:hAnsi="Cambria Math"/>
                  <w:b w:val="0"/>
                  <w:bCs w:val="0"/>
                  <w:i/>
                  <w:szCs w:val="20"/>
                </w:rPr>
              </m:ctrlPr>
            </m:num>
            <m:den>
              <m:sSub>
                <m:sSubPr>
                  <m:ctrlPr>
                    <w:rPr>
                      <w:rFonts w:ascii="Cambria Math" w:hAnsi="Cambria Math"/>
                      <w:b w:val="0"/>
                      <w:bCs w:val="0"/>
                      <w:i/>
                      <w:szCs w:val="20"/>
                    </w:rPr>
                  </m:ctrlPr>
                </m:sSubPr>
                <m:e>
                  <m:r>
                    <m:rPr>
                      <m:sty m:val="bi"/>
                    </m:rPr>
                    <w:rPr>
                      <w:rFonts w:ascii="Cambria Math" w:hAnsi="Cambria Math"/>
                      <w:szCs w:val="20"/>
                    </w:rPr>
                    <m:t>S</m:t>
                  </m:r>
                </m:e>
                <m:sub>
                  <m:r>
                    <m:rPr>
                      <m:sty m:val="bi"/>
                    </m:rPr>
                    <w:rPr>
                      <w:rFonts w:ascii="Cambria Math" w:hAnsi="Cambria Math"/>
                      <w:szCs w:val="20"/>
                    </w:rPr>
                    <m:t>aT-1</m:t>
                  </m:r>
                </m:sub>
              </m:sSub>
              <m:ctrlPr>
                <w:rPr>
                  <w:rFonts w:ascii="Cambria Math" w:hAnsi="Cambria Math"/>
                  <w:b w:val="0"/>
                  <w:bCs w:val="0"/>
                  <w:i/>
                  <w:szCs w:val="20"/>
                </w:rPr>
              </m:ctrlPr>
            </m:den>
          </m:f>
        </m:oMath>
      </m:oMathPara>
    </w:p>
    <w:p w14:paraId="3394323B" w14:textId="77777777" w:rsidR="006D1C3F" w:rsidRDefault="00000000">
      <w:pPr>
        <w:ind w:firstLine="400"/>
        <w:rPr>
          <w:b w:val="0"/>
          <w:bCs w:val="0"/>
          <w:color w:val="000000"/>
          <w:szCs w:val="20"/>
        </w:rPr>
      </w:pPr>
      <w:r>
        <w:rPr>
          <w:rFonts w:hint="eastAsia"/>
          <w:b w:val="0"/>
          <w:bCs w:val="0"/>
          <w:color w:val="000000"/>
          <w:szCs w:val="20"/>
        </w:rPr>
        <w:t>·</w:t>
      </w:r>
      <w:r>
        <w:rPr>
          <w:b w:val="0"/>
          <w:bCs w:val="0"/>
          <w:color w:val="000000"/>
          <w:szCs w:val="20"/>
        </w:rPr>
        <w:t>Probability of transitioning from PFS to Death at cycle T (PFS to Death transition):​</w:t>
      </w:r>
    </w:p>
    <w:p w14:paraId="5757C132" w14:textId="77777777" w:rsidR="006D1C3F" w:rsidRDefault="00000000">
      <w:pPr>
        <w:ind w:firstLine="400"/>
        <w:rPr>
          <w:rFonts w:ascii="Calibri" w:hAnsi="Calibri"/>
          <w:b w:val="0"/>
          <w:bCs w:val="0"/>
          <w:szCs w:val="20"/>
        </w:rPr>
      </w:pPr>
      <m:oMathPara>
        <m:oMath>
          <m:sSub>
            <m:sSubPr>
              <m:ctrlPr>
                <w:rPr>
                  <w:rFonts w:ascii="Cambria Math" w:hAnsi="Cambria Math"/>
                  <w:b w:val="0"/>
                  <w:bCs w:val="0"/>
                  <w:i/>
                  <w:szCs w:val="20"/>
                </w:rPr>
              </m:ctrlPr>
            </m:sSubPr>
            <m:e>
              <m:r>
                <m:rPr>
                  <m:sty m:val="bi"/>
                </m:rPr>
                <w:rPr>
                  <w:rFonts w:ascii="Cambria Math" w:hAnsi="Cambria Math"/>
                  <w:szCs w:val="20"/>
                </w:rPr>
                <m:t>P</m:t>
              </m:r>
            </m:e>
            <m:sub>
              <m:r>
                <m:rPr>
                  <m:sty m:val="bi"/>
                </m:rPr>
                <w:rPr>
                  <w:rFonts w:ascii="Cambria Math" w:hAnsi="Cambria Math"/>
                  <w:szCs w:val="20"/>
                </w:rPr>
                <m:t>cT</m:t>
              </m:r>
            </m:sub>
          </m:sSub>
          <m:r>
            <m:rPr>
              <m:sty m:val="bi"/>
            </m:rPr>
            <w:rPr>
              <w:rFonts w:ascii="Cambria Math" w:hAnsi="Cambria Math"/>
              <w:szCs w:val="20"/>
            </w:rPr>
            <m:t>=</m:t>
          </m:r>
          <m:f>
            <m:fPr>
              <m:ctrlPr>
                <w:rPr>
                  <w:rFonts w:ascii="Cambria Math" w:hAnsi="Cambria Math"/>
                  <w:b w:val="0"/>
                  <w:bCs w:val="0"/>
                  <w:szCs w:val="20"/>
                </w:rPr>
              </m:ctrlPr>
            </m:fPr>
            <m:num>
              <m:r>
                <m:rPr>
                  <m:sty m:val="bi"/>
                </m:rPr>
                <w:rPr>
                  <w:rFonts w:ascii="Cambria Math" w:hAnsi="Cambria Math"/>
                  <w:szCs w:val="20"/>
                </w:rPr>
                <m:t>N</m:t>
              </m:r>
              <m:sSub>
                <m:sSubPr>
                  <m:ctrlPr>
                    <w:rPr>
                      <w:rFonts w:ascii="Cambria Math" w:hAnsi="Cambria Math"/>
                      <w:b w:val="0"/>
                      <w:bCs w:val="0"/>
                      <w:i/>
                      <w:szCs w:val="20"/>
                    </w:rPr>
                  </m:ctrlPr>
                </m:sSubPr>
                <m:e>
                  <m:r>
                    <m:rPr>
                      <m:sty m:val="bi"/>
                    </m:rPr>
                    <w:rPr>
                      <w:rFonts w:ascii="Cambria Math" w:hAnsi="Cambria Math"/>
                      <w:szCs w:val="20"/>
                    </w:rPr>
                    <m:t>D</m:t>
                  </m:r>
                </m:e>
                <m:sub>
                  <m:r>
                    <m:rPr>
                      <m:sty m:val="bi"/>
                    </m:rPr>
                    <w:rPr>
                      <w:rFonts w:ascii="Cambria Math" w:hAnsi="Cambria Math"/>
                      <w:szCs w:val="20"/>
                    </w:rPr>
                    <m:t>T</m:t>
                  </m:r>
                </m:sub>
              </m:sSub>
              <m:ctrlPr>
                <w:rPr>
                  <w:rFonts w:ascii="Cambria Math" w:hAnsi="Cambria Math"/>
                  <w:b w:val="0"/>
                  <w:bCs w:val="0"/>
                  <w:i/>
                  <w:szCs w:val="20"/>
                </w:rPr>
              </m:ctrlPr>
            </m:num>
            <m:den>
              <m:r>
                <m:rPr>
                  <m:sty m:val="bi"/>
                </m:rPr>
                <w:rPr>
                  <w:rFonts w:ascii="Cambria Math" w:hAnsi="Cambria Math"/>
                  <w:szCs w:val="20"/>
                </w:rPr>
                <m:t>N</m:t>
              </m:r>
              <m:sSub>
                <m:sSubPr>
                  <m:ctrlPr>
                    <w:rPr>
                      <w:rFonts w:ascii="Cambria Math" w:hAnsi="Cambria Math"/>
                      <w:b w:val="0"/>
                      <w:bCs w:val="0"/>
                      <w:i/>
                      <w:szCs w:val="20"/>
                    </w:rPr>
                  </m:ctrlPr>
                </m:sSubPr>
                <m:e>
                  <m:r>
                    <m:rPr>
                      <m:sty m:val="bi"/>
                    </m:rPr>
                    <w:rPr>
                      <w:rFonts w:ascii="Cambria Math" w:hAnsi="Cambria Math"/>
                      <w:szCs w:val="20"/>
                    </w:rPr>
                    <m:t>D</m:t>
                  </m:r>
                </m:e>
                <m:sub>
                  <m:r>
                    <m:rPr>
                      <m:sty m:val="bi"/>
                    </m:rPr>
                    <w:rPr>
                      <w:rFonts w:ascii="Cambria Math" w:hAnsi="Cambria Math"/>
                      <w:szCs w:val="20"/>
                    </w:rPr>
                    <m:t>T-1</m:t>
                  </m:r>
                </m:sub>
              </m:sSub>
              <m:ctrlPr>
                <w:rPr>
                  <w:rFonts w:ascii="Cambria Math" w:hAnsi="Cambria Math"/>
                  <w:b w:val="0"/>
                  <w:bCs w:val="0"/>
                  <w:i/>
                  <w:szCs w:val="20"/>
                </w:rPr>
              </m:ctrlPr>
            </m:den>
          </m:f>
        </m:oMath>
      </m:oMathPara>
    </w:p>
    <w:p w14:paraId="5C9B8B1B" w14:textId="77777777" w:rsidR="006D1C3F" w:rsidRDefault="00000000">
      <w:pPr>
        <w:ind w:firstLine="400"/>
        <w:rPr>
          <w:b w:val="0"/>
          <w:bCs w:val="0"/>
          <w:szCs w:val="20"/>
        </w:rPr>
      </w:pPr>
      <w:r>
        <w:rPr>
          <w:rFonts w:hint="eastAsia"/>
          <w:b w:val="0"/>
          <w:bCs w:val="0"/>
          <w:szCs w:val="20"/>
        </w:rPr>
        <w:t xml:space="preserve">In this context, </w:t>
      </w:r>
      <m:oMath>
        <m:r>
          <m:rPr>
            <m:sty m:val="bi"/>
          </m:rPr>
          <w:rPr>
            <w:rFonts w:ascii="Cambria Math" w:hAnsi="Cambria Math"/>
            <w:szCs w:val="20"/>
          </w:rPr>
          <m:t>N</m:t>
        </m:r>
        <m:sSub>
          <m:sSubPr>
            <m:ctrlPr>
              <w:rPr>
                <w:rFonts w:ascii="Cambria Math" w:hAnsi="Cambria Math"/>
                <w:b w:val="0"/>
                <w:bCs w:val="0"/>
                <w:i/>
                <w:szCs w:val="20"/>
              </w:rPr>
            </m:ctrlPr>
          </m:sSubPr>
          <m:e>
            <m:r>
              <m:rPr>
                <m:sty m:val="bi"/>
              </m:rPr>
              <w:rPr>
                <w:rFonts w:ascii="Cambria Math" w:hAnsi="Cambria Math"/>
                <w:szCs w:val="20"/>
              </w:rPr>
              <m:t>D</m:t>
            </m:r>
          </m:e>
          <m:sub>
            <m:r>
              <m:rPr>
                <m:sty m:val="bi"/>
              </m:rPr>
              <w:rPr>
                <w:rFonts w:ascii="Cambria Math" w:hAnsi="Cambria Math"/>
                <w:szCs w:val="20"/>
              </w:rPr>
              <m:t>T</m:t>
            </m:r>
          </m:sub>
        </m:sSub>
      </m:oMath>
      <w:r>
        <w:rPr>
          <w:rFonts w:hAnsi="Cambria Math" w:hint="eastAsia"/>
          <w:b w:val="0"/>
          <w:bCs w:val="0"/>
          <w:szCs w:val="20"/>
        </w:rPr>
        <w:t xml:space="preserve"> </w:t>
      </w:r>
      <w:r>
        <w:rPr>
          <w:rFonts w:hint="eastAsia"/>
          <w:b w:val="0"/>
          <w:bCs w:val="0"/>
          <w:szCs w:val="20"/>
        </w:rPr>
        <w:t>represents the natural mortality rate for a specific age and gender at period T, while</w:t>
      </w:r>
      <w:r>
        <w:rPr>
          <w:rFonts w:ascii="Cambria Math" w:hAnsi="Cambria Math"/>
          <w:b w:val="0"/>
          <w:bCs w:val="0"/>
          <w:i/>
          <w:szCs w:val="20"/>
        </w:rPr>
        <w:t xml:space="preserve"> </w:t>
      </w:r>
      <m:oMath>
        <m:r>
          <m:rPr>
            <m:sty m:val="bi"/>
          </m:rPr>
          <w:rPr>
            <w:rFonts w:ascii="Cambria Math" w:hAnsi="Cambria Math"/>
            <w:szCs w:val="20"/>
          </w:rPr>
          <m:t>N</m:t>
        </m:r>
        <m:sSub>
          <m:sSubPr>
            <m:ctrlPr>
              <w:rPr>
                <w:rFonts w:ascii="Cambria Math" w:hAnsi="Cambria Math"/>
                <w:b w:val="0"/>
                <w:bCs w:val="0"/>
                <w:i/>
                <w:szCs w:val="20"/>
              </w:rPr>
            </m:ctrlPr>
          </m:sSubPr>
          <m:e>
            <m:r>
              <m:rPr>
                <m:sty m:val="bi"/>
              </m:rPr>
              <w:rPr>
                <w:rFonts w:ascii="Cambria Math" w:hAnsi="Cambria Math"/>
                <w:szCs w:val="20"/>
              </w:rPr>
              <m:t>D</m:t>
            </m:r>
          </m:e>
          <m:sub>
            <m:r>
              <m:rPr>
                <m:sty m:val="bi"/>
              </m:rPr>
              <w:rPr>
                <w:rFonts w:ascii="Cambria Math" w:hAnsi="Cambria Math"/>
                <w:szCs w:val="20"/>
              </w:rPr>
              <m:t>T-1</m:t>
            </m:r>
          </m:sub>
        </m:sSub>
      </m:oMath>
      <w:r>
        <w:rPr>
          <w:rFonts w:hint="eastAsia"/>
          <w:b w:val="0"/>
          <w:bCs w:val="0"/>
          <w:szCs w:val="20"/>
        </w:rPr>
        <w:t xml:space="preserve"> indicates the natural mortality rate for the same age and gender at period T-1. The period natural mortality rate is derived from the annual natural mortality rate, and it is assumed that the natural mortality rate changes exponentially, calculated as follows:</w:t>
      </w:r>
    </w:p>
    <w:p w14:paraId="563472E2" w14:textId="77777777" w:rsidR="006D1C3F" w:rsidRDefault="00000000">
      <w:pPr>
        <w:ind w:firstLineChars="0" w:firstLine="0"/>
        <w:rPr>
          <w:rFonts w:ascii="Calibri" w:hAnsi="Calibri"/>
          <w:b w:val="0"/>
          <w:bCs w:val="0"/>
          <w:szCs w:val="20"/>
        </w:rPr>
      </w:pPr>
      <m:oMathPara>
        <m:oMath>
          <m:sSub>
            <m:sSubPr>
              <m:ctrlPr>
                <w:rPr>
                  <w:rFonts w:ascii="Cambria Math" w:hAnsi="Cambria Math"/>
                  <w:b w:val="0"/>
                  <w:bCs w:val="0"/>
                  <w:i/>
                  <w:szCs w:val="20"/>
                </w:rPr>
              </m:ctrlPr>
            </m:sSubPr>
            <m:e>
              <m:r>
                <m:rPr>
                  <m:sty m:val="bi"/>
                </m:rPr>
                <w:rPr>
                  <w:rFonts w:ascii="Cambria Math" w:hAnsi="Cambria Math"/>
                  <w:szCs w:val="20"/>
                </w:rPr>
                <m:t>N</m:t>
              </m:r>
            </m:e>
            <m:sub>
              <m:r>
                <m:rPr>
                  <m:sty m:val="bi"/>
                </m:rPr>
                <w:rPr>
                  <w:rFonts w:ascii="Cambria Math" w:hAnsi="Cambria Math"/>
                  <w:szCs w:val="20"/>
                </w:rPr>
                <m:t>T</m:t>
              </m:r>
            </m:sub>
          </m:sSub>
          <m:r>
            <m:rPr>
              <m:sty m:val="bi"/>
            </m:rPr>
            <w:rPr>
              <w:rFonts w:ascii="Cambria Math" w:hAnsi="Cambria Math"/>
              <w:szCs w:val="20"/>
            </w:rPr>
            <m:t>=1-</m:t>
          </m:r>
          <m:func>
            <m:funcPr>
              <m:ctrlPr>
                <w:rPr>
                  <w:rFonts w:ascii="Cambria Math" w:hAnsi="Cambria Math"/>
                  <w:b w:val="0"/>
                  <w:bCs w:val="0"/>
                  <w:szCs w:val="20"/>
                </w:rPr>
              </m:ctrlPr>
            </m:funcPr>
            <m:fName>
              <m:r>
                <m:rPr>
                  <m:sty m:val="b"/>
                </m:rPr>
                <w:rPr>
                  <w:rFonts w:ascii="Cambria Math" w:hAnsi="Cambria Math"/>
                  <w:szCs w:val="20"/>
                </w:rPr>
                <m:t>exp</m:t>
              </m:r>
              <m:ctrlPr>
                <w:rPr>
                  <w:rFonts w:ascii="Cambria Math" w:hAnsi="Cambria Math"/>
                  <w:b w:val="0"/>
                  <w:bCs w:val="0"/>
                  <w:i/>
                  <w:szCs w:val="20"/>
                </w:rPr>
              </m:ctrlPr>
            </m:fName>
            <m:e>
              <m:d>
                <m:dPr>
                  <m:ctrlPr>
                    <w:rPr>
                      <w:rFonts w:ascii="Cambria Math" w:hAnsi="Cambria Math"/>
                      <w:b w:val="0"/>
                      <w:bCs w:val="0"/>
                      <w:szCs w:val="20"/>
                    </w:rPr>
                  </m:ctrlPr>
                </m:dPr>
                <m:e>
                  <m:r>
                    <m:rPr>
                      <m:sty m:val="bi"/>
                    </m:rPr>
                    <w:rPr>
                      <w:rFonts w:ascii="Cambria Math" w:hAnsi="Cambria Math"/>
                      <w:szCs w:val="20"/>
                    </w:rPr>
                    <m:t>-</m:t>
                  </m:r>
                  <m:sSub>
                    <m:sSubPr>
                      <m:ctrlPr>
                        <w:rPr>
                          <w:rFonts w:ascii="Cambria Math" w:hAnsi="Cambria Math"/>
                          <w:b w:val="0"/>
                          <w:bCs w:val="0"/>
                          <w:i/>
                          <w:szCs w:val="20"/>
                        </w:rPr>
                      </m:ctrlPr>
                    </m:sSubPr>
                    <m:e>
                      <m:r>
                        <m:rPr>
                          <m:sty m:val="bi"/>
                        </m:rPr>
                        <w:rPr>
                          <w:rFonts w:ascii="Cambria Math" w:hAnsi="Cambria Math"/>
                          <w:szCs w:val="20"/>
                        </w:rPr>
                        <m:t>Y</m:t>
                      </m:r>
                    </m:e>
                    <m:sub>
                      <m:r>
                        <m:rPr>
                          <m:sty m:val="bi"/>
                        </m:rPr>
                        <w:rPr>
                          <w:rFonts w:ascii="Cambria Math" w:hAnsi="Cambria Math"/>
                          <w:szCs w:val="20"/>
                        </w:rPr>
                        <m:t>T</m:t>
                      </m:r>
                    </m:sub>
                  </m:sSub>
                  <m:r>
                    <m:rPr>
                      <m:sty m:val="b"/>
                    </m:rPr>
                    <w:rPr>
                      <w:rFonts w:ascii="Cambria Math" w:hAnsi="Cambria Math" w:hint="eastAsia"/>
                      <w:szCs w:val="20"/>
                    </w:rPr>
                    <m:t>×</m:t>
                  </m:r>
                  <m:d>
                    <m:dPr>
                      <m:ctrlPr>
                        <w:rPr>
                          <w:rFonts w:ascii="Cambria Math" w:hAnsi="Cambria Math"/>
                          <w:b w:val="0"/>
                          <w:bCs w:val="0"/>
                          <w:i/>
                          <w:szCs w:val="20"/>
                        </w:rPr>
                      </m:ctrlPr>
                    </m:dPr>
                    <m:e>
                      <m:r>
                        <m:rPr>
                          <m:sty m:val="bi"/>
                        </m:rPr>
                        <w:rPr>
                          <w:rFonts w:ascii="Cambria Math" w:hAnsi="Cambria Math"/>
                          <w:szCs w:val="20"/>
                        </w:rPr>
                        <m:t>T</m:t>
                      </m:r>
                      <m:r>
                        <m:rPr>
                          <m:lit/>
                          <m:sty m:val="b"/>
                        </m:rPr>
                        <w:rPr>
                          <w:rFonts w:ascii="Cambria Math" w:hAnsi="Cambria Math"/>
                          <w:szCs w:val="20"/>
                        </w:rPr>
                        <m:t>/</m:t>
                      </m:r>
                      <m:r>
                        <m:rPr>
                          <m:sty m:val="b"/>
                        </m:rPr>
                        <w:rPr>
                          <w:rFonts w:ascii="Cambria Math" w:hAnsi="Cambria Math"/>
                          <w:szCs w:val="20"/>
                        </w:rPr>
                        <m:t>365.25</m:t>
                      </m:r>
                    </m:e>
                  </m:d>
                  <m:ctrlPr>
                    <w:rPr>
                      <w:rFonts w:ascii="Cambria Math" w:hAnsi="Cambria Math"/>
                      <w:b w:val="0"/>
                      <w:bCs w:val="0"/>
                      <w:i/>
                      <w:szCs w:val="20"/>
                    </w:rPr>
                  </m:ctrlPr>
                </m:e>
              </m:d>
            </m:e>
          </m:func>
        </m:oMath>
      </m:oMathPara>
    </w:p>
    <w:p w14:paraId="35282D68" w14:textId="77777777" w:rsidR="006D1C3F" w:rsidRDefault="00000000">
      <w:pPr>
        <w:ind w:firstLine="400"/>
        <w:rPr>
          <w:b w:val="0"/>
          <w:bCs w:val="0"/>
          <w:szCs w:val="20"/>
        </w:rPr>
      </w:pPr>
      <w:r>
        <w:rPr>
          <w:b w:val="0"/>
          <w:bCs w:val="0"/>
          <w:szCs w:val="20"/>
        </w:rPr>
        <w:t xml:space="preserve">The annual all-cause mortality rate for patients in year T is denoted as </w:t>
      </w:r>
      <m:oMath>
        <m:sSub>
          <m:sSubPr>
            <m:ctrlPr>
              <w:rPr>
                <w:rFonts w:ascii="Cambria Math" w:hAnsi="Cambria Math"/>
                <w:b w:val="0"/>
                <w:bCs w:val="0"/>
                <w:i/>
                <w:szCs w:val="20"/>
              </w:rPr>
            </m:ctrlPr>
          </m:sSubPr>
          <m:e>
            <m:r>
              <m:rPr>
                <m:sty m:val="bi"/>
              </m:rPr>
              <w:rPr>
                <w:rFonts w:ascii="Cambria Math" w:hAnsi="Cambria Math"/>
                <w:szCs w:val="20"/>
              </w:rPr>
              <m:t>Y</m:t>
            </m:r>
          </m:e>
          <m:sub>
            <m:r>
              <m:rPr>
                <m:sty m:val="bi"/>
              </m:rPr>
              <w:rPr>
                <w:rFonts w:ascii="Cambria Math" w:hAnsi="Cambria Math"/>
                <w:szCs w:val="20"/>
              </w:rPr>
              <m:t>T</m:t>
            </m:r>
          </m:sub>
        </m:sSub>
      </m:oMath>
      <w:r>
        <w:rPr>
          <w:rFonts w:ascii="Calibri" w:hAnsi="Calibri" w:hint="eastAsia"/>
          <w:b w:val="0"/>
          <w:bCs w:val="0"/>
          <w:szCs w:val="20"/>
        </w:rPr>
        <w:t>.</w:t>
      </w:r>
      <w:r>
        <w:rPr>
          <w:rFonts w:ascii="等线" w:eastAsia="等线" w:hAnsi="等线" w:hint="eastAsia"/>
          <w:b w:val="0"/>
          <w:bCs w:val="0"/>
          <w:sz w:val="21"/>
          <w:szCs w:val="22"/>
        </w:rPr>
        <w:t xml:space="preserve"> </w:t>
      </w:r>
    </w:p>
    <w:p w14:paraId="6162B86F" w14:textId="77777777" w:rsidR="006D1C3F" w:rsidRDefault="00000000">
      <w:pPr>
        <w:pStyle w:val="af0"/>
        <w:numPr>
          <w:ilvl w:val="0"/>
          <w:numId w:val="3"/>
        </w:numPr>
        <w:ind w:firstLineChars="0"/>
        <w:rPr>
          <w:b w:val="0"/>
          <w:bCs w:val="0"/>
          <w:szCs w:val="20"/>
        </w:rPr>
      </w:pPr>
      <w:r>
        <w:rPr>
          <w:b w:val="0"/>
          <w:bCs w:val="0"/>
          <w:szCs w:val="20"/>
        </w:rPr>
        <w:t>First-line Post-Treatment Phase (First PD and Terminal PD)​</w:t>
      </w:r>
    </w:p>
    <w:p w14:paraId="234A695F" w14:textId="77777777" w:rsidR="006D1C3F" w:rsidRDefault="00000000">
      <w:pPr>
        <w:ind w:firstLine="400"/>
        <w:rPr>
          <w:b w:val="0"/>
          <w:bCs w:val="0"/>
          <w:szCs w:val="20"/>
        </w:rPr>
      </w:pPr>
      <w:r>
        <w:rPr>
          <w:rFonts w:hint="eastAsia"/>
          <w:b w:val="0"/>
          <w:bCs w:val="0"/>
          <w:szCs w:val="20"/>
        </w:rPr>
        <w:t>·</w:t>
      </w:r>
      <w:r>
        <w:rPr>
          <w:b w:val="0"/>
          <w:bCs w:val="0"/>
          <w:szCs w:val="20"/>
        </w:rPr>
        <w:t>Probability of remaining in First PD at cycle T (First PD to First PD transition):​​</w:t>
      </w:r>
    </w:p>
    <w:p w14:paraId="78B91C54" w14:textId="77777777" w:rsidR="006D1C3F" w:rsidRDefault="00000000">
      <w:pPr>
        <w:ind w:firstLine="400"/>
        <w:rPr>
          <w:rFonts w:hAnsi="Cambria Math"/>
          <w:b w:val="0"/>
          <w:bCs w:val="0"/>
          <w:szCs w:val="20"/>
        </w:rPr>
      </w:pPr>
      <m:oMathPara>
        <m:oMath>
          <m:sSub>
            <m:sSubPr>
              <m:ctrlPr>
                <w:rPr>
                  <w:rFonts w:ascii="Cambria Math" w:hAnsi="Cambria Math"/>
                  <w:b w:val="0"/>
                  <w:bCs w:val="0"/>
                  <w:szCs w:val="20"/>
                </w:rPr>
              </m:ctrlPr>
            </m:sSubPr>
            <m:e>
              <m:r>
                <m:rPr>
                  <m:sty m:val="b"/>
                </m:rPr>
                <w:rPr>
                  <w:rFonts w:ascii="Cambria Math" w:hAnsi="Cambria Math"/>
                  <w:szCs w:val="20"/>
                </w:rPr>
                <m:t>P</m:t>
              </m:r>
            </m:e>
            <m:sub>
              <m:r>
                <m:rPr>
                  <m:sty m:val="b"/>
                </m:rPr>
                <w:rPr>
                  <w:rFonts w:ascii="Cambria Math" w:hAnsi="Cambria Math"/>
                  <w:szCs w:val="20"/>
                </w:rPr>
                <m:t>cT</m:t>
              </m:r>
            </m:sub>
          </m:sSub>
          <m:r>
            <m:rPr>
              <m:sty m:val="b"/>
            </m:rPr>
            <w:rPr>
              <w:rFonts w:ascii="Cambria Math" w:hAnsi="Cambria Math"/>
              <w:szCs w:val="20"/>
            </w:rPr>
            <m:t>=</m:t>
          </m:r>
          <m:sSub>
            <m:sSubPr>
              <m:ctrlPr>
                <w:rPr>
                  <w:rFonts w:ascii="Cambria Math" w:hAnsi="Cambria Math"/>
                  <w:b w:val="0"/>
                  <w:bCs w:val="0"/>
                  <w:szCs w:val="20"/>
                </w:rPr>
              </m:ctrlPr>
            </m:sSubPr>
            <m:e>
              <m:r>
                <m:rPr>
                  <m:sty m:val="b"/>
                </m:rPr>
                <w:rPr>
                  <w:rFonts w:ascii="Cambria Math" w:hAnsi="Cambria Math"/>
                  <w:szCs w:val="20"/>
                </w:rPr>
                <m:t>S</m:t>
              </m:r>
            </m:e>
            <m:sub>
              <m:r>
                <m:rPr>
                  <m:sty m:val="b"/>
                </m:rPr>
                <w:rPr>
                  <w:rFonts w:ascii="Cambria Math" w:hAnsi="Cambria Math"/>
                  <w:szCs w:val="20"/>
                </w:rPr>
                <m:t>bT</m:t>
              </m:r>
            </m:sub>
          </m:sSub>
          <m:r>
            <m:rPr>
              <m:sty m:val="b"/>
            </m:rPr>
            <w:rPr>
              <w:rFonts w:ascii="Cambria Math" w:hAnsi="Cambria Math"/>
              <w:szCs w:val="20"/>
            </w:rPr>
            <m:t>/</m:t>
          </m:r>
          <m:sSub>
            <m:sSubPr>
              <m:ctrlPr>
                <w:rPr>
                  <w:rFonts w:ascii="Cambria Math" w:hAnsi="Cambria Math"/>
                  <w:b w:val="0"/>
                  <w:bCs w:val="0"/>
                  <w:szCs w:val="20"/>
                </w:rPr>
              </m:ctrlPr>
            </m:sSubPr>
            <m:e>
              <m:r>
                <m:rPr>
                  <m:sty m:val="b"/>
                </m:rPr>
                <w:rPr>
                  <w:rFonts w:ascii="Cambria Math" w:hAnsi="Cambria Math"/>
                  <w:szCs w:val="20"/>
                </w:rPr>
                <m:t>S</m:t>
              </m:r>
            </m:e>
            <m:sub>
              <m:r>
                <m:rPr>
                  <m:sty m:val="b"/>
                </m:rPr>
                <w:rPr>
                  <w:rFonts w:ascii="Cambria Math" w:hAnsi="Cambria Math"/>
                  <w:szCs w:val="20"/>
                </w:rPr>
                <m:t>bT-1</m:t>
              </m:r>
            </m:sub>
          </m:sSub>
        </m:oMath>
      </m:oMathPara>
    </w:p>
    <w:p w14:paraId="7080B2E8" w14:textId="77777777" w:rsidR="006D1C3F" w:rsidRDefault="00000000">
      <w:pPr>
        <w:ind w:firstLine="400"/>
        <w:rPr>
          <w:b w:val="0"/>
          <w:bCs w:val="0"/>
          <w:szCs w:val="20"/>
        </w:rPr>
      </w:pPr>
      <w:r>
        <w:rPr>
          <w:rFonts w:hint="eastAsia"/>
          <w:b w:val="0"/>
          <w:bCs w:val="0"/>
          <w:szCs w:val="20"/>
        </w:rPr>
        <w:t xml:space="preserve">Where </w:t>
      </w:r>
      <m:oMath>
        <m:sSub>
          <m:sSubPr>
            <m:ctrlPr>
              <w:rPr>
                <w:rFonts w:ascii="Cambria Math" w:hAnsi="Cambria Math"/>
                <w:b w:val="0"/>
                <w:bCs w:val="0"/>
                <w:szCs w:val="20"/>
              </w:rPr>
            </m:ctrlPr>
          </m:sSubPr>
          <m:e>
            <m:r>
              <m:rPr>
                <m:sty m:val="b"/>
              </m:rPr>
              <w:rPr>
                <w:rFonts w:ascii="Cambria Math" w:hAnsi="Cambria Math"/>
                <w:szCs w:val="20"/>
              </w:rPr>
              <m:t>S</m:t>
            </m:r>
          </m:e>
          <m:sub>
            <m:r>
              <m:rPr>
                <m:sty m:val="b"/>
              </m:rPr>
              <w:rPr>
                <w:rFonts w:ascii="Cambria Math" w:hAnsi="Cambria Math"/>
                <w:szCs w:val="20"/>
              </w:rPr>
              <m:t>bT</m:t>
            </m:r>
          </m:sub>
        </m:sSub>
      </m:oMath>
      <w:r>
        <w:rPr>
          <w:rFonts w:hint="eastAsia"/>
          <w:b w:val="0"/>
          <w:bCs w:val="0"/>
          <w:szCs w:val="20"/>
        </w:rPr>
        <w:t xml:space="preserve"> is the cumulative progression-free survival probability derived from the second-line PFS curve.</w:t>
      </w:r>
    </w:p>
    <w:p w14:paraId="145C59CE" w14:textId="77777777" w:rsidR="006D1C3F" w:rsidRDefault="00000000">
      <w:pPr>
        <w:ind w:firstLine="400"/>
        <w:rPr>
          <w:b w:val="0"/>
          <w:bCs w:val="0"/>
          <w:szCs w:val="20"/>
        </w:rPr>
      </w:pPr>
      <w:r>
        <w:rPr>
          <w:rFonts w:hint="eastAsia"/>
          <w:b w:val="0"/>
          <w:bCs w:val="0"/>
          <w:szCs w:val="20"/>
        </w:rPr>
        <w:t>·</w:t>
      </w:r>
      <w:r>
        <w:rPr>
          <w:b w:val="0"/>
          <w:bCs w:val="0"/>
          <w:szCs w:val="20"/>
        </w:rPr>
        <w:t>Probability of transitioning from First PD to Second PD at cycle T (First PD to Second PD transition):​</w:t>
      </w:r>
    </w:p>
    <w:p w14:paraId="35EE007D" w14:textId="77777777" w:rsidR="006D1C3F" w:rsidRDefault="00000000">
      <w:pPr>
        <w:rPr>
          <w:b w:val="0"/>
          <w:bCs w:val="0"/>
          <w:szCs w:val="20"/>
        </w:rPr>
      </w:pPr>
      <m:oMathPara>
        <m:oMath>
          <m:r>
            <m:rPr>
              <m:sty m:val="b"/>
            </m:rPr>
            <w:rPr>
              <w:rFonts w:ascii="Cambria Math" w:hAnsi="Cambria Math" w:hint="eastAsia"/>
              <w:szCs w:val="20"/>
            </w:rPr>
            <w:lastRenderedPageBreak/>
            <m:t xml:space="preserve"> </m:t>
          </m:r>
          <m:sSub>
            <m:sSubPr>
              <m:ctrlPr>
                <w:rPr>
                  <w:rFonts w:ascii="Cambria Math" w:hAnsi="Cambria Math"/>
                  <w:b w:val="0"/>
                  <w:bCs w:val="0"/>
                  <w:szCs w:val="20"/>
                </w:rPr>
              </m:ctrlPr>
            </m:sSubPr>
            <m:e>
              <m:r>
                <m:rPr>
                  <m:sty m:val="b"/>
                </m:rPr>
                <w:rPr>
                  <w:rFonts w:ascii="Cambria Math" w:hAnsi="Cambria Math"/>
                  <w:szCs w:val="20"/>
                </w:rPr>
                <m:t>P</m:t>
              </m:r>
            </m:e>
            <m:sub>
              <m:r>
                <m:rPr>
                  <m:sty m:val="b"/>
                </m:rPr>
                <w:rPr>
                  <w:rFonts w:ascii="Cambria Math" w:hAnsi="Cambria Math"/>
                  <w:szCs w:val="20"/>
                </w:rPr>
                <m:t>dT</m:t>
              </m:r>
            </m:sub>
          </m:sSub>
          <m:r>
            <m:rPr>
              <m:sty m:val="b"/>
            </m:rPr>
            <w:rPr>
              <w:rFonts w:ascii="Cambria Math" w:hAnsi="Cambria Math"/>
              <w:szCs w:val="20"/>
            </w:rPr>
            <m:t>=1-</m:t>
          </m:r>
          <m:sSub>
            <m:sSubPr>
              <m:ctrlPr>
                <w:rPr>
                  <w:rFonts w:ascii="Cambria Math" w:hAnsi="Cambria Math"/>
                  <w:b w:val="0"/>
                  <w:bCs w:val="0"/>
                  <w:szCs w:val="20"/>
                </w:rPr>
              </m:ctrlPr>
            </m:sSubPr>
            <m:e>
              <m:r>
                <m:rPr>
                  <m:sty m:val="b"/>
                </m:rPr>
                <w:rPr>
                  <w:rFonts w:ascii="Cambria Math" w:hAnsi="Cambria Math"/>
                  <w:szCs w:val="20"/>
                </w:rPr>
                <m:t>S</m:t>
              </m:r>
            </m:e>
            <m:sub>
              <m:r>
                <m:rPr>
                  <m:sty m:val="b"/>
                </m:rPr>
                <w:rPr>
                  <w:rFonts w:ascii="Cambria Math" w:hAnsi="Cambria Math"/>
                  <w:szCs w:val="20"/>
                </w:rPr>
                <m:t>bT</m:t>
              </m:r>
            </m:sub>
          </m:sSub>
          <m:r>
            <m:rPr>
              <m:sty m:val="b"/>
            </m:rPr>
            <w:rPr>
              <w:rFonts w:ascii="Cambria Math" w:hAnsi="Cambria Math"/>
              <w:szCs w:val="20"/>
            </w:rPr>
            <m:t>/</m:t>
          </m:r>
          <m:sSub>
            <m:sSubPr>
              <m:ctrlPr>
                <w:rPr>
                  <w:rFonts w:ascii="Cambria Math" w:hAnsi="Cambria Math"/>
                  <w:b w:val="0"/>
                  <w:bCs w:val="0"/>
                  <w:szCs w:val="20"/>
                </w:rPr>
              </m:ctrlPr>
            </m:sSubPr>
            <m:e>
              <m:r>
                <m:rPr>
                  <m:sty m:val="b"/>
                </m:rPr>
                <w:rPr>
                  <w:rFonts w:ascii="Cambria Math" w:hAnsi="Cambria Math"/>
                  <w:szCs w:val="20"/>
                </w:rPr>
                <m:t>S</m:t>
              </m:r>
            </m:e>
            <m:sub>
              <m:r>
                <m:rPr>
                  <m:sty m:val="b"/>
                </m:rPr>
                <w:rPr>
                  <w:rFonts w:ascii="Cambria Math" w:hAnsi="Cambria Math"/>
                  <w:szCs w:val="20"/>
                </w:rPr>
                <m:t>bT-1</m:t>
              </m:r>
            </m:sub>
          </m:sSub>
        </m:oMath>
      </m:oMathPara>
    </w:p>
    <w:p w14:paraId="06958E49" w14:textId="77777777" w:rsidR="006D1C3F" w:rsidRDefault="00000000">
      <w:pPr>
        <w:ind w:firstLine="400"/>
        <w:rPr>
          <w:b w:val="0"/>
          <w:bCs w:val="0"/>
          <w:szCs w:val="20"/>
        </w:rPr>
      </w:pPr>
      <w:r>
        <w:rPr>
          <w:rFonts w:hint="eastAsia"/>
          <w:b w:val="0"/>
          <w:bCs w:val="0"/>
          <w:szCs w:val="20"/>
        </w:rPr>
        <w:t>·</w:t>
      </w:r>
      <w:r>
        <w:rPr>
          <w:b w:val="0"/>
          <w:bCs w:val="0"/>
          <w:szCs w:val="20"/>
        </w:rPr>
        <w:t>Probability of transitioning from First or Second PD to Death at cycle T (PD to Death transition):​</w:t>
      </w:r>
    </w:p>
    <w:p w14:paraId="328035F3" w14:textId="77777777" w:rsidR="006D1C3F" w:rsidRDefault="00000000">
      <w:pPr>
        <w:rPr>
          <w:rFonts w:hAnsi="Cambria Math"/>
          <w:b w:val="0"/>
          <w:bCs w:val="0"/>
          <w:szCs w:val="20"/>
        </w:rPr>
      </w:pPr>
      <m:oMathPara>
        <m:oMath>
          <m:r>
            <m:rPr>
              <m:sty m:val="b"/>
            </m:rPr>
            <w:rPr>
              <w:rFonts w:ascii="Cambria Math" w:hAnsi="Cambria Math" w:hint="eastAsia"/>
              <w:szCs w:val="20"/>
            </w:rPr>
            <m:t xml:space="preserve"> </m:t>
          </m:r>
          <m:sSub>
            <m:sSubPr>
              <m:ctrlPr>
                <w:rPr>
                  <w:rFonts w:ascii="Cambria Math" w:hAnsi="Cambria Math"/>
                  <w:b w:val="0"/>
                  <w:bCs w:val="0"/>
                  <w:szCs w:val="20"/>
                </w:rPr>
              </m:ctrlPr>
            </m:sSubPr>
            <m:e>
              <m:r>
                <m:rPr>
                  <m:sty m:val="b"/>
                </m:rPr>
                <w:rPr>
                  <w:rFonts w:ascii="Cambria Math" w:hAnsi="Cambria Math"/>
                  <w:szCs w:val="20"/>
                </w:rPr>
                <m:t>P</m:t>
              </m:r>
            </m:e>
            <m:sub>
              <m:r>
                <m:rPr>
                  <m:sty m:val="b"/>
                </m:rPr>
                <w:rPr>
                  <w:rFonts w:ascii="Cambria Math" w:hAnsi="Cambria Math"/>
                  <w:szCs w:val="20"/>
                </w:rPr>
                <m:t>eT</m:t>
              </m:r>
            </m:sub>
          </m:sSub>
          <m:r>
            <m:rPr>
              <m:sty m:val="b"/>
            </m:rPr>
            <w:rPr>
              <w:rFonts w:ascii="Cambria Math" w:hAnsi="Cambria Math"/>
              <w:szCs w:val="20"/>
            </w:rPr>
            <m:t>=1-</m:t>
          </m:r>
          <m:sSub>
            <m:sSubPr>
              <m:ctrlPr>
                <w:rPr>
                  <w:rFonts w:ascii="Cambria Math" w:hAnsi="Cambria Math"/>
                  <w:b w:val="0"/>
                  <w:bCs w:val="0"/>
                  <w:szCs w:val="20"/>
                </w:rPr>
              </m:ctrlPr>
            </m:sSubPr>
            <m:e>
              <m:r>
                <m:rPr>
                  <m:sty m:val="b"/>
                </m:rPr>
                <w:rPr>
                  <w:rFonts w:ascii="Cambria Math" w:hAnsi="Cambria Math"/>
                  <w:szCs w:val="20"/>
                </w:rPr>
                <m:t>S</m:t>
              </m:r>
            </m:e>
            <m:sub>
              <m:r>
                <m:rPr>
                  <m:sty m:val="b"/>
                </m:rPr>
                <w:rPr>
                  <w:rFonts w:ascii="Cambria Math" w:hAnsi="Cambria Math"/>
                  <w:szCs w:val="20"/>
                </w:rPr>
                <m:t>cT</m:t>
              </m:r>
            </m:sub>
          </m:sSub>
          <m:r>
            <m:rPr>
              <m:sty m:val="b"/>
            </m:rPr>
            <w:rPr>
              <w:rFonts w:ascii="Cambria Math" w:hAnsi="Cambria Math"/>
              <w:szCs w:val="20"/>
            </w:rPr>
            <m:t>/</m:t>
          </m:r>
          <m:sSub>
            <m:sSubPr>
              <m:ctrlPr>
                <w:rPr>
                  <w:rFonts w:ascii="Cambria Math" w:hAnsi="Cambria Math"/>
                  <w:b w:val="0"/>
                  <w:bCs w:val="0"/>
                  <w:szCs w:val="20"/>
                </w:rPr>
              </m:ctrlPr>
            </m:sSubPr>
            <m:e>
              <m:r>
                <m:rPr>
                  <m:sty m:val="b"/>
                </m:rPr>
                <w:rPr>
                  <w:rFonts w:ascii="Cambria Math" w:hAnsi="Cambria Math"/>
                  <w:szCs w:val="20"/>
                </w:rPr>
                <m:t>S</m:t>
              </m:r>
            </m:e>
            <m:sub>
              <m:r>
                <m:rPr>
                  <m:sty m:val="b"/>
                </m:rPr>
                <w:rPr>
                  <w:rFonts w:ascii="Cambria Math" w:hAnsi="Cambria Math"/>
                  <w:szCs w:val="20"/>
                </w:rPr>
                <m:t>cT-1</m:t>
              </m:r>
            </m:sub>
          </m:sSub>
        </m:oMath>
      </m:oMathPara>
    </w:p>
    <w:p w14:paraId="7BA2844A" w14:textId="77777777" w:rsidR="006D1C3F" w:rsidRDefault="00000000">
      <w:pPr>
        <w:ind w:firstLine="400"/>
        <w:rPr>
          <w:rFonts w:eastAsiaTheme="minorEastAsia" w:cstheme="minorBidi"/>
          <w:b w:val="0"/>
          <w:bCs w:val="0"/>
          <w:kern w:val="44"/>
        </w:rPr>
      </w:pPr>
      <w:r>
        <w:rPr>
          <w:rFonts w:hAnsi="Cambria Math" w:hint="eastAsia"/>
          <w:b w:val="0"/>
          <w:bCs w:val="0"/>
          <w:szCs w:val="20"/>
        </w:rPr>
        <w:t xml:space="preserve">Where </w:t>
      </w:r>
      <m:oMath>
        <m:sSub>
          <m:sSubPr>
            <m:ctrlPr>
              <w:rPr>
                <w:rFonts w:ascii="Cambria Math" w:hAnsi="Cambria Math"/>
                <w:b w:val="0"/>
                <w:bCs w:val="0"/>
                <w:szCs w:val="20"/>
              </w:rPr>
            </m:ctrlPr>
          </m:sSubPr>
          <m:e>
            <m:r>
              <m:rPr>
                <m:sty m:val="b"/>
              </m:rPr>
              <w:rPr>
                <w:rFonts w:ascii="Cambria Math" w:hAnsi="Cambria Math"/>
                <w:szCs w:val="20"/>
              </w:rPr>
              <m:t>S</m:t>
            </m:r>
          </m:e>
          <m:sub>
            <m:r>
              <m:rPr>
                <m:sty m:val="b"/>
              </m:rPr>
              <w:rPr>
                <w:rFonts w:ascii="Cambria Math" w:hAnsi="Cambria Math"/>
                <w:szCs w:val="20"/>
              </w:rPr>
              <m:t>cT</m:t>
            </m:r>
          </m:sub>
        </m:sSub>
      </m:oMath>
      <w:r>
        <w:rPr>
          <w:rFonts w:hAnsi="Cambria Math" w:hint="eastAsia"/>
          <w:b w:val="0"/>
          <w:bCs w:val="0"/>
          <w:szCs w:val="20"/>
        </w:rPr>
        <w:t xml:space="preserve"> is the cumulative overall survival probability derived from the second-line overall survival (OS) curve.</w:t>
      </w:r>
    </w:p>
    <w:p w14:paraId="24BA02FF" w14:textId="77777777" w:rsidR="006D1C3F" w:rsidRDefault="00000000">
      <w:pPr>
        <w:ind w:firstLine="400"/>
        <w:rPr>
          <w:b w:val="0"/>
          <w:bCs w:val="0"/>
          <w:szCs w:val="20"/>
        </w:rPr>
      </w:pPr>
      <w:r>
        <w:rPr>
          <w:b w:val="0"/>
          <w:bCs w:val="0"/>
          <w:szCs w:val="20"/>
        </w:rPr>
        <w:t>Microsimulation was implemented with time-resetting to accommodate time-varying transition probabilities. The occurrence of each event was determined via a random process (first-order uncertainty), in which the event probability was compared against a value drawn from a uniform distribution</w:t>
      </w:r>
      <w:r>
        <w:rPr>
          <w:rFonts w:hint="eastAsia"/>
          <w:b w:val="0"/>
          <w:bCs w:val="0"/>
          <w:szCs w:val="20"/>
        </w:rPr>
        <w:t xml:space="preserve"> </w:t>
      </w:r>
      <m:oMath>
        <m:r>
          <m:rPr>
            <m:sty m:val="bi"/>
          </m:rPr>
          <w:rPr>
            <w:rFonts w:ascii="Cambria Math" w:hAnsi="Cambria Math"/>
            <w:szCs w:val="20"/>
          </w:rPr>
          <m:t>X</m:t>
        </m:r>
        <m:r>
          <m:rPr>
            <m:sty m:val="b"/>
          </m:rPr>
          <w:rPr>
            <w:rFonts w:ascii="Cambria Math" w:hAnsi="Cambria Math"/>
            <w:szCs w:val="20"/>
          </w:rPr>
          <m:t>∼</m:t>
        </m:r>
        <m:r>
          <m:rPr>
            <m:sty m:val="bi"/>
          </m:rPr>
          <w:rPr>
            <w:rFonts w:ascii="Cambria Math" w:hAnsi="Cambria Math"/>
            <w:szCs w:val="20"/>
          </w:rPr>
          <m:t>U</m:t>
        </m:r>
        <m:r>
          <m:rPr>
            <m:sty m:val="b"/>
          </m:rPr>
          <w:rPr>
            <w:rFonts w:ascii="Cambria Math" w:hAnsi="Cambria Math"/>
            <w:szCs w:val="20"/>
          </w:rPr>
          <m:t>[0,1]</m:t>
        </m:r>
      </m:oMath>
      <w:r>
        <w:rPr>
          <w:rFonts w:hAnsi="Cambria Math" w:hint="eastAsia"/>
          <w:szCs w:val="20"/>
        </w:rPr>
        <w:t xml:space="preserve"> </w:t>
      </w:r>
      <w:r>
        <w:rPr>
          <w:b w:val="0"/>
          <w:bCs w:val="0"/>
          <w:szCs w:val="20"/>
        </w:rPr>
        <w:t>to determine whether the event would occur in a given cycle</w:t>
      </w:r>
      <w:r>
        <w:rPr>
          <w:b w:val="0"/>
          <w:bCs w:val="0"/>
          <w:szCs w:val="20"/>
        </w:rPr>
        <w:fldChar w:fldCharType="begin"/>
      </w:r>
      <w:r>
        <w:rPr>
          <w:b w:val="0"/>
          <w:bCs w:val="0"/>
          <w:szCs w:val="20"/>
        </w:rPr>
        <w:instrText xml:space="preserve"> ADDIN ZOTERO_ITEM CSL_CITATION {"citationID":"8bUSIAQc","properties":{"formattedCitation":"(1)","plainCitation":"(1)","noteIndex":0},"citationItems":[{"id":332,"uris":["http://zotero.org/users/local/eBJtW3GH/items/BYM5GW7H"],"itemData":{"id":332,"type":"article-journal","abstract":"BACKGROUND AND AIMS: The growing burden of diabetes mellitus and recent progress in understanding cardiovascular outcomes for type 2 diabetes (T2D) patients continue to make the disease a priority for healthcare decision-makers around the world. Our objective was to develop a new, product-independent model capable of projecting long-term clinical and cost outcomes for populations with T2D to support health economic evaluation.\nMETHODS: Following a systematic literature review to identify longitudinal study data, existing T2D models and risk formulae for T2D populations, a model was developed (the PRIME Type 2 Diabetes Model [PRIME T2D Model]) in line with good practice guidelines to simulate disease progression, diabetes-related complications and mortality. The model runs as a patient-level simulation and is capable of simulating treatment algorithms and risk factor progression, and projecting the cumulative incidence of macrovascular and microvascular complications as well as hypoglycemic events. The PRIME T2D Model can report clinical outcomes, quality-adjusted life expectancy, direct and indirect costs, along with standard measures of cost-effectiveness and is capable of probabilistic sensitivity analysis. Several approaches novel to T2D modeling were utilized, such as combining risk formulae using a weighted model averaging approach that takes into account patient characteristics to evaluate complication risk.\nRESULTS: Validation analyses comparing modeled outcomes with published studies demonstrated that the PRIME T2D Model projects long-term patient outcomes consistent with those reported for a number of long-term studies, including cardiovascular outcomes trials. All root mean squared deviation (RMSD) values for internal validations (against published studies used to develop the model) were 1.1% or less and all external validation RMSDs were 3.7% or less.\nCONCLUSIONS: The PRIME T2D Model is a product-independent analysis tool that is available online and offers new approaches to long-standing challenges in diabetes modeling and may become a useful tool for informing healthcare policy.HIGHLIGHTSThe PRIME Type 2 Diabetes (T2D) Model is a new, product-independent simulation model.The model offers new approaches to long-standing challenges in diabetes modeling.PRIME T2D Model projects outcomes consistent with those from clinical trials.The model is designed to be a useful tool for informing healthcare policy in T2D.","container-title":"Journal of Medical Economics","DOI":"10.1080/13696998.2022.2035132","ISSN":"1941-837X","issue":"1","journalAbbreviation":"J Med Econ","language":"en","note":"PMID: 35105267","page":"393-402","source":"PubMed","title":"The PRIME Type 2 Diabetes Model: a novel, patient-level model for estimating long-term clinical and cost outcomes in patients with type 2 diabetes mellitus","title-short":"The PRIME Type 2 Diabetes Model","volume":"25","author":[{"family":"Pollock","given":"Richard F."},{"family":"Norrbacka","given":"Kirsi"},{"family":"Boye","given":"Kristina S."},{"family":"Osumili","given":"Beatrice"},{"family":"Valentine","given":"William J."}],"issued":{"date-parts":[["2022"]]}}}],"schema":"https://github.com/citation-style-language/schema/raw/master/csl-citation.json"} </w:instrText>
      </w:r>
      <w:r>
        <w:rPr>
          <w:b w:val="0"/>
          <w:bCs w:val="0"/>
          <w:szCs w:val="20"/>
        </w:rPr>
        <w:fldChar w:fldCharType="separate"/>
      </w:r>
      <w:r>
        <w:rPr>
          <w:rFonts w:hint="eastAsia"/>
          <w:b w:val="0"/>
          <w:bCs w:val="0"/>
        </w:rPr>
        <w:t>[</w:t>
      </w:r>
      <w:r>
        <w:rPr>
          <w:b w:val="0"/>
          <w:bCs w:val="0"/>
        </w:rPr>
        <w:t>1</w:t>
      </w:r>
      <w:r>
        <w:rPr>
          <w:rFonts w:hint="eastAsia"/>
          <w:b w:val="0"/>
          <w:bCs w:val="0"/>
        </w:rPr>
        <w:t>]</w:t>
      </w:r>
      <w:r>
        <w:rPr>
          <w:b w:val="0"/>
          <w:bCs w:val="0"/>
          <w:szCs w:val="20"/>
        </w:rPr>
        <w:fldChar w:fldCharType="end"/>
      </w:r>
      <w:r>
        <w:rPr>
          <w:b w:val="0"/>
          <w:bCs w:val="0"/>
          <w:szCs w:val="20"/>
        </w:rPr>
        <w:t>.</w:t>
      </w:r>
      <w:r>
        <w:rPr>
          <w:rFonts w:eastAsia="等线"/>
          <w:b w:val="0"/>
          <w:bCs w:val="0"/>
          <w:sz w:val="21"/>
          <w:szCs w:val="22"/>
        </w:rPr>
        <w:t xml:space="preserve"> P</w:t>
      </w:r>
      <w:r>
        <w:rPr>
          <w:b w:val="0"/>
          <w:bCs w:val="0"/>
          <w:szCs w:val="20"/>
        </w:rPr>
        <w:t>atients began in the first-line PFS state and could experience one of two mutually exclusive risk eve</w:t>
      </w:r>
      <w:r>
        <w:rPr>
          <w:rFonts w:hint="eastAsia"/>
          <w:b w:val="0"/>
          <w:bCs w:val="0"/>
          <w:szCs w:val="20"/>
        </w:rPr>
        <w:t>nts: disease progression or death, with death assigned higher priority. Similarly, after the first disease progression, patients also face competing risks of further progression and death. Once surviving patients exit the PFS state, they will enter the first cycle of second-line treatment. In Microsoft Excel, the "COUNTIF</w:t>
      </w:r>
      <w:proofErr w:type="gramStart"/>
      <w:r>
        <w:rPr>
          <w:rFonts w:hint="eastAsia"/>
          <w:b w:val="0"/>
          <w:bCs w:val="0"/>
          <w:szCs w:val="20"/>
        </w:rPr>
        <w:t>"  function</w:t>
      </w:r>
      <w:proofErr w:type="gramEnd"/>
      <w:r>
        <w:rPr>
          <w:rFonts w:hint="eastAsia"/>
          <w:b w:val="0"/>
          <w:bCs w:val="0"/>
          <w:szCs w:val="20"/>
        </w:rPr>
        <w:t xml:space="preserve"> was used to calculate cumulative time in each health state, and the "Lookup" function retrieved cycle-specific transition probabilities for state transitions. </w:t>
      </w:r>
    </w:p>
    <w:p w14:paraId="0F11AAB6" w14:textId="77777777" w:rsidR="006D1C3F" w:rsidRDefault="00000000">
      <w:pPr>
        <w:pStyle w:val="af0"/>
        <w:keepNext/>
        <w:keepLines/>
        <w:pageBreakBefore/>
        <w:spacing w:before="340" w:after="156" w:line="240" w:lineRule="auto"/>
        <w:ind w:firstLineChars="0" w:firstLine="0"/>
        <w:outlineLvl w:val="0"/>
        <w:rPr>
          <w:rFonts w:cstheme="minorBidi"/>
          <w:b w:val="0"/>
          <w:bCs w:val="0"/>
          <w:kern w:val="44"/>
        </w:rPr>
      </w:pPr>
      <w:bookmarkStart w:id="7" w:name="_Hlk211978246"/>
      <w:bookmarkStart w:id="8" w:name="_Toc225844803"/>
      <w:r>
        <w:rPr>
          <w:rFonts w:cstheme="minorBidi" w:hint="eastAsia"/>
          <w:b w:val="0"/>
          <w:bCs w:val="0"/>
          <w:kern w:val="44"/>
        </w:rPr>
        <w:lastRenderedPageBreak/>
        <w:t xml:space="preserve">4 </w:t>
      </w:r>
      <w:proofErr w:type="spellStart"/>
      <w:r>
        <w:rPr>
          <w:rFonts w:cstheme="minorBidi" w:hint="eastAsia"/>
          <w:b w:val="0"/>
          <w:bCs w:val="0"/>
          <w:kern w:val="44"/>
        </w:rPr>
        <w:t>eMethod</w:t>
      </w:r>
      <w:bookmarkEnd w:id="7"/>
      <w:proofErr w:type="spellEnd"/>
      <w:r>
        <w:rPr>
          <w:rFonts w:cstheme="minorBidi" w:hint="eastAsia"/>
          <w:b w:val="0"/>
          <w:bCs w:val="0"/>
          <w:kern w:val="44"/>
        </w:rPr>
        <w:t xml:space="preserve"> Probabilistic sensitivity analysis</w:t>
      </w:r>
      <w:bookmarkEnd w:id="8"/>
    </w:p>
    <w:p w14:paraId="33CEB2D4" w14:textId="77777777" w:rsidR="006D1C3F" w:rsidRDefault="00000000">
      <w:pPr>
        <w:ind w:firstLine="400"/>
      </w:pPr>
      <w:r>
        <w:rPr>
          <w:b w:val="0"/>
          <w:bCs w:val="0"/>
        </w:rPr>
        <w:t>To assess the impact of parameter uncertainty on the model outcomes, a probabilistic sensitivity analysis (PSA) was conducted. Theoretical probability distributions were assigned to key parameters, and Monte Carlo simulation was used to iteratively sample parameter values. The model was run 10,000 times to reflect the joint uncertainty across all parameters. The Gamma distribution was selected for cost,</w:t>
      </w:r>
      <w:r>
        <w:rPr>
          <w:rFonts w:hint="eastAsia"/>
          <w:b w:val="0"/>
          <w:bCs w:val="0"/>
        </w:rPr>
        <w:t xml:space="preserve"> </w:t>
      </w:r>
      <w:r>
        <w:rPr>
          <w:b w:val="0"/>
          <w:bCs w:val="0"/>
        </w:rPr>
        <w:t>the Beta distribution for probability, proportion, and utilities. All the parameters were adjusted within the reported</w:t>
      </w:r>
      <w:r>
        <w:rPr>
          <w:rFonts w:hint="eastAsia"/>
        </w:rPr>
        <w:t xml:space="preserve"> </w:t>
      </w:r>
      <w:r>
        <w:rPr>
          <w:b w:val="0"/>
          <w:bCs w:val="0"/>
        </w:rPr>
        <w:t>95% confidence intervals or assuming reasonable ranges of the</w:t>
      </w:r>
      <w:r>
        <w:rPr>
          <w:rFonts w:hint="eastAsia"/>
        </w:rPr>
        <w:t xml:space="preserve"> </w:t>
      </w:r>
      <w:r>
        <w:rPr>
          <w:b w:val="0"/>
          <w:bCs w:val="0"/>
        </w:rPr>
        <w:t xml:space="preserve">base-case values. </w:t>
      </w:r>
    </w:p>
    <w:p w14:paraId="1BAF3706" w14:textId="77777777" w:rsidR="006D1C3F" w:rsidRDefault="00000000">
      <w:pPr>
        <w:ind w:firstLine="400"/>
        <w:rPr>
          <w:b w:val="0"/>
          <w:bCs w:val="0"/>
        </w:rPr>
      </w:pPr>
      <w:r>
        <w:rPr>
          <w:b w:val="0"/>
          <w:bCs w:val="0"/>
        </w:rPr>
        <w:t>Results were presented using cost-effectiveness acceptability curves (CEACs), which show the probability of each treatment strategy being cost-effective across a range of willingness-to-pay thresholds.</w:t>
      </w:r>
    </w:p>
    <w:p w14:paraId="2BDEAA03" w14:textId="77777777" w:rsidR="006D1C3F" w:rsidRDefault="00000000">
      <w:pPr>
        <w:pStyle w:val="af0"/>
        <w:keepNext/>
        <w:keepLines/>
        <w:pageBreakBefore/>
        <w:spacing w:before="340" w:after="156" w:line="240" w:lineRule="auto"/>
        <w:ind w:firstLineChars="0" w:firstLine="0"/>
        <w:outlineLvl w:val="0"/>
        <w:rPr>
          <w:rFonts w:cstheme="minorBidi"/>
          <w:b w:val="0"/>
          <w:bCs w:val="0"/>
          <w:kern w:val="44"/>
        </w:rPr>
      </w:pPr>
      <w:bookmarkStart w:id="9" w:name="_Toc225844804"/>
      <w:r>
        <w:rPr>
          <w:rFonts w:cstheme="minorBidi" w:hint="eastAsia"/>
          <w:b w:val="0"/>
          <w:bCs w:val="0"/>
          <w:kern w:val="44"/>
        </w:rPr>
        <w:lastRenderedPageBreak/>
        <w:t xml:space="preserve">5 </w:t>
      </w:r>
      <w:proofErr w:type="spellStart"/>
      <w:r>
        <w:rPr>
          <w:rFonts w:cstheme="minorBidi" w:hint="eastAsia"/>
          <w:b w:val="0"/>
          <w:bCs w:val="0"/>
          <w:kern w:val="44"/>
        </w:rPr>
        <w:t>eMethod</w:t>
      </w:r>
      <w:proofErr w:type="spellEnd"/>
      <w:r>
        <w:rPr>
          <w:rFonts w:cstheme="minorBidi" w:hint="eastAsia"/>
          <w:b w:val="0"/>
          <w:bCs w:val="0"/>
          <w:kern w:val="44"/>
        </w:rPr>
        <w:t xml:space="preserve"> </w:t>
      </w:r>
      <w:r>
        <w:rPr>
          <w:rFonts w:cstheme="minorBidi"/>
          <w:b w:val="0"/>
          <w:bCs w:val="0"/>
          <w:kern w:val="44"/>
        </w:rPr>
        <w:t>Calculation and Standardization of the Physician Preference Weighting System</w:t>
      </w:r>
      <w:bookmarkEnd w:id="9"/>
    </w:p>
    <w:p w14:paraId="182CFDD9" w14:textId="77777777" w:rsidR="006D1C3F" w:rsidRDefault="00000000">
      <w:pPr>
        <w:widowControl/>
        <w:ind w:firstLine="400"/>
        <w:jc w:val="left"/>
        <w:rPr>
          <w:b w:val="0"/>
          <w:bCs w:val="0"/>
        </w:rPr>
      </w:pPr>
      <w:r>
        <w:rPr>
          <w:b w:val="0"/>
          <w:bCs w:val="0"/>
        </w:rPr>
        <w:t>To construct the integrated decision model incorporating both physician and patient preferences, we required a unified weighting system that includes "treatment cost" and ensures the sum of the relative importance across all attributes equals 100%.</w:t>
      </w:r>
    </w:p>
    <w:p w14:paraId="11132F9F" w14:textId="77777777" w:rsidR="006D1C3F" w:rsidRDefault="00000000">
      <w:pPr>
        <w:widowControl/>
        <w:ind w:firstLine="400"/>
        <w:jc w:val="left"/>
        <w:rPr>
          <w:b w:val="0"/>
          <w:bCs w:val="0"/>
        </w:rPr>
      </w:pPr>
      <w:r>
        <w:rPr>
          <w:b w:val="0"/>
          <w:bCs w:val="0"/>
        </w:rPr>
        <w:t>In the multicenter discrete choice experiment (DCE) by Sun Hui et al. (2020), "treatment cost" was modeled as a continuous variable (regression coefficient = -0.039), and the relative importance of attributes was not presented as a percentage-based weighting system inclusive of cost. To generate standardized weights applicable for the physician-patient comparison in our study, we recalculated the weights based on the original regression model results using a "Max-Min Coefficient Range" approach. The specific steps were as follows:</w:t>
      </w:r>
    </w:p>
    <w:p w14:paraId="2816ACAC" w14:textId="77777777" w:rsidR="006D1C3F" w:rsidRDefault="00000000">
      <w:pPr>
        <w:widowControl/>
        <w:ind w:firstLineChars="0" w:firstLine="0"/>
        <w:jc w:val="left"/>
      </w:pPr>
      <w:r>
        <w:t>Step 1: Determining the Coefficient Range for the Cost Attribute</w:t>
      </w:r>
    </w:p>
    <w:p w14:paraId="08EB0806" w14:textId="77777777" w:rsidR="006D1C3F" w:rsidRDefault="00000000">
      <w:pPr>
        <w:widowControl/>
        <w:ind w:firstLineChars="0" w:firstLine="0"/>
        <w:jc w:val="left"/>
        <w:rPr>
          <w:b w:val="0"/>
          <w:bCs w:val="0"/>
        </w:rPr>
      </w:pPr>
      <w:r>
        <w:rPr>
          <w:b w:val="0"/>
          <w:bCs w:val="0"/>
        </w:rPr>
        <w:t>To reasonably quantify the preference span for cost, we adopted the clinical cost evaluation interval predefined in the original DCE design by Sun Hui et al. (i.e., 10,000 to 50,000 RMB per month). By multiplying this cost range (40 units of 1,000 RMB) by the absolute value of the continuous cost coefficient from the original model (|-0.039| per 1,000 RMB), we derived the maximum coefficient range for the cost attribute in our context, which equaled 1.56 (i.e., 40 × |-0.039|).</w:t>
      </w:r>
    </w:p>
    <w:p w14:paraId="3B9F70DF" w14:textId="77777777" w:rsidR="006D1C3F" w:rsidRDefault="00000000">
      <w:pPr>
        <w:widowControl/>
        <w:ind w:firstLineChars="0" w:firstLine="0"/>
        <w:jc w:val="left"/>
      </w:pPr>
      <w:r>
        <w:t>Step 2: Re-scaling the Weighting System</w:t>
      </w:r>
    </w:p>
    <w:p w14:paraId="6EB9F8AB" w14:textId="77777777" w:rsidR="006D1C3F" w:rsidRDefault="00000000">
      <w:pPr>
        <w:widowControl/>
        <w:ind w:firstLineChars="0" w:firstLine="0"/>
        <w:jc w:val="left"/>
        <w:rPr>
          <w:b w:val="0"/>
          <w:bCs w:val="0"/>
        </w:rPr>
      </w:pPr>
      <w:r>
        <w:rPr>
          <w:b w:val="0"/>
          <w:bCs w:val="0"/>
        </w:rPr>
        <w:t>We calculated the maximum coefficient differences for all categorical attributes from the original study (e.g., the coefficient range for progression-free survival [PFS] is the difference between its highest and lowest coefficients). The coefficient ranges of all categorical attributes were summed and combined with the newly derived cost coefficient range (1.56) to yield an augmented "total coefficient range," which served as the new denominator for the weight calculations.</w:t>
      </w:r>
    </w:p>
    <w:p w14:paraId="6F85BA45" w14:textId="77777777" w:rsidR="006D1C3F" w:rsidRDefault="00000000">
      <w:pPr>
        <w:widowControl/>
        <w:ind w:firstLineChars="0" w:firstLine="0"/>
        <w:jc w:val="left"/>
      </w:pPr>
      <w:r>
        <w:t>Step 3: Calculating the Standardized Relative Importance</w:t>
      </w:r>
    </w:p>
    <w:p w14:paraId="7847D689" w14:textId="77777777" w:rsidR="006D1C3F" w:rsidRDefault="00000000">
      <w:pPr>
        <w:widowControl/>
        <w:ind w:firstLineChars="0" w:firstLine="0"/>
        <w:jc w:val="left"/>
        <w:rPr>
          <w:rFonts w:eastAsia="TimesNewRomanPSMT"/>
          <w:b w:val="0"/>
          <w:bCs w:val="0"/>
        </w:rPr>
        <w:sectPr w:rsidR="006D1C3F">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r>
        <w:rPr>
          <w:b w:val="0"/>
          <w:bCs w:val="0"/>
        </w:rPr>
        <w:t>By dividing the individual coefficient range of each attribute by the new total coefficient range, we obtained the standardized relative importance weight (as a percentage) for each attribute. Crucially, this process reasonably incorporated the cost attribute while objectively preserving the proportional relative importance among the original categorical attributes. The original coefficients, coefficient ranges, and final calculated weights are detailed in Table S9</w:t>
      </w:r>
      <w:r>
        <w:rPr>
          <w:rFonts w:hint="eastAsia"/>
          <w:b w:val="0"/>
          <w:bCs w:val="0"/>
        </w:rPr>
        <w:t>.</w:t>
      </w:r>
    </w:p>
    <w:p w14:paraId="76FE2E24" w14:textId="77777777" w:rsidR="006D1C3F" w:rsidRDefault="00000000">
      <w:pPr>
        <w:keepNext/>
        <w:keepLines/>
        <w:pageBreakBefore/>
        <w:spacing w:before="340" w:after="156" w:line="240" w:lineRule="auto"/>
        <w:ind w:firstLineChars="0" w:firstLine="0"/>
        <w:outlineLvl w:val="0"/>
        <w:rPr>
          <w:rFonts w:eastAsiaTheme="minorEastAsia" w:cstheme="minorBidi"/>
          <w:b w:val="0"/>
          <w:bCs w:val="0"/>
        </w:rPr>
      </w:pPr>
      <w:bookmarkStart w:id="10" w:name="_Hlk211978003"/>
      <w:bookmarkStart w:id="11" w:name="_Hlk211978193"/>
      <w:bookmarkStart w:id="12" w:name="_Toc225844805"/>
      <w:r>
        <w:rPr>
          <w:rFonts w:eastAsia="Times New Roman" w:cstheme="minorBidi"/>
          <w:b w:val="0"/>
          <w:bCs w:val="0"/>
          <w:kern w:val="44"/>
        </w:rPr>
        <w:lastRenderedPageBreak/>
        <w:t>Table S1</w:t>
      </w:r>
      <w:bookmarkEnd w:id="10"/>
      <w:r>
        <w:rPr>
          <w:rFonts w:eastAsia="Times New Roman" w:cstheme="minorBidi"/>
          <w:b w:val="0"/>
          <w:bCs w:val="0"/>
          <w:kern w:val="44"/>
        </w:rPr>
        <w:t xml:space="preserve"> </w:t>
      </w:r>
      <w:bookmarkEnd w:id="11"/>
      <w:r>
        <w:rPr>
          <w:rFonts w:eastAsia="Times New Roman" w:cstheme="minorBidi"/>
          <w:b w:val="0"/>
          <w:bCs w:val="0"/>
          <w:kern w:val="44"/>
        </w:rPr>
        <w:t>Baseline characteristics of included RCT</w:t>
      </w:r>
      <w:bookmarkEnd w:id="12"/>
      <w:r>
        <w:rPr>
          <w:rFonts w:eastAsiaTheme="minorEastAsia" w:cstheme="minorBidi"/>
          <w:b w:val="0"/>
          <w:bCs w:val="0"/>
        </w:rPr>
        <w:t xml:space="preserve"> </w:t>
      </w:r>
    </w:p>
    <w:tbl>
      <w:tblPr>
        <w:tblW w:w="5000" w:type="pct"/>
        <w:tblBorders>
          <w:bottom w:val="single" w:sz="4" w:space="0" w:color="auto"/>
        </w:tblBorders>
        <w:tblLayout w:type="fixed"/>
        <w:tblLook w:val="04A0" w:firstRow="1" w:lastRow="0" w:firstColumn="1" w:lastColumn="0" w:noHBand="0" w:noVBand="1"/>
      </w:tblPr>
      <w:tblGrid>
        <w:gridCol w:w="1268"/>
        <w:gridCol w:w="1993"/>
        <w:gridCol w:w="1985"/>
        <w:gridCol w:w="1119"/>
        <w:gridCol w:w="1421"/>
        <w:gridCol w:w="1460"/>
        <w:gridCol w:w="2004"/>
        <w:gridCol w:w="1357"/>
        <w:gridCol w:w="1351"/>
      </w:tblGrid>
      <w:tr w:rsidR="006D1C3F" w14:paraId="3E129521" w14:textId="77777777">
        <w:trPr>
          <w:trHeight w:val="23"/>
        </w:trPr>
        <w:tc>
          <w:tcPr>
            <w:tcW w:w="454" w:type="pct"/>
            <w:tcBorders>
              <w:top w:val="single" w:sz="12" w:space="0" w:color="000000"/>
              <w:left w:val="nil"/>
              <w:bottom w:val="single" w:sz="8" w:space="0" w:color="000000"/>
              <w:right w:val="nil"/>
            </w:tcBorders>
            <w:noWrap/>
            <w:vAlign w:val="center"/>
          </w:tcPr>
          <w:p w14:paraId="103D1C55" w14:textId="77777777" w:rsidR="006D1C3F" w:rsidRDefault="00000000">
            <w:pPr>
              <w:ind w:firstLineChars="100" w:firstLine="181"/>
              <w:jc w:val="left"/>
              <w:rPr>
                <w:b w:val="0"/>
                <w:bCs w:val="0"/>
                <w:sz w:val="18"/>
                <w:szCs w:val="18"/>
              </w:rPr>
            </w:pPr>
            <w:r>
              <w:rPr>
                <w:sz w:val="18"/>
                <w:szCs w:val="18"/>
              </w:rPr>
              <w:t>Trial information</w:t>
            </w:r>
          </w:p>
        </w:tc>
        <w:tc>
          <w:tcPr>
            <w:tcW w:w="714" w:type="pct"/>
            <w:tcBorders>
              <w:top w:val="single" w:sz="12" w:space="0" w:color="000000"/>
              <w:left w:val="nil"/>
              <w:bottom w:val="single" w:sz="8" w:space="0" w:color="000000"/>
              <w:right w:val="nil"/>
            </w:tcBorders>
            <w:noWrap/>
            <w:vAlign w:val="center"/>
          </w:tcPr>
          <w:p w14:paraId="1374A918" w14:textId="77777777" w:rsidR="006D1C3F" w:rsidRDefault="00000000">
            <w:pPr>
              <w:ind w:firstLine="361"/>
              <w:jc w:val="left"/>
              <w:rPr>
                <w:rFonts w:cstheme="minorBidi"/>
                <w:sz w:val="18"/>
                <w:szCs w:val="18"/>
              </w:rPr>
            </w:pPr>
            <w:r>
              <w:rPr>
                <w:rFonts w:cstheme="minorBidi" w:hint="eastAsia"/>
                <w:sz w:val="18"/>
                <w:szCs w:val="18"/>
              </w:rPr>
              <w:t>Intervention</w:t>
            </w:r>
          </w:p>
        </w:tc>
        <w:tc>
          <w:tcPr>
            <w:tcW w:w="711" w:type="pct"/>
            <w:tcBorders>
              <w:top w:val="single" w:sz="12" w:space="0" w:color="000000"/>
              <w:left w:val="nil"/>
              <w:bottom w:val="single" w:sz="8" w:space="0" w:color="000000"/>
              <w:right w:val="nil"/>
            </w:tcBorders>
            <w:noWrap/>
            <w:vAlign w:val="center"/>
          </w:tcPr>
          <w:p w14:paraId="7D87CABE" w14:textId="77777777" w:rsidR="006D1C3F" w:rsidRDefault="00000000">
            <w:pPr>
              <w:ind w:firstLineChars="0" w:firstLine="0"/>
              <w:jc w:val="center"/>
              <w:rPr>
                <w:rFonts w:cstheme="minorBidi"/>
                <w:sz w:val="18"/>
                <w:szCs w:val="18"/>
              </w:rPr>
            </w:pPr>
            <w:r>
              <w:rPr>
                <w:rFonts w:cstheme="minorBidi" w:hint="eastAsia"/>
                <w:sz w:val="18"/>
                <w:szCs w:val="18"/>
              </w:rPr>
              <w:t xml:space="preserve">   Total patients</w:t>
            </w:r>
          </w:p>
        </w:tc>
        <w:tc>
          <w:tcPr>
            <w:tcW w:w="401" w:type="pct"/>
            <w:tcBorders>
              <w:top w:val="single" w:sz="12" w:space="0" w:color="000000"/>
              <w:left w:val="nil"/>
              <w:bottom w:val="single" w:sz="8" w:space="0" w:color="000000"/>
              <w:right w:val="nil"/>
            </w:tcBorders>
            <w:noWrap/>
            <w:vAlign w:val="center"/>
          </w:tcPr>
          <w:p w14:paraId="5D79D0BC" w14:textId="77777777" w:rsidR="006D1C3F" w:rsidRDefault="00000000">
            <w:pPr>
              <w:ind w:firstLineChars="100" w:firstLine="181"/>
              <w:jc w:val="left"/>
              <w:rPr>
                <w:rFonts w:cstheme="minorBidi"/>
                <w:sz w:val="18"/>
                <w:szCs w:val="18"/>
              </w:rPr>
            </w:pPr>
            <w:r>
              <w:rPr>
                <w:rFonts w:cstheme="minorBidi" w:hint="eastAsia"/>
                <w:sz w:val="18"/>
                <w:szCs w:val="18"/>
              </w:rPr>
              <w:t>Region</w:t>
            </w:r>
          </w:p>
        </w:tc>
        <w:tc>
          <w:tcPr>
            <w:tcW w:w="509" w:type="pct"/>
            <w:tcBorders>
              <w:top w:val="single" w:sz="12" w:space="0" w:color="000000"/>
              <w:left w:val="nil"/>
              <w:bottom w:val="single" w:sz="8" w:space="0" w:color="000000"/>
              <w:right w:val="nil"/>
            </w:tcBorders>
            <w:noWrap/>
            <w:vAlign w:val="center"/>
          </w:tcPr>
          <w:p w14:paraId="2549A3ED" w14:textId="77777777" w:rsidR="006D1C3F" w:rsidRDefault="00000000">
            <w:pPr>
              <w:ind w:firstLineChars="0" w:firstLine="0"/>
              <w:jc w:val="left"/>
              <w:rPr>
                <w:rFonts w:cstheme="minorBidi"/>
                <w:sz w:val="18"/>
                <w:szCs w:val="18"/>
              </w:rPr>
            </w:pPr>
            <w:r>
              <w:rPr>
                <w:rFonts w:cstheme="minorBidi" w:hint="eastAsia"/>
                <w:sz w:val="18"/>
                <w:szCs w:val="18"/>
              </w:rPr>
              <w:t>HR for OS (95% CI)</w:t>
            </w:r>
          </w:p>
        </w:tc>
        <w:tc>
          <w:tcPr>
            <w:tcW w:w="523" w:type="pct"/>
            <w:tcBorders>
              <w:top w:val="single" w:sz="12" w:space="0" w:color="000000"/>
              <w:left w:val="nil"/>
              <w:bottom w:val="single" w:sz="8" w:space="0" w:color="000000"/>
              <w:right w:val="nil"/>
            </w:tcBorders>
            <w:noWrap/>
            <w:vAlign w:val="center"/>
          </w:tcPr>
          <w:p w14:paraId="15227698" w14:textId="77777777" w:rsidR="006D1C3F" w:rsidRDefault="00000000">
            <w:pPr>
              <w:ind w:firstLineChars="0" w:firstLine="0"/>
              <w:jc w:val="left"/>
              <w:rPr>
                <w:rFonts w:cstheme="minorBidi"/>
                <w:sz w:val="18"/>
                <w:szCs w:val="18"/>
              </w:rPr>
            </w:pPr>
            <w:r>
              <w:rPr>
                <w:rFonts w:cstheme="minorBidi" w:hint="eastAsia"/>
                <w:sz w:val="18"/>
                <w:szCs w:val="18"/>
              </w:rPr>
              <w:t>HR for PFS (95% CI)</w:t>
            </w:r>
          </w:p>
        </w:tc>
        <w:tc>
          <w:tcPr>
            <w:tcW w:w="718" w:type="pct"/>
            <w:tcBorders>
              <w:top w:val="single" w:sz="12" w:space="0" w:color="000000"/>
              <w:left w:val="nil"/>
              <w:bottom w:val="single" w:sz="8" w:space="0" w:color="000000"/>
              <w:right w:val="nil"/>
            </w:tcBorders>
            <w:noWrap/>
            <w:vAlign w:val="center"/>
          </w:tcPr>
          <w:p w14:paraId="662C613C" w14:textId="77777777" w:rsidR="006D1C3F" w:rsidRDefault="00000000">
            <w:pPr>
              <w:ind w:firstLineChars="0" w:firstLine="0"/>
              <w:jc w:val="left"/>
              <w:rPr>
                <w:rFonts w:cstheme="minorBidi"/>
                <w:sz w:val="18"/>
                <w:szCs w:val="18"/>
              </w:rPr>
            </w:pPr>
            <w:r>
              <w:rPr>
                <w:rFonts w:cstheme="minorBidi" w:hint="eastAsia"/>
                <w:sz w:val="18"/>
                <w:szCs w:val="18"/>
              </w:rPr>
              <w:t>ORR (95% CI, %)</w:t>
            </w:r>
          </w:p>
        </w:tc>
        <w:tc>
          <w:tcPr>
            <w:tcW w:w="486" w:type="pct"/>
            <w:tcBorders>
              <w:top w:val="single" w:sz="12" w:space="0" w:color="000000"/>
              <w:left w:val="nil"/>
              <w:bottom w:val="single" w:sz="8" w:space="0" w:color="000000"/>
              <w:right w:val="nil"/>
            </w:tcBorders>
            <w:noWrap/>
            <w:vAlign w:val="center"/>
          </w:tcPr>
          <w:p w14:paraId="4F9B2798" w14:textId="77777777" w:rsidR="006D1C3F" w:rsidRDefault="00000000">
            <w:pPr>
              <w:ind w:firstLineChars="0" w:firstLine="0"/>
              <w:jc w:val="left"/>
              <w:rPr>
                <w:rFonts w:cstheme="minorBidi"/>
                <w:sz w:val="18"/>
                <w:szCs w:val="18"/>
              </w:rPr>
            </w:pPr>
            <w:r>
              <w:rPr>
                <w:rFonts w:cstheme="minorBidi" w:hint="eastAsia"/>
                <w:sz w:val="18"/>
                <w:szCs w:val="18"/>
              </w:rPr>
              <w:t>Grade 3+ AE rate (%)</w:t>
            </w:r>
          </w:p>
        </w:tc>
        <w:tc>
          <w:tcPr>
            <w:tcW w:w="484" w:type="pct"/>
            <w:tcBorders>
              <w:top w:val="single" w:sz="12" w:space="0" w:color="000000"/>
              <w:left w:val="nil"/>
              <w:bottom w:val="single" w:sz="8" w:space="0" w:color="000000"/>
              <w:right w:val="nil"/>
            </w:tcBorders>
          </w:tcPr>
          <w:p w14:paraId="0E4AC22C" w14:textId="77777777" w:rsidR="006D1C3F" w:rsidRDefault="00000000">
            <w:pPr>
              <w:ind w:firstLine="361"/>
              <w:jc w:val="left"/>
              <w:rPr>
                <w:rFonts w:cstheme="minorBidi"/>
                <w:sz w:val="18"/>
                <w:szCs w:val="18"/>
              </w:rPr>
            </w:pPr>
            <w:r>
              <w:rPr>
                <w:rFonts w:cstheme="minorBidi" w:hint="eastAsia"/>
                <w:sz w:val="18"/>
                <w:szCs w:val="18"/>
              </w:rPr>
              <w:t xml:space="preserve">Median </w:t>
            </w:r>
          </w:p>
          <w:p w14:paraId="6507BE31" w14:textId="77777777" w:rsidR="006D1C3F" w:rsidRDefault="00000000">
            <w:pPr>
              <w:ind w:firstLine="361"/>
              <w:jc w:val="left"/>
              <w:rPr>
                <w:rFonts w:cstheme="minorBidi"/>
                <w:sz w:val="18"/>
                <w:szCs w:val="18"/>
              </w:rPr>
            </w:pPr>
            <w:r>
              <w:rPr>
                <w:rFonts w:cstheme="minorBidi" w:hint="eastAsia"/>
                <w:sz w:val="18"/>
                <w:szCs w:val="18"/>
              </w:rPr>
              <w:t>follow-up</w:t>
            </w:r>
          </w:p>
          <w:p w14:paraId="75183E15" w14:textId="77777777" w:rsidR="006D1C3F" w:rsidRDefault="00000000">
            <w:pPr>
              <w:ind w:firstLine="361"/>
              <w:jc w:val="left"/>
              <w:rPr>
                <w:rFonts w:cstheme="minorBidi"/>
                <w:sz w:val="18"/>
                <w:szCs w:val="18"/>
              </w:rPr>
            </w:pPr>
            <w:r>
              <w:rPr>
                <w:rFonts w:cstheme="minorBidi" w:hint="eastAsia"/>
                <w:sz w:val="18"/>
                <w:szCs w:val="18"/>
              </w:rPr>
              <w:t>(months)</w:t>
            </w:r>
          </w:p>
        </w:tc>
      </w:tr>
      <w:tr w:rsidR="006D1C3F" w14:paraId="6F189B69" w14:textId="77777777">
        <w:trPr>
          <w:trHeight w:val="23"/>
        </w:trPr>
        <w:tc>
          <w:tcPr>
            <w:tcW w:w="454" w:type="pct"/>
            <w:tcBorders>
              <w:top w:val="nil"/>
              <w:left w:val="nil"/>
              <w:bottom w:val="nil"/>
              <w:right w:val="nil"/>
            </w:tcBorders>
            <w:noWrap/>
            <w:vAlign w:val="center"/>
          </w:tcPr>
          <w:p w14:paraId="69EFE33C" w14:textId="77777777" w:rsidR="006D1C3F" w:rsidRDefault="00000000">
            <w:pPr>
              <w:ind w:firstLineChars="0" w:firstLine="0"/>
              <w:rPr>
                <w:b w:val="0"/>
                <w:bCs w:val="0"/>
                <w:sz w:val="18"/>
                <w:szCs w:val="18"/>
              </w:rPr>
            </w:pPr>
            <w:r>
              <w:rPr>
                <w:b w:val="0"/>
                <w:bCs w:val="0"/>
                <w:sz w:val="18"/>
                <w:szCs w:val="18"/>
              </w:rPr>
              <w:t>ALTA</w:t>
            </w:r>
            <w:r>
              <w:rPr>
                <w:b w:val="0"/>
                <w:bCs w:val="0"/>
                <w:sz w:val="18"/>
                <w:szCs w:val="18"/>
              </w:rPr>
              <w:fldChar w:fldCharType="begin"/>
            </w:r>
            <w:r>
              <w:rPr>
                <w:b w:val="0"/>
                <w:bCs w:val="0"/>
                <w:sz w:val="18"/>
                <w:szCs w:val="18"/>
              </w:rPr>
              <w:instrText xml:space="preserve"> ADDIN ZOTERO_ITEM CSL_CITATION {"citationID":"eUfe3mBS","properties":{"formattedCitation":"(2)","plainCitation":"(2)","dontUpdate":true,"noteIndex":0},"citationItems":[{"id":334,"uris":["http://zotero.org/users/local/eBJtW3GH/items/NAEMYHIK"],"itemData":{"id":334,"type":"article-journal","abstract":"INTRODUCTION: We report updated data from a phase 2 randomized study evaluating brigatinib in crizotinib-refractory anaplastic lymphoma kinase-positive NSCLC.\nMETHODS: Patients were randomized 1:1 to take either oral brigatinib 90 mg once daily (arm A) or 180 mg once daily with a 7-day lead-in at 90 mg (arm B), stratified by central nervous system (CNS) metastases and best response to crizotinib. The primary end point was investigator-assessed confirmed objective response rate per Response Evaluation Criteria in Solid Tumors version 1.1. Secondary end points included independent review committee (IRC)-assessed progression-free survival (PFS), intracranial PFS (iPFS), and overall survival (OS). Exploratory analyses included CNS versus ex-CNS target lesion response and correlation of depth of response with PFS and OS.\nRESULTS: Among 222 randomized patients (112 and 110 in arms A and B, respectively), 59 (27%) remained on brigatinib at analysis (median follow-up: 19.6 versus 24.3 months). At baseline, 71% and 67% had brain lesions among A and B arms, respectively. Investigator-assessed confirmed objective response rate was 46% versus 56%. Median IRC-assessed PFS was 9.2 months (95% confidence interval: 7.4-12.8) versus 16.7 months (11.6-21.4). Median OS was 29.5 months (18.2-not reached) versus 34.1 months (27.7-not reached). IRC-confirmed intracranial objective response rate in patients with measurable baseline brain lesions was 50% (13 of 26) versus 67% (12 of 18); median duration of intracranial response was 9.4 versus 16.6 months. IRC-assessed iPFS was 12.8 versus 18.4 months. Across arms, median IRC-assessed PFS was 1.9, 5.5, 11.1, 16.7, and 15.6 months for patients with no, 1%-25%, 26%-50%, 51%-75%, and 76%-100% target lesion shrinkage, respectively. No new safety findings were observed with longer follow-up.\nCONCLUSIONS: Brigatinib (180 mg once daily with lead-in) continues to demonstrate robust PFS, long iPFS and duration of intracranial response, and high intracranial objective response rate in crizotinib-refractory patients. Depth of response may be an important end point to capture in future targeted therapy trials.","container-title":"Journal of Thoracic Oncology: Official Publication of the International Association for the Study of Lung Cancer","DOI":"10.1016/j.jtho.2019.11.004","ISSN":"1556-1380","issue":"3","journalAbbreviation":"J Thorac Oncol","language":"en","note":"PMID: 31756496","page":"404-415","source":"PubMed","title":"Brigatinib in Crizotinib-Refractory ALK+ NSCLC: 2-Year Follow-up on Systemic and Intracranial Outcomes in the Phase 2 ALTA Trial","title-short":"Brigatinib in Crizotinib-Refractory ALK+ NSCLC","volume":"15","author":[{"family":"Huber","given":"Rudolf M."},{"family":"Hansen","given":"Karin H."},{"family":"Paz-Ares Rodríguez","given":"Luis"},{"family":"West","given":"Howard L."},{"family":"Reckamp","given":"Karen L."},{"family":"Leighl","given":"Natasha B."},{"family":"Tiseo","given":"Marcello"},{"family":"Smit","given":"Egbert F."},{"family":"Kim","given":"Dong-Wan"},{"family":"Gettinger","given":"Scott N."},{"family":"Hochmair","given":"Maximilian J."},{"family":"Kim","given":"Sang-We"},{"family":"Langer","given":"Corey J."},{"family":"Ahn","given":"Myung-Ju"},{"family":"Kim","given":"Edward S."},{"family":"Kerstein","given":"David"},{"family":"Groen","given":"Harry J. M."},{"family":"Camidge","given":"D. Ross"}],"issued":{"date-parts":[["2020",3]]}}}],"schema":"https://github.com/citation-style-language/schema/raw/master/csl-citation.json"} </w:instrText>
            </w:r>
            <w:r>
              <w:rPr>
                <w:b w:val="0"/>
                <w:bCs w:val="0"/>
                <w:sz w:val="18"/>
                <w:szCs w:val="18"/>
              </w:rPr>
              <w:fldChar w:fldCharType="separate"/>
            </w:r>
            <w:r>
              <w:rPr>
                <w:rFonts w:hint="eastAsia"/>
                <w:b w:val="0"/>
                <w:bCs w:val="0"/>
                <w:sz w:val="18"/>
              </w:rPr>
              <w:t>[</w:t>
            </w:r>
            <w:r>
              <w:rPr>
                <w:b w:val="0"/>
                <w:bCs w:val="0"/>
                <w:sz w:val="18"/>
              </w:rPr>
              <w:t>2</w:t>
            </w:r>
            <w:r>
              <w:rPr>
                <w:rFonts w:hint="eastAsia"/>
                <w:b w:val="0"/>
                <w:bCs w:val="0"/>
                <w:sz w:val="18"/>
              </w:rPr>
              <w:t>]</w:t>
            </w:r>
            <w:r>
              <w:rPr>
                <w:b w:val="0"/>
                <w:bCs w:val="0"/>
                <w:sz w:val="18"/>
                <w:szCs w:val="18"/>
              </w:rPr>
              <w:fldChar w:fldCharType="end"/>
            </w:r>
            <w:r>
              <w:rPr>
                <w:b w:val="0"/>
                <w:bCs w:val="0"/>
                <w:sz w:val="18"/>
                <w:szCs w:val="18"/>
              </w:rPr>
              <w:t xml:space="preserve"> </w:t>
            </w:r>
          </w:p>
        </w:tc>
        <w:tc>
          <w:tcPr>
            <w:tcW w:w="714" w:type="pct"/>
            <w:tcBorders>
              <w:top w:val="nil"/>
              <w:left w:val="nil"/>
              <w:bottom w:val="nil"/>
              <w:right w:val="nil"/>
            </w:tcBorders>
            <w:noWrap/>
            <w:vAlign w:val="center"/>
          </w:tcPr>
          <w:p w14:paraId="32ED633E" w14:textId="77777777" w:rsidR="006D1C3F" w:rsidRDefault="00000000">
            <w:pPr>
              <w:ind w:firstLine="360"/>
              <w:jc w:val="center"/>
              <w:rPr>
                <w:rFonts w:cstheme="minorBidi"/>
                <w:b w:val="0"/>
                <w:bCs w:val="0"/>
                <w:sz w:val="18"/>
                <w:szCs w:val="18"/>
              </w:rPr>
            </w:pPr>
            <w:proofErr w:type="spellStart"/>
            <w:proofErr w:type="gramStart"/>
            <w:r>
              <w:rPr>
                <w:rFonts w:cstheme="minorBidi" w:hint="eastAsia"/>
                <w:b w:val="0"/>
                <w:bCs w:val="0"/>
                <w:sz w:val="18"/>
                <w:szCs w:val="18"/>
              </w:rPr>
              <w:t>Brigatinib</w:t>
            </w:r>
            <w:proofErr w:type="spellEnd"/>
            <w:r>
              <w:rPr>
                <w:rFonts w:cstheme="minorBidi" w:hint="eastAsia"/>
                <w:b w:val="0"/>
                <w:bCs w:val="0"/>
                <w:sz w:val="18"/>
                <w:szCs w:val="18"/>
              </w:rPr>
              <w:t>(</w:t>
            </w:r>
            <w:proofErr w:type="gramEnd"/>
            <w:r>
              <w:rPr>
                <w:rFonts w:cstheme="minorBidi" w:hint="eastAsia"/>
                <w:b w:val="0"/>
                <w:bCs w:val="0"/>
                <w:sz w:val="18"/>
                <w:szCs w:val="18"/>
              </w:rPr>
              <w:t xml:space="preserve">90 mg once </w:t>
            </w:r>
            <w:proofErr w:type="gramStart"/>
            <w:r>
              <w:rPr>
                <w:rFonts w:cstheme="minorBidi" w:hint="eastAsia"/>
                <w:b w:val="0"/>
                <w:bCs w:val="0"/>
                <w:sz w:val="18"/>
                <w:szCs w:val="18"/>
              </w:rPr>
              <w:t>daily)  VS</w:t>
            </w:r>
            <w:proofErr w:type="gramEnd"/>
            <w:r>
              <w:rPr>
                <w:rFonts w:cstheme="minorBidi" w:hint="eastAsia"/>
                <w:b w:val="0"/>
                <w:bCs w:val="0"/>
                <w:sz w:val="18"/>
                <w:szCs w:val="18"/>
              </w:rPr>
              <w:t xml:space="preserve">  </w:t>
            </w:r>
            <w:proofErr w:type="spellStart"/>
            <w:proofErr w:type="gramStart"/>
            <w:r>
              <w:rPr>
                <w:rFonts w:cstheme="minorBidi" w:hint="eastAsia"/>
                <w:b w:val="0"/>
                <w:bCs w:val="0"/>
                <w:sz w:val="18"/>
                <w:szCs w:val="18"/>
              </w:rPr>
              <w:t>Brigatinib</w:t>
            </w:r>
            <w:proofErr w:type="spellEnd"/>
            <w:r>
              <w:rPr>
                <w:rFonts w:cstheme="minorBidi" w:hint="eastAsia"/>
                <w:b w:val="0"/>
                <w:bCs w:val="0"/>
                <w:sz w:val="18"/>
                <w:szCs w:val="18"/>
              </w:rPr>
              <w:t>(</w:t>
            </w:r>
            <w:proofErr w:type="gramEnd"/>
            <w:r>
              <w:rPr>
                <w:rFonts w:cstheme="minorBidi" w:hint="eastAsia"/>
                <w:b w:val="0"/>
                <w:bCs w:val="0"/>
                <w:sz w:val="18"/>
                <w:szCs w:val="18"/>
              </w:rPr>
              <w:t>180 mg once daily)</w:t>
            </w:r>
          </w:p>
        </w:tc>
        <w:tc>
          <w:tcPr>
            <w:tcW w:w="711" w:type="pct"/>
            <w:tcBorders>
              <w:top w:val="nil"/>
              <w:left w:val="nil"/>
              <w:bottom w:val="nil"/>
              <w:right w:val="nil"/>
            </w:tcBorders>
            <w:noWrap/>
            <w:vAlign w:val="center"/>
          </w:tcPr>
          <w:p w14:paraId="5805115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112 VS 110</w:t>
            </w:r>
          </w:p>
        </w:tc>
        <w:tc>
          <w:tcPr>
            <w:tcW w:w="401" w:type="pct"/>
            <w:tcBorders>
              <w:top w:val="nil"/>
              <w:left w:val="nil"/>
              <w:bottom w:val="nil"/>
              <w:right w:val="nil"/>
            </w:tcBorders>
            <w:noWrap/>
            <w:vAlign w:val="center"/>
          </w:tcPr>
          <w:p w14:paraId="557661C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3992448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3B5C713F"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6471552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51 G2:G62(41-61) VS 56 (47-66)</w:t>
            </w:r>
          </w:p>
        </w:tc>
        <w:tc>
          <w:tcPr>
            <w:tcW w:w="486" w:type="pct"/>
            <w:tcBorders>
              <w:top w:val="nil"/>
              <w:left w:val="nil"/>
              <w:bottom w:val="nil"/>
              <w:right w:val="nil"/>
            </w:tcBorders>
            <w:noWrap/>
            <w:vAlign w:val="center"/>
          </w:tcPr>
          <w:p w14:paraId="6ADD90A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NA</w:t>
            </w:r>
          </w:p>
        </w:tc>
        <w:tc>
          <w:tcPr>
            <w:tcW w:w="484" w:type="pct"/>
            <w:tcBorders>
              <w:top w:val="nil"/>
              <w:left w:val="nil"/>
              <w:bottom w:val="nil"/>
              <w:right w:val="nil"/>
            </w:tcBorders>
            <w:vAlign w:val="center"/>
          </w:tcPr>
          <w:p w14:paraId="5102AFA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19.6(range: 0.1-35.2) VS 24.3(range: 0.1-39.2)</w:t>
            </w:r>
          </w:p>
        </w:tc>
      </w:tr>
      <w:tr w:rsidR="006D1C3F" w14:paraId="2C2B270B" w14:textId="77777777">
        <w:trPr>
          <w:trHeight w:val="652"/>
        </w:trPr>
        <w:tc>
          <w:tcPr>
            <w:tcW w:w="454" w:type="pct"/>
            <w:tcBorders>
              <w:top w:val="nil"/>
              <w:left w:val="nil"/>
              <w:bottom w:val="nil"/>
              <w:right w:val="nil"/>
            </w:tcBorders>
            <w:noWrap/>
            <w:vAlign w:val="center"/>
          </w:tcPr>
          <w:p w14:paraId="1E0F08E0" w14:textId="77777777" w:rsidR="006D1C3F" w:rsidRDefault="00000000">
            <w:pPr>
              <w:ind w:firstLineChars="0" w:firstLine="0"/>
              <w:rPr>
                <w:b w:val="0"/>
                <w:bCs w:val="0"/>
                <w:sz w:val="18"/>
                <w:szCs w:val="18"/>
              </w:rPr>
            </w:pPr>
            <w:r>
              <w:rPr>
                <w:b w:val="0"/>
                <w:bCs w:val="0"/>
                <w:sz w:val="18"/>
                <w:szCs w:val="18"/>
              </w:rPr>
              <w:t>ASCEND-2</w:t>
            </w:r>
            <w:r>
              <w:rPr>
                <w:b w:val="0"/>
                <w:bCs w:val="0"/>
                <w:sz w:val="18"/>
                <w:szCs w:val="18"/>
              </w:rPr>
              <w:fldChar w:fldCharType="begin"/>
            </w:r>
            <w:r>
              <w:rPr>
                <w:b w:val="0"/>
                <w:bCs w:val="0"/>
                <w:sz w:val="18"/>
                <w:szCs w:val="18"/>
              </w:rPr>
              <w:instrText xml:space="preserve"> ADDIN ZOTERO_ITEM CSL_CITATION {"citationID":"typtChKK","properties":{"formattedCitation":"(3)","plainCitation":"(3)","noteIndex":0},"citationItems":[{"id":339,"uris":["http://zotero.org/users/local/eBJtW3GH/items/KGWZBRZ6"],"itemData":{"id":339,"type":"article-journal","abstract":"PURPOSE: Phase I data (ASCEND-1) showed ceritinib efficacy in patients with ALK-rearranged non-small-cell lung cancer (NSCLC), regardless of brain metastases status and with or without prior therapy with an inhibitor of the ALK protein. Data are presented from a phase II trial (ASCEND-2) in which ceritinib efficacy and safety were evaluated in patients who had ALK-rearranged NSCLC previously treated with at least one platinum-based chemotherapy and who had experienced progression during crizotinib treatment as their last prior therapy.\nPATIENTS AND METHODS: Patients with advanced ALK-rearranged NSCLC, including those with asymptomatic or neurologically stable baseline brain metastases, received oral ceritinib 750 mg/d. Whole-body and intracranial responses were investigator assessed (according to RECIST version 1.1). Patient-reported outcomes were evaluated with the Lung Cancer Symptom Scale and European Organisation for Research and Treatment of Cancer surveys (the core-30 and the 13-item lung cancer-specific quality-of-life questionnaires).\nRESULTS: All 140 patients enrolled had received two or more previous treatment regimens, and all patients had received crizotinib. The median duration of exposure and the follow-up time with ceritinib were 8.8 months (range, 0.1 to 19.4 months) and 11.3 months (range, 0.1 to 18.9 months), respectively. Investigator-assessed overall response rate was 38.6% (95% CI, 30.5% to 47.2%). Secondary end points, all investigator assessed, included disease control rate (77.1%; 95% CI, 69.3% to 83.8%), time to response (median, 1.8 months; range, 1.6 to 5.6 months), duration of response (median, 9.7 months; 95% CI, 7.1 to 11.1 months), and progression-free survival (median, 5.7 months; 95% CI, 5.4 to 7.6 months). Of 100 patients with baseline brain metastases, 20 had active target lesions at baseline; investigator-assessed intracranial overall response rate was 45.0% (95% CI, 23.1% to 68.5%). The most common adverse events (majority, grade 1 or 2) for all treated patients were nausea (81.4%), diarrhea (80.0%), and vomiting (62.9%). Patient-reported outcomes showed a trend toward improved symptom burden. The global quality-of-life score was maintained during treatment.\nCONCLUSION: Consistent with its activity in ASCEND-1, ceritinib treatment provided clinically meaningful and durable responses with manageable tolerability in chemotherapy- and crizotinib-pretreated patients, including those with brain metastases.","container-title":"Journal of Clinical Oncology: Official Journal of the American Society of Clinical Oncology","DOI":"10.1200/JCO.2015.65.5936","ISSN":"1527-7755","issue":"24","journalAbbreviation":"J Clin Oncol","language":"en","note":"PMID: 27432917","page":"2866-2873","source":"PubMed","title":"Multicenter Phase II Study of Whole-Body and Intracranial Activity With Ceritinib in Patients With ALK-Rearranged Non-Small-Cell Lung Cancer Previously Treated With Chemotherapy and Crizotinib: Results From ASCEND-2","title-short":"Multicenter Phase II Study of Whole-Body and Intracranial Activity With Ceritinib in Patients With ALK-Rearranged Non-Small-Cell Lung Cancer Previously Treated With Chemotherapy and Crizotinib","volume":"34","author":[{"family":"Crinò","given":"Lucio"},{"family":"Ahn","given":"Myung-Ju"},{"family":"De Marinis","given":"Filippo"},{"family":"Groen","given":"Harry J. M."},{"family":"Wakelee","given":"Heather"},{"family":"Hida","given":"Toyoaki"},{"family":"Mok","given":"Tony"},{"family":"Spigel","given":"David"},{"family":"Felip","given":"Enriqueta"},{"family":"Nishio","given":"Makoto"},{"family":"Scagliotti","given":"Giorgio"},{"family":"Branle","given":"Fabrice"},{"family":"Emeremni","given":"Chetachi"},{"family":"Quadrigli","given":"Massimiliano"},{"family":"Zhang","given":"Jie"},{"family":"Shaw","given":"Alice T."}],"issued":{"date-parts":[["2016",8,20]]}}}],"schema":"https://github.com/citation-style-language/schema/raw/master/csl-citation.json"} </w:instrText>
            </w:r>
            <w:r>
              <w:rPr>
                <w:b w:val="0"/>
                <w:bCs w:val="0"/>
                <w:sz w:val="18"/>
                <w:szCs w:val="18"/>
              </w:rPr>
              <w:fldChar w:fldCharType="separate"/>
            </w:r>
            <w:r>
              <w:rPr>
                <w:b w:val="0"/>
                <w:bCs w:val="0"/>
                <w:sz w:val="18"/>
              </w:rPr>
              <w:t>[3]</w:t>
            </w:r>
            <w:r>
              <w:rPr>
                <w:b w:val="0"/>
                <w:bCs w:val="0"/>
                <w:sz w:val="18"/>
                <w:szCs w:val="18"/>
              </w:rPr>
              <w:fldChar w:fldCharType="end"/>
            </w:r>
          </w:p>
        </w:tc>
        <w:tc>
          <w:tcPr>
            <w:tcW w:w="714" w:type="pct"/>
            <w:tcBorders>
              <w:top w:val="nil"/>
              <w:left w:val="nil"/>
              <w:bottom w:val="nil"/>
              <w:right w:val="nil"/>
            </w:tcBorders>
            <w:noWrap/>
            <w:vAlign w:val="center"/>
          </w:tcPr>
          <w:p w14:paraId="41D44B6C"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Ceritinib</w:t>
            </w:r>
            <w:proofErr w:type="spellEnd"/>
          </w:p>
        </w:tc>
        <w:tc>
          <w:tcPr>
            <w:tcW w:w="711" w:type="pct"/>
            <w:tcBorders>
              <w:top w:val="nil"/>
              <w:left w:val="nil"/>
              <w:bottom w:val="nil"/>
              <w:right w:val="nil"/>
            </w:tcBorders>
            <w:noWrap/>
            <w:vAlign w:val="center"/>
          </w:tcPr>
          <w:p w14:paraId="085E441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140</w:t>
            </w:r>
          </w:p>
        </w:tc>
        <w:tc>
          <w:tcPr>
            <w:tcW w:w="401" w:type="pct"/>
            <w:tcBorders>
              <w:top w:val="nil"/>
              <w:left w:val="nil"/>
              <w:bottom w:val="nil"/>
              <w:right w:val="nil"/>
            </w:tcBorders>
            <w:noWrap/>
            <w:vAlign w:val="center"/>
          </w:tcPr>
          <w:p w14:paraId="2367796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53AA3E96"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452FE13A"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58E034A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39(31-47)</w:t>
            </w:r>
          </w:p>
        </w:tc>
        <w:tc>
          <w:tcPr>
            <w:tcW w:w="486" w:type="pct"/>
            <w:tcBorders>
              <w:top w:val="nil"/>
              <w:left w:val="nil"/>
              <w:bottom w:val="nil"/>
              <w:right w:val="nil"/>
            </w:tcBorders>
            <w:noWrap/>
            <w:vAlign w:val="center"/>
          </w:tcPr>
          <w:p w14:paraId="2C50C88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71.4</w:t>
            </w:r>
          </w:p>
        </w:tc>
        <w:tc>
          <w:tcPr>
            <w:tcW w:w="484" w:type="pct"/>
            <w:tcBorders>
              <w:top w:val="nil"/>
              <w:left w:val="nil"/>
              <w:right w:val="nil"/>
            </w:tcBorders>
            <w:vAlign w:val="center"/>
          </w:tcPr>
          <w:p w14:paraId="322AB9E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11.3(range: 0.1-19.4)</w:t>
            </w:r>
          </w:p>
        </w:tc>
      </w:tr>
      <w:tr w:rsidR="006D1C3F" w14:paraId="24A7B66F" w14:textId="77777777">
        <w:trPr>
          <w:trHeight w:val="652"/>
        </w:trPr>
        <w:tc>
          <w:tcPr>
            <w:tcW w:w="454" w:type="pct"/>
            <w:tcBorders>
              <w:top w:val="nil"/>
              <w:left w:val="nil"/>
              <w:bottom w:val="nil"/>
              <w:right w:val="nil"/>
            </w:tcBorders>
            <w:noWrap/>
            <w:vAlign w:val="center"/>
          </w:tcPr>
          <w:p w14:paraId="0E858D18" w14:textId="77777777" w:rsidR="006D1C3F" w:rsidRDefault="00000000">
            <w:pPr>
              <w:ind w:firstLineChars="0" w:firstLine="0"/>
              <w:rPr>
                <w:b w:val="0"/>
                <w:bCs w:val="0"/>
                <w:sz w:val="18"/>
                <w:szCs w:val="18"/>
              </w:rPr>
            </w:pPr>
            <w:r>
              <w:rPr>
                <w:b w:val="0"/>
                <w:bCs w:val="0"/>
                <w:sz w:val="18"/>
                <w:szCs w:val="18"/>
              </w:rPr>
              <w:t>ASCEND-3</w:t>
            </w:r>
            <w:r>
              <w:rPr>
                <w:b w:val="0"/>
                <w:bCs w:val="0"/>
                <w:sz w:val="18"/>
                <w:szCs w:val="18"/>
              </w:rPr>
              <w:fldChar w:fldCharType="begin"/>
            </w:r>
            <w:r>
              <w:rPr>
                <w:b w:val="0"/>
                <w:bCs w:val="0"/>
                <w:sz w:val="18"/>
                <w:szCs w:val="18"/>
              </w:rPr>
              <w:instrText xml:space="preserve"> ADDIN ZOTERO_ITEM CSL_CITATION {"citationID":"lcHrH8Ge","properties":{"formattedCitation":"(4)","plainCitation":"(4)","noteIndex":0},"citationItems":[{"id":341,"uris":["http://zotero.org/users/local/eBJtW3GH/items/XNB4HZC5"],"itemData":{"id":341,"type":"article-journal","abstract":"INTRODUCTION: The phase II, single-arm ASCEND-3 study assessed the efficacy and safety of ceritinib in anaplastic lymphoma kinase (ALK) inhibitor (ALKi)-naive patients with ALK-rearranged NSCLC who had received at least three previous lines of chemotherapy. Here, we report the final efficacy and safety results.\nMETHODS: Eligible patients (including those with asymptomatic or neurologically stable brain metastases) received oral ceritinib (750 mg/day, fasted). The primary end point was investigator-assessed overall response rate (ORR). Secondary end points were Blinded Independent Review Committee-assessed ORR; investigator- and Blinded Independent Review Committee-assessed overall intracranial response rate, duration of response, time to response, disease control rate, and progression-free survival (PFS); overall survival (OS); and safety. Exploratory end points included patient-reported outcomes.\nRESULTS: Of the 124 patients enrolled, 122 (98.4%) had received previous antineoplastic medications (31 patients [25.0%] received at least three regimens), and 49 (39.5%) had baseline brain metastases. The median follow-up time (data cutoff: January 22, 2018) was 52.1 (range, 48.4-60.1) months. The investigator-assessed ORR was 67.</w:instrText>
            </w:r>
            <w:r>
              <w:rPr>
                <w:rFonts w:hint="eastAsia"/>
                <w:b w:val="0"/>
                <w:bCs w:val="0"/>
                <w:sz w:val="18"/>
                <w:szCs w:val="18"/>
              </w:rPr>
              <w:instrText xml:space="preserve">7% (95% confidence interval [CI]: 58.8-75.9), and the median PFS was 16.6 months (95% CI: 11.0-23.2). The median OS was 51.3 months (95% CI: 42.7-55.3). Most common adverse events (all grades, </w:instrText>
            </w:r>
            <w:r>
              <w:rPr>
                <w:rFonts w:hint="eastAsia"/>
                <w:b w:val="0"/>
                <w:bCs w:val="0"/>
                <w:sz w:val="18"/>
                <w:szCs w:val="18"/>
              </w:rPr>
              <w:instrText>≥</w:instrText>
            </w:r>
            <w:r>
              <w:rPr>
                <w:rFonts w:hint="eastAsia"/>
                <w:b w:val="0"/>
                <w:bCs w:val="0"/>
                <w:sz w:val="18"/>
                <w:szCs w:val="18"/>
              </w:rPr>
              <w:instrText>60% of patients, all-causality) were diarrhea (85.5%), nausea</w:instrText>
            </w:r>
            <w:r>
              <w:rPr>
                <w:b w:val="0"/>
                <w:bCs w:val="0"/>
                <w:sz w:val="18"/>
                <w:szCs w:val="18"/>
              </w:rPr>
              <w:instrText xml:space="preserve"> (78.2%), and vomiting (71.8%). Overall, 18 patients (14.5%) had an adverse event leading to treatment discontinuation. Health-related quality of life was maintained during ceritinib treatment.\nCONCLUSIONS: Ceritinib exhibited prolonged and clinically meaningful OS, PFS, and duration of response in chemotherapy-pretreated (at least three lines), ALKi-naive patients with ALK+ NSCLC. The safety profile was consistent with that reported in previous studies.","container-title":"Journal of Thoracic Oncology: Official Publication of the International Association for the Study of Lung Cancer","DOI":"10.1016/j.jtho.2019.11.006","ISSN":"1556-1380","issue":"4","journalAbbreviation":"J Thorac Oncol","language":"en","note":"PMID: 31778798","page":"609-617","source":"PubMed","title":"Final Overall Survival and Other Efficacy and Safety Results From ASCEND-3: Phase II Study of Ceritinib in ALKi-Naive Patients With ALK-Rearranged NSCLC","title-short":"Final Overall Survival and Other Efficacy and Safety Results From ASCEND-3","volume":"15","author":[{"family":"Nishio","given":"Makoto"},{"family":"Felip","given":"Enriqueta"},{"family":"Orlov","given":"Sergey"},{"family":"Park","given":"Keunchil"},{"family":"Yu","given":"Chong-Jen"},{"family":"Tsai","given":"Chun-Ming"},{"family":"Cobo","given":"Manuel"},{"family":"McKeage","given":"Mark"},{"family":"Su","given":"Wu-Chou"},{"family":"Mok","given":"Tony"},{"family":"Scagliotti","given":"Giorgio V."},{"family":"Spigel","given":"David R."},{"family":"Viraswami-Appanna","given":"Kalyanee"},{"family":"Chen","given":"Zhe"},{"family":"Passos","given":"Vanessa Q."},{"family":"Shaw","given":"Alice T."}],"issued":{"date-parts":[["2020",4]]}}}],"schema":"https://github.com/citation-style-language/schema/raw/master/csl-citation.json"} </w:instrText>
            </w:r>
            <w:r>
              <w:rPr>
                <w:b w:val="0"/>
                <w:bCs w:val="0"/>
                <w:sz w:val="18"/>
                <w:szCs w:val="18"/>
              </w:rPr>
              <w:fldChar w:fldCharType="separate"/>
            </w:r>
            <w:r>
              <w:rPr>
                <w:b w:val="0"/>
                <w:bCs w:val="0"/>
                <w:sz w:val="18"/>
              </w:rPr>
              <w:t>[4]</w:t>
            </w:r>
            <w:r>
              <w:rPr>
                <w:b w:val="0"/>
                <w:bCs w:val="0"/>
                <w:sz w:val="18"/>
                <w:szCs w:val="18"/>
              </w:rPr>
              <w:fldChar w:fldCharType="end"/>
            </w:r>
          </w:p>
        </w:tc>
        <w:tc>
          <w:tcPr>
            <w:tcW w:w="714" w:type="pct"/>
            <w:tcBorders>
              <w:top w:val="nil"/>
              <w:left w:val="nil"/>
              <w:bottom w:val="nil"/>
              <w:right w:val="nil"/>
            </w:tcBorders>
            <w:noWrap/>
            <w:vAlign w:val="center"/>
          </w:tcPr>
          <w:p w14:paraId="348278C2"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Ceritinib</w:t>
            </w:r>
            <w:proofErr w:type="spellEnd"/>
          </w:p>
        </w:tc>
        <w:tc>
          <w:tcPr>
            <w:tcW w:w="711" w:type="pct"/>
            <w:tcBorders>
              <w:top w:val="nil"/>
              <w:left w:val="nil"/>
              <w:bottom w:val="nil"/>
              <w:right w:val="nil"/>
            </w:tcBorders>
            <w:noWrap/>
            <w:vAlign w:val="center"/>
          </w:tcPr>
          <w:p w14:paraId="0C5F764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124</w:t>
            </w:r>
          </w:p>
        </w:tc>
        <w:tc>
          <w:tcPr>
            <w:tcW w:w="401" w:type="pct"/>
            <w:tcBorders>
              <w:top w:val="nil"/>
              <w:left w:val="nil"/>
              <w:bottom w:val="nil"/>
              <w:right w:val="nil"/>
            </w:tcBorders>
            <w:noWrap/>
            <w:vAlign w:val="center"/>
          </w:tcPr>
          <w:p w14:paraId="454A614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5182E3EB"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256E8344"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1BAE99D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64 (55-72)</w:t>
            </w:r>
          </w:p>
        </w:tc>
        <w:tc>
          <w:tcPr>
            <w:tcW w:w="486" w:type="pct"/>
            <w:tcBorders>
              <w:top w:val="nil"/>
              <w:left w:val="nil"/>
              <w:bottom w:val="nil"/>
              <w:right w:val="nil"/>
            </w:tcBorders>
            <w:noWrap/>
            <w:vAlign w:val="center"/>
          </w:tcPr>
          <w:p w14:paraId="1450107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87.9</w:t>
            </w:r>
          </w:p>
        </w:tc>
        <w:tc>
          <w:tcPr>
            <w:tcW w:w="484" w:type="pct"/>
            <w:tcBorders>
              <w:top w:val="nil"/>
              <w:left w:val="nil"/>
              <w:right w:val="nil"/>
            </w:tcBorders>
            <w:vAlign w:val="center"/>
          </w:tcPr>
          <w:p w14:paraId="5E95674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52.1(range: 48.4-60.1)</w:t>
            </w:r>
          </w:p>
        </w:tc>
      </w:tr>
      <w:tr w:rsidR="006D1C3F" w14:paraId="673E9849" w14:textId="77777777">
        <w:trPr>
          <w:trHeight w:val="978"/>
        </w:trPr>
        <w:tc>
          <w:tcPr>
            <w:tcW w:w="454" w:type="pct"/>
            <w:tcBorders>
              <w:top w:val="nil"/>
              <w:left w:val="nil"/>
              <w:bottom w:val="nil"/>
              <w:right w:val="nil"/>
            </w:tcBorders>
            <w:noWrap/>
            <w:vAlign w:val="center"/>
          </w:tcPr>
          <w:p w14:paraId="510E772C" w14:textId="77777777" w:rsidR="006D1C3F" w:rsidRDefault="00000000">
            <w:pPr>
              <w:ind w:firstLineChars="0" w:firstLine="0"/>
              <w:rPr>
                <w:b w:val="0"/>
                <w:bCs w:val="0"/>
                <w:sz w:val="18"/>
                <w:szCs w:val="18"/>
              </w:rPr>
            </w:pPr>
            <w:r>
              <w:rPr>
                <w:b w:val="0"/>
                <w:bCs w:val="0"/>
                <w:sz w:val="18"/>
                <w:szCs w:val="18"/>
              </w:rPr>
              <w:t>ASCEND-6</w:t>
            </w:r>
            <w:r>
              <w:rPr>
                <w:b w:val="0"/>
                <w:bCs w:val="0"/>
                <w:sz w:val="18"/>
                <w:szCs w:val="18"/>
              </w:rPr>
              <w:fldChar w:fldCharType="begin"/>
            </w:r>
            <w:r>
              <w:rPr>
                <w:b w:val="0"/>
                <w:bCs w:val="0"/>
                <w:sz w:val="18"/>
                <w:szCs w:val="18"/>
              </w:rPr>
              <w:instrText xml:space="preserve"> ADDIN ZOTERO_ITEM CSL_CITATION {"citationID":"0MwwxBYt","properties":{"formattedCitation":"(5)","plainCitation":"(5)","noteIndex":0},"citationItems":[{"id":344,"uris":["http://zotero.org/users/local/eBJtW3GH/items/C4ZSE7IP"],"itemData":{"id":344,"type":"article-journal","abstract":"BACKGROUND: Patients with anaplastic lymphoma kinase-rearranged (ALK+) non-small cell lung cancer (NSCLC) treated with crizotinib inevitably relapse, with brain as common site of progression.\nPATIENTS AND METHODS: ASCEND-6, a</w:instrText>
            </w:r>
            <w:r>
              <w:rPr>
                <w:rFonts w:hint="eastAsia"/>
                <w:b w:val="0"/>
                <w:bCs w:val="0"/>
                <w:sz w:val="18"/>
                <w:szCs w:val="18"/>
              </w:rPr>
              <w:instrText xml:space="preserve"> phase 1/2, single-arm study, included adult Chinese patients with stage IIIB or IV ALK+ NSCLC pretreated with crizotinib as the last therapy (irrespective of prior chemotherapies [</w:instrText>
            </w:r>
            <w:r>
              <w:rPr>
                <w:rFonts w:hint="eastAsia"/>
                <w:b w:val="0"/>
                <w:bCs w:val="0"/>
                <w:sz w:val="18"/>
                <w:szCs w:val="18"/>
              </w:rPr>
              <w:instrText>≤</w:instrText>
            </w:r>
            <w:r>
              <w:rPr>
                <w:rFonts w:hint="eastAsia"/>
                <w:b w:val="0"/>
                <w:bCs w:val="0"/>
                <w:sz w:val="18"/>
                <w:szCs w:val="18"/>
              </w:rPr>
              <w:instrText xml:space="preserve">2]). Primary endpoints were pharmacokinetics (PK), safety, and tolerability. Key secondary endpoint was overall response rate (ORR; investigator assessed).\nRESULTS: Of the 103 enrolled patients, all received prior crizotinib, 70 % received </w:instrText>
            </w:r>
            <w:r>
              <w:rPr>
                <w:rFonts w:hint="eastAsia"/>
                <w:b w:val="0"/>
                <w:bCs w:val="0"/>
                <w:sz w:val="18"/>
                <w:szCs w:val="18"/>
              </w:rPr>
              <w:instrText>≥</w:instrText>
            </w:r>
            <w:r>
              <w:rPr>
                <w:rFonts w:hint="eastAsia"/>
                <w:b w:val="0"/>
                <w:bCs w:val="0"/>
                <w:sz w:val="18"/>
                <w:szCs w:val="18"/>
              </w:rPr>
              <w:instrText>1 prior chemotherapy regimen, and 63.1 % had brain metastases at baseline. In the phas</w:instrText>
            </w:r>
            <w:r>
              <w:rPr>
                <w:b w:val="0"/>
                <w:bCs w:val="0"/>
                <w:sz w:val="18"/>
                <w:szCs w:val="18"/>
              </w:rPr>
              <w:instrText xml:space="preserve">e 1 component, 20 patients completed a 5-day PK run-in period. Median Tmax (n = 16) was </w:instrText>
            </w:r>
            <w:r>
              <w:rPr>
                <w:rFonts w:ascii="Cambria Math" w:hAnsi="Cambria Math" w:cs="Cambria Math"/>
                <w:b w:val="0"/>
                <w:bCs w:val="0"/>
                <w:sz w:val="18"/>
                <w:szCs w:val="18"/>
              </w:rPr>
              <w:instrText>∼</w:instrText>
            </w:r>
            <w:r>
              <w:rPr>
                <w:b w:val="0"/>
                <w:bCs w:val="0"/>
                <w:sz w:val="18"/>
                <w:szCs w:val="18"/>
              </w:rPr>
              <w:instrText>6 h; geometric means of AUC0-24 h (n = 16) and Cmax (n = 16) at steady state were 22,000 ng*h/mL and 1080 ng/mL, respectively. In the final analysis, median follow-up time was 34 months (range: 27.8-40.6). The ORR was 41.7 % (95 % confidence interval [CI]: 32.1-51.9), and median progression-free survival was 7.2 months (95 % CI: 4.1-7.5). Median overall survival was 17.5 months (95 % CI: 10.8-24.3). Most frequent adverse events, regardless of study drug relationship (mostly grade 1/2), were diarrhea (74.8 %), vomiting (62.1 %), alanine transaminase increased (59.2 %), aspartate transaminase increased (58.3 %), and nausea (58.3 %).\nCONCLUSIONS: Ceritinib PK in Chinese</w:instrText>
            </w:r>
            <w:r>
              <w:rPr>
                <w:rFonts w:hint="eastAsia"/>
                <w:b w:val="0"/>
                <w:bCs w:val="0"/>
                <w:sz w:val="18"/>
                <w:szCs w:val="18"/>
              </w:rPr>
              <w:instrText xml:space="preserve"> patients is consistent with those observed in the global ASCEND-1 study. Ceritinib was well tolerated and showed durable responses in Chinese patients with ALK+ NSCLC who progressed after crizotinib and </w:instrText>
            </w:r>
            <w:r>
              <w:rPr>
                <w:rFonts w:hint="eastAsia"/>
                <w:b w:val="0"/>
                <w:bCs w:val="0"/>
                <w:sz w:val="18"/>
                <w:szCs w:val="18"/>
              </w:rPr>
              <w:instrText>≤</w:instrText>
            </w:r>
            <w:r>
              <w:rPr>
                <w:rFonts w:hint="eastAsia"/>
                <w:b w:val="0"/>
                <w:bCs w:val="0"/>
                <w:sz w:val="18"/>
                <w:szCs w:val="18"/>
              </w:rPr>
              <w:instrText>2 prior lines of chemotherapy.","container-title":</w:instrText>
            </w:r>
            <w:r>
              <w:rPr>
                <w:b w:val="0"/>
                <w:bCs w:val="0"/>
                <w:sz w:val="18"/>
                <w:szCs w:val="18"/>
              </w:rPr>
              <w:instrText xml:space="preserve">"Lung Cancer (Amsterdam, Netherlands)","DOI":"10.1016/j.lungcan.2020.10.024","ISSN":"1872-8332","journalAbbreviation":"Lung Cancer","language":"en","note":"PMID: 33249379","page":"240-246","source":"PubMed","title":"Phase 1/2 study of ceritinib in Chinese patients with advanced anaplastic lymphoma kinase-rearranged non-small cell lung cancer previously treated with crizotinib: Results from ASCEND-6","title-short":"Phase 1/2 study of ceritinib in Chinese patients with advanced anaplastic lymphoma kinase-rearranged non-small cell lung cancer previously treated with crizotinib","volume":"150","author":[{"family":"Wu","given":"Yi-Long"},{"family":"Shi","given":"Yuankai"},{"family":"Tan","given":"Daniel Shao Weng"},{"family":"Xiaoqing","given":"Liu"},{"family":"Cheng","given":"Ying"},{"family":"Zhou","given":"Jianying"},{"family":"An","given":"Tong Tong"},{"family":"Lu","given":"You"},{"family":"Zhu","given":"Bo"},{"family":"Bai","given":"Chunxue"},{"family":"Passos","given":"Vanessa Q."},{"family":"Lau","given":"Yvonne Y."},{"family":"Xun","given":"Liao"},{"family":"Zhang","given":"Li"}],"issued":{"date-parts":[["2020",12]]}}}],"schema":"https://github.com/citation-style-language/schema/raw/master/csl-citation.json"} </w:instrText>
            </w:r>
            <w:r>
              <w:rPr>
                <w:b w:val="0"/>
                <w:bCs w:val="0"/>
                <w:sz w:val="18"/>
                <w:szCs w:val="18"/>
              </w:rPr>
              <w:fldChar w:fldCharType="separate"/>
            </w:r>
            <w:r>
              <w:rPr>
                <w:b w:val="0"/>
                <w:bCs w:val="0"/>
                <w:sz w:val="18"/>
              </w:rPr>
              <w:t>[5]</w:t>
            </w:r>
            <w:r>
              <w:rPr>
                <w:b w:val="0"/>
                <w:bCs w:val="0"/>
                <w:sz w:val="18"/>
                <w:szCs w:val="18"/>
              </w:rPr>
              <w:fldChar w:fldCharType="end"/>
            </w:r>
          </w:p>
        </w:tc>
        <w:tc>
          <w:tcPr>
            <w:tcW w:w="714" w:type="pct"/>
            <w:tcBorders>
              <w:top w:val="nil"/>
              <w:left w:val="nil"/>
              <w:bottom w:val="nil"/>
              <w:right w:val="nil"/>
            </w:tcBorders>
            <w:noWrap/>
            <w:vAlign w:val="center"/>
          </w:tcPr>
          <w:p w14:paraId="32FEAB53"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Ceritinib</w:t>
            </w:r>
            <w:proofErr w:type="spellEnd"/>
          </w:p>
        </w:tc>
        <w:tc>
          <w:tcPr>
            <w:tcW w:w="711" w:type="pct"/>
            <w:tcBorders>
              <w:top w:val="nil"/>
              <w:left w:val="nil"/>
              <w:bottom w:val="nil"/>
              <w:right w:val="nil"/>
            </w:tcBorders>
            <w:noWrap/>
            <w:vAlign w:val="center"/>
          </w:tcPr>
          <w:p w14:paraId="6EFF6EE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103</w:t>
            </w:r>
          </w:p>
        </w:tc>
        <w:tc>
          <w:tcPr>
            <w:tcW w:w="401" w:type="pct"/>
            <w:tcBorders>
              <w:top w:val="nil"/>
              <w:left w:val="nil"/>
              <w:bottom w:val="nil"/>
              <w:right w:val="nil"/>
            </w:tcBorders>
            <w:noWrap/>
            <w:vAlign w:val="center"/>
          </w:tcPr>
          <w:p w14:paraId="584EBFB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tcBorders>
              <w:top w:val="nil"/>
              <w:left w:val="nil"/>
              <w:bottom w:val="nil"/>
              <w:right w:val="nil"/>
            </w:tcBorders>
            <w:noWrap/>
            <w:vAlign w:val="center"/>
          </w:tcPr>
          <w:p w14:paraId="601E2FBD"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011A5874"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6AC0181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32.0(23.2-42.0)</w:t>
            </w:r>
          </w:p>
        </w:tc>
        <w:tc>
          <w:tcPr>
            <w:tcW w:w="486" w:type="pct"/>
            <w:tcBorders>
              <w:top w:val="nil"/>
              <w:left w:val="nil"/>
              <w:bottom w:val="nil"/>
              <w:right w:val="nil"/>
            </w:tcBorders>
            <w:noWrap/>
            <w:vAlign w:val="center"/>
          </w:tcPr>
          <w:p w14:paraId="6669A5F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65</w:t>
            </w:r>
          </w:p>
        </w:tc>
        <w:tc>
          <w:tcPr>
            <w:tcW w:w="484" w:type="pct"/>
            <w:tcBorders>
              <w:top w:val="nil"/>
              <w:left w:val="nil"/>
              <w:bottom w:val="nil"/>
              <w:right w:val="nil"/>
            </w:tcBorders>
            <w:vAlign w:val="center"/>
          </w:tcPr>
          <w:p w14:paraId="7E10D81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11.6(range: 4.8-23.0)</w:t>
            </w:r>
          </w:p>
        </w:tc>
      </w:tr>
      <w:tr w:rsidR="006D1C3F" w14:paraId="6DA507F6" w14:textId="77777777">
        <w:trPr>
          <w:trHeight w:val="652"/>
        </w:trPr>
        <w:tc>
          <w:tcPr>
            <w:tcW w:w="454" w:type="pct"/>
            <w:tcBorders>
              <w:top w:val="nil"/>
              <w:left w:val="nil"/>
              <w:bottom w:val="nil"/>
              <w:right w:val="nil"/>
            </w:tcBorders>
            <w:noWrap/>
            <w:vAlign w:val="center"/>
          </w:tcPr>
          <w:p w14:paraId="67650FB2" w14:textId="77777777" w:rsidR="006D1C3F" w:rsidRDefault="00000000">
            <w:pPr>
              <w:ind w:firstLineChars="0" w:firstLine="0"/>
              <w:rPr>
                <w:b w:val="0"/>
                <w:bCs w:val="0"/>
                <w:sz w:val="18"/>
                <w:szCs w:val="18"/>
              </w:rPr>
            </w:pPr>
            <w:r>
              <w:rPr>
                <w:b w:val="0"/>
                <w:bCs w:val="0"/>
                <w:sz w:val="18"/>
                <w:szCs w:val="18"/>
              </w:rPr>
              <w:t>ASCEND-9</w:t>
            </w:r>
            <w:r>
              <w:rPr>
                <w:b w:val="0"/>
                <w:bCs w:val="0"/>
                <w:sz w:val="18"/>
                <w:szCs w:val="18"/>
              </w:rPr>
              <w:fldChar w:fldCharType="begin"/>
            </w:r>
            <w:r>
              <w:rPr>
                <w:b w:val="0"/>
                <w:bCs w:val="0"/>
                <w:sz w:val="18"/>
                <w:szCs w:val="18"/>
              </w:rPr>
              <w:instrText xml:space="preserve"> ADDIN ZOTERO_ITEM CSL_CITATION {"citationID":"amTwGM0q","properties":{"formattedCitation":"(6)","plainCitation":"(6)","noteIndex":0},"citationItems":[{"id":346,"uris":["http://zotero.org/users/local/eBJtW3GH/items/Q875YZYP"],"itemData":{"id":346,"type":"article-journal","abstract":"Clinical experience of ceritinib in patients who progressed on alectinib is limited. In this prospective phase II study, we evaluated the activity of ceritinib in alectinib-pretreated patients with anaplastic lymphoma kinase (</w:instrText>
            </w:r>
            <w:r>
              <w:rPr>
                <w:rFonts w:hint="eastAsia"/>
                <w:b w:val="0"/>
                <w:bCs w:val="0"/>
                <w:sz w:val="18"/>
                <w:szCs w:val="18"/>
              </w:rPr>
              <w:instrText xml:space="preserve">ALK)-rearranged metastatic (stage IIIB/IV) non-small-cell lung cancer (NSCLC) in Japan. All patients were required to have </w:instrText>
            </w:r>
            <w:r>
              <w:rPr>
                <w:rFonts w:hint="eastAsia"/>
                <w:b w:val="0"/>
                <w:bCs w:val="0"/>
                <w:sz w:val="18"/>
                <w:szCs w:val="18"/>
              </w:rPr>
              <w:instrText>≥</w:instrText>
            </w:r>
            <w:r>
              <w:rPr>
                <w:rFonts w:hint="eastAsia"/>
                <w:b w:val="0"/>
                <w:bCs w:val="0"/>
                <w:sz w:val="18"/>
                <w:szCs w:val="18"/>
              </w:rPr>
              <w:instrText>1 measurable lesion per RECIST, 1.1, and a World Health Organization Performance Status (WHO PS) of 0-1. Prior crizotinib and/or up</w:instrText>
            </w:r>
            <w:r>
              <w:rPr>
                <w:b w:val="0"/>
                <w:bCs w:val="0"/>
                <w:sz w:val="18"/>
                <w:szCs w:val="18"/>
              </w:rPr>
              <w:instrText xml:space="preserve"> to 1 chemotherapy regimen was allowed. Primary endpoint was investigator-assessed overall response rate (ORR) per RECIST 1.1. Ceritinib was given at a dose of 750 mg/day fasted. A total of 20 patients were enrolled from August 2015 to March 2017. All patients received prior alectinib (100%), 13 (65.0%) patients received prior platinum-based chemotherapy, and 4 (20%) patients received prior crizotinib. Median duration of exposure and the follow-up time with ceritinib were 3.7 months (range: 0.4-15.1) and 11.6 months (range: 4.8-23.0), respectively. Investigator-assessed ORR was 25% (95% CI: 8.7-49.1). Key secondary endpoints, all investigator assessed, included disease control rate (70.0%; 95% CI: 45.7-88.1), time to response (median, 1.8 months; range: 1.8-2.0), and duration of response (median, 6.3 months; 95% CI: 3.5-9.2). Median progression-free survival was 3.7 months (95% CI: 1.9-5.3). The most common adverse events reported were diarrhea (85.0%), nausea (80.0%), and vomiting (65.0%). Based on our findings, ceritinib could be considered as one of the treatment options for patients with ALK-positive NSCLC who progressed on alectinib. (Trial registration no. NCT02450903).","container-title":"Cancer Science","DOI":"10.1111/cas.13721","ISSN":"1349-7006","issue":"9","journalAbbreviation":"Cancer Sci","language":"en","note":"PMID: 29959809\nPMCID: PMC6125456","page":"2863-2872","source":"PubMed","title":"Phase II study of ceritinib in alectinib-pretreated patients with anaplastic lymphoma kinase-rearranged metastatic non-small-cell lung cancer in Japan: ASCEND-9","title-short":"Phase II study of ceritinib in alectinib-pretreated patients with anaplastic lymphoma kinase-rearranged metastatic non-small-cell lung cancer in Japan","volume":"109","author":[{"family":"Hida","given":"Toyoaki"},{"family":"Seto","given":"Takashi"},{"family":"Horinouchi","given":"Hidehito"},{"family":"Maemondo","given":"Makoto"},{"family":"Takeda","given":"Masayuki"},{"family":"Hotta","given":"Katsuyuki"},{"family":"Hirai","given":"Fumihiko"},{"family":"Kim","given":"Young Hak"},{"family":"Matsumoto","given":"Shingo"},{"family":"Ito","given":"Masayuki"},{"family":"Ayukawa","given":"Koichi"},{"family":"Tokushige","given":"Kota"},{"family":"Yonemura","given":"Masataka"},{"family":"Mitsudomi","given":"Testuya"},{"family":"Nishio","given":"Makoto"}],"issued":{"date-parts":[["2018",9]]}}}],"schema":"https://github.com/citation-style-language/schema/raw/master/csl-citation.json"} </w:instrText>
            </w:r>
            <w:r>
              <w:rPr>
                <w:b w:val="0"/>
                <w:bCs w:val="0"/>
                <w:sz w:val="18"/>
                <w:szCs w:val="18"/>
              </w:rPr>
              <w:fldChar w:fldCharType="separate"/>
            </w:r>
            <w:r>
              <w:rPr>
                <w:b w:val="0"/>
                <w:bCs w:val="0"/>
                <w:sz w:val="18"/>
              </w:rPr>
              <w:t>[6]</w:t>
            </w:r>
            <w:r>
              <w:rPr>
                <w:b w:val="0"/>
                <w:bCs w:val="0"/>
                <w:sz w:val="18"/>
                <w:szCs w:val="18"/>
              </w:rPr>
              <w:fldChar w:fldCharType="end"/>
            </w:r>
          </w:p>
        </w:tc>
        <w:tc>
          <w:tcPr>
            <w:tcW w:w="714" w:type="pct"/>
            <w:tcBorders>
              <w:top w:val="nil"/>
              <w:left w:val="nil"/>
              <w:bottom w:val="nil"/>
              <w:right w:val="nil"/>
            </w:tcBorders>
            <w:noWrap/>
            <w:vAlign w:val="center"/>
          </w:tcPr>
          <w:p w14:paraId="2B17FE13"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Ceritinib</w:t>
            </w:r>
            <w:proofErr w:type="spellEnd"/>
          </w:p>
        </w:tc>
        <w:tc>
          <w:tcPr>
            <w:tcW w:w="711" w:type="pct"/>
            <w:tcBorders>
              <w:top w:val="nil"/>
              <w:left w:val="nil"/>
              <w:bottom w:val="nil"/>
              <w:right w:val="nil"/>
            </w:tcBorders>
            <w:noWrap/>
            <w:vAlign w:val="center"/>
          </w:tcPr>
          <w:p w14:paraId="527AF3A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20</w:t>
            </w:r>
          </w:p>
        </w:tc>
        <w:tc>
          <w:tcPr>
            <w:tcW w:w="401" w:type="pct"/>
            <w:tcBorders>
              <w:top w:val="nil"/>
              <w:left w:val="nil"/>
              <w:bottom w:val="nil"/>
              <w:right w:val="nil"/>
            </w:tcBorders>
            <w:noWrap/>
            <w:vAlign w:val="center"/>
          </w:tcPr>
          <w:p w14:paraId="51E1EB7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tcBorders>
              <w:top w:val="nil"/>
              <w:left w:val="nil"/>
              <w:bottom w:val="nil"/>
              <w:right w:val="nil"/>
            </w:tcBorders>
            <w:noWrap/>
            <w:vAlign w:val="center"/>
          </w:tcPr>
          <w:p w14:paraId="6313FF7D"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113D3987"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74D49EB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25 (9-49)</w:t>
            </w:r>
          </w:p>
        </w:tc>
        <w:tc>
          <w:tcPr>
            <w:tcW w:w="486" w:type="pct"/>
            <w:tcBorders>
              <w:top w:val="nil"/>
              <w:left w:val="nil"/>
              <w:bottom w:val="nil"/>
              <w:right w:val="nil"/>
            </w:tcBorders>
            <w:noWrap/>
            <w:vAlign w:val="center"/>
          </w:tcPr>
          <w:p w14:paraId="1BD9FF4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70</w:t>
            </w:r>
          </w:p>
        </w:tc>
        <w:tc>
          <w:tcPr>
            <w:tcW w:w="484" w:type="pct"/>
            <w:tcBorders>
              <w:top w:val="nil"/>
              <w:left w:val="nil"/>
              <w:bottom w:val="nil"/>
              <w:right w:val="nil"/>
            </w:tcBorders>
            <w:vAlign w:val="center"/>
          </w:tcPr>
          <w:p w14:paraId="1522A87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11.6(range: 4.8-23.0)</w:t>
            </w:r>
          </w:p>
        </w:tc>
      </w:tr>
      <w:tr w:rsidR="006D1C3F" w14:paraId="2907CC5A" w14:textId="77777777">
        <w:trPr>
          <w:trHeight w:val="652"/>
        </w:trPr>
        <w:tc>
          <w:tcPr>
            <w:tcW w:w="454" w:type="pct"/>
            <w:tcBorders>
              <w:top w:val="nil"/>
              <w:left w:val="nil"/>
              <w:bottom w:val="nil"/>
              <w:right w:val="nil"/>
            </w:tcBorders>
            <w:noWrap/>
            <w:vAlign w:val="center"/>
          </w:tcPr>
          <w:p w14:paraId="6F2F4D71" w14:textId="77777777" w:rsidR="006D1C3F" w:rsidRDefault="00000000">
            <w:pPr>
              <w:ind w:firstLineChars="0" w:firstLine="0"/>
              <w:rPr>
                <w:b w:val="0"/>
                <w:bCs w:val="0"/>
                <w:sz w:val="18"/>
                <w:szCs w:val="18"/>
              </w:rPr>
            </w:pPr>
            <w:r>
              <w:rPr>
                <w:b w:val="0"/>
                <w:bCs w:val="0"/>
                <w:sz w:val="18"/>
                <w:szCs w:val="18"/>
              </w:rPr>
              <w:lastRenderedPageBreak/>
              <w:t>INTELLECT</w:t>
            </w:r>
            <w:r>
              <w:rPr>
                <w:b w:val="0"/>
                <w:bCs w:val="0"/>
                <w:sz w:val="18"/>
                <w:szCs w:val="18"/>
              </w:rPr>
              <w:fldChar w:fldCharType="begin"/>
            </w:r>
            <w:r>
              <w:rPr>
                <w:b w:val="0"/>
                <w:bCs w:val="0"/>
                <w:sz w:val="18"/>
                <w:szCs w:val="18"/>
              </w:rPr>
              <w:instrText xml:space="preserve"> ADDIN ZOTERO_ITEM CSL_CITATION {"citationID":"PsQRE9tD","properties":{"formattedCitation":"(7)","plainCitation":"(7)","noteIndex":0},"citationItems":[{"id":351,"uris":["http://zotero.org/users/local/eBJtW3GH/items/37CP6EGT"],"itemData":{"id":351,"type":"article-journal","abstract":"BACKGROUND: Iruplinalkib (WX-0593) is an anaplastic lymphoma kinase (ALK)/c-ros oncogene 1 (ROS1) tyrosine kinase inhibitor. Here we reported the single-arm, phase II study (INTELLECT) results of the efficacy and safety of iru</w:instrText>
            </w:r>
            <w:r>
              <w:rPr>
                <w:rFonts w:hint="eastAsia"/>
                <w:b w:val="0"/>
                <w:bCs w:val="0"/>
                <w:sz w:val="18"/>
                <w:szCs w:val="18"/>
              </w:rPr>
              <w:instrText xml:space="preserve">plinalkib for ALK-positive crizotinib-resistant advanced non-small cell lung cancer (NSCLC) patients.\nMETHODS: ALK-positive crizotinib-resistant advanced NSCLC patients aged </w:instrText>
            </w:r>
            <w:r>
              <w:rPr>
                <w:rFonts w:hint="eastAsia"/>
                <w:b w:val="0"/>
                <w:bCs w:val="0"/>
                <w:sz w:val="18"/>
                <w:szCs w:val="18"/>
              </w:rPr>
              <w:instrText>≥</w:instrText>
            </w:r>
            <w:r>
              <w:rPr>
                <w:rFonts w:hint="eastAsia"/>
                <w:b w:val="0"/>
                <w:bCs w:val="0"/>
                <w:sz w:val="18"/>
                <w:szCs w:val="18"/>
              </w:rPr>
              <w:instrText>18 years, with Eastern Cooperative Oncology Group performance status of 0-2 wer</w:instrText>
            </w:r>
            <w:r>
              <w:rPr>
                <w:b w:val="0"/>
                <w:bCs w:val="0"/>
                <w:sz w:val="18"/>
                <w:szCs w:val="18"/>
              </w:rPr>
              <w:instrText xml:space="preserve">e eligible. Patients received iruplinalkib 180 mg orally once daily for a 21-day cycle with a 7-day lead-in phase at 60 mg orally once daily. The primary endpoint was the independent review committee (IRC)-assessed objective response rate (ORR).\nRESULTS: From August 7, 2019, to October 30, 2020, 146 patients were included. As of the data cut-off date on November 30, 2021, the median follow-up time was 18.2 months (95% confidence interval [CI] 16.8-18.8). IRC-assessed ORR and disease control rate (DCR) were 69.9% (95% CI 61.7-77.2%) and 96.6% (95% CI 92.2-98.9%), respectively. Investigator-assessed ORR and DCR were 63.0% (95% CI 54.6-70.8%) and 94.5% (95% CI 89.5-97.6%), respectively. Investigator-assessed median duration of response and progression-free survival (the same as median time to progression) were 13.2 months (95% CI 10.4-17.7) and 14.5 months (95% CI 11.7-20.0), respectively. Corresponding IRC-assessed results were 14.4 months (95% CI 13.1-not evaluable [NE]), 19.8 months (95% CI 14.5-NE), and NE (95% CI 14.5-NE), respectively. Investigator-assessed intracranial ORRs were 46% (41/90, 95% CI 35-56%) in patients with central nervous system metastases and 64% (27/42, 95% CI 48-78%) in patients with measurable intracranial lesions. Overall survival data were immature. Treatment-related adverse events (TRAEs) occurred in 136/146 (93.2%) patients. The most common TRAEs were aspartate aminotransferase increased (63 [43.2%]), alanine aminotransferase increased (54 [37.0%]), and blood creatine phosphokinase increased (51 [34.9%]). Dose interruption, reduction, and discontinuation due to TRAEs occurred in 21 (14.4%), 16 (11.0%), and four (2.7%) patients, respectively.\nCONCLUSIONS: In this study, iruplinalkib (WX-0593) demonstrated favorable efficacy and manageable safety profiles in patients with ALK-positive crizotinib-resistant advanced NSCLC. Iruplinalkib could be a new treatment option for this patient population.\nTRIAL REGISTRATION: Center for Drug Evaluation of National Medical Products Administration of China: CTR20190789, registered on April 28, 2019; ClinicalTrials.gov: NCT04641754, registered on November 24, 2020.","container-title":"BMC medicine","DOI":"10.1186/s12916-023-02738-5","ISSN":"1741-7015","issue":"1","journalAbbreviation":"BMC Med","language":"en","note":"PMID: 36829154\nPMCID: PMC9960473","page":"72","source":"PubMed","title":"Efficacy and safety of iruplinalkib (WX-0593) in ALK-positive crizotinib-resistant advanced non-small cell lung cancer patients: a single-arm, multicenter phase II study (INTELLECT)","title-short":"Efficacy and safety of iruplinalkib (WX-0593) in ALK-positive crizotinib-resistant advanced non-small cell lung cancer patients","volume":"21","author":[{"family":"Shi","given":"Yuankai"},{"family":"Chen","given":"Jianhua"},{"family":"Zhang","given":"Helong"},{"family":"Zhang","given":"Zhihong"},{"family":"Zhang","given":"Yiping"},{"family":"Wang","given":"Zhehai"},{"family":"Zhang","given":"Shucai"},{"family":"Zhao","given":"Jian"},{"family":"Liu","given":"Chunling"},{"family":"Wang","given":"Xiuwen"},{"family":"Zhao","given":"Yanqiu"},{"family":"Hu","given":"Changlu"},{"family":"Yang","given":"Lei"},{"family":"Hao","given":"Xuezhi"},{"family":"Wang","given":"Lin"},{"family":"Liu","given":"Yunpeng"},{"family":"Yu","given":"Yan"},{"family":"Zhao","given":"Jun"},{"family":"Wang","given":"Mengzhao"},{"family":"Zhang","given":"Liangming"},{"family":"Sun","given":"Sanyuan"},{"family":"Hu","given":"Yanping"},{"family":"Gu","given":"Kangsheng"},{"family":"Hang","given":"Xiaosheng"},{"family":"Shan","given":"Jinlu"},{"family":"Zhang","given":"Yu"},{"family":"Tan","given":"Bangxian"},{"family":"Yang","given":"Weihua"},{"family":"Yang","given":"Runxiang"},{"family":"Si","given":"Meimei"},{"family":"Geng","given":"Huaize"},{"family":"Li","given":"Hui"},{"family":"Kang","given":"Xiaoyan"}],"issued":{"date-parts":[["2023",2,24]]}}}],"schema":"https://github.com/citation-style-language/schema/raw/master/csl-citation.json"} </w:instrText>
            </w:r>
            <w:r>
              <w:rPr>
                <w:b w:val="0"/>
                <w:bCs w:val="0"/>
                <w:sz w:val="18"/>
                <w:szCs w:val="18"/>
              </w:rPr>
              <w:fldChar w:fldCharType="separate"/>
            </w:r>
            <w:r>
              <w:rPr>
                <w:b w:val="0"/>
                <w:bCs w:val="0"/>
                <w:sz w:val="18"/>
              </w:rPr>
              <w:t>[7]</w:t>
            </w:r>
            <w:r>
              <w:rPr>
                <w:b w:val="0"/>
                <w:bCs w:val="0"/>
                <w:sz w:val="18"/>
                <w:szCs w:val="18"/>
              </w:rPr>
              <w:fldChar w:fldCharType="end"/>
            </w:r>
          </w:p>
        </w:tc>
        <w:tc>
          <w:tcPr>
            <w:tcW w:w="714" w:type="pct"/>
            <w:tcBorders>
              <w:top w:val="nil"/>
              <w:left w:val="nil"/>
              <w:bottom w:val="nil"/>
              <w:right w:val="nil"/>
            </w:tcBorders>
            <w:noWrap/>
            <w:vAlign w:val="center"/>
          </w:tcPr>
          <w:p w14:paraId="04BAE99B"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Iruplinalkib</w:t>
            </w:r>
            <w:proofErr w:type="spellEnd"/>
          </w:p>
        </w:tc>
        <w:tc>
          <w:tcPr>
            <w:tcW w:w="711" w:type="pct"/>
            <w:tcBorders>
              <w:top w:val="nil"/>
              <w:left w:val="nil"/>
              <w:bottom w:val="nil"/>
              <w:right w:val="nil"/>
            </w:tcBorders>
            <w:noWrap/>
            <w:vAlign w:val="center"/>
          </w:tcPr>
          <w:p w14:paraId="11A0950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146</w:t>
            </w:r>
          </w:p>
        </w:tc>
        <w:tc>
          <w:tcPr>
            <w:tcW w:w="401" w:type="pct"/>
            <w:tcBorders>
              <w:top w:val="nil"/>
              <w:left w:val="nil"/>
              <w:bottom w:val="nil"/>
              <w:right w:val="nil"/>
            </w:tcBorders>
            <w:noWrap/>
            <w:vAlign w:val="center"/>
          </w:tcPr>
          <w:p w14:paraId="588236C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tcBorders>
              <w:top w:val="nil"/>
              <w:left w:val="nil"/>
              <w:bottom w:val="nil"/>
              <w:right w:val="nil"/>
            </w:tcBorders>
            <w:noWrap/>
            <w:vAlign w:val="center"/>
          </w:tcPr>
          <w:p w14:paraId="167D9A6A"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6B99879B"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7BF440D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70 (62-77)</w:t>
            </w:r>
          </w:p>
        </w:tc>
        <w:tc>
          <w:tcPr>
            <w:tcW w:w="486" w:type="pct"/>
            <w:tcBorders>
              <w:top w:val="nil"/>
              <w:left w:val="nil"/>
              <w:bottom w:val="nil"/>
              <w:right w:val="nil"/>
            </w:tcBorders>
            <w:noWrap/>
            <w:vAlign w:val="center"/>
          </w:tcPr>
          <w:p w14:paraId="64694C5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30.8</w:t>
            </w:r>
          </w:p>
        </w:tc>
        <w:tc>
          <w:tcPr>
            <w:tcW w:w="484" w:type="pct"/>
            <w:tcBorders>
              <w:top w:val="nil"/>
              <w:left w:val="nil"/>
              <w:right w:val="nil"/>
            </w:tcBorders>
            <w:vAlign w:val="center"/>
          </w:tcPr>
          <w:p w14:paraId="36A3127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18.2(95% CI 16.8-18.8)</w:t>
            </w:r>
          </w:p>
        </w:tc>
      </w:tr>
      <w:tr w:rsidR="006D1C3F" w14:paraId="0FD54D50" w14:textId="77777777">
        <w:trPr>
          <w:trHeight w:val="652"/>
        </w:trPr>
        <w:tc>
          <w:tcPr>
            <w:tcW w:w="454" w:type="pct"/>
            <w:tcBorders>
              <w:top w:val="nil"/>
              <w:left w:val="nil"/>
              <w:bottom w:val="nil"/>
              <w:right w:val="nil"/>
            </w:tcBorders>
            <w:noWrap/>
            <w:vAlign w:val="center"/>
          </w:tcPr>
          <w:p w14:paraId="2B3754DD" w14:textId="77777777" w:rsidR="006D1C3F" w:rsidRDefault="00000000">
            <w:pPr>
              <w:ind w:firstLineChars="0" w:firstLine="0"/>
              <w:rPr>
                <w:b w:val="0"/>
                <w:bCs w:val="0"/>
                <w:sz w:val="18"/>
                <w:szCs w:val="18"/>
              </w:rPr>
            </w:pPr>
            <w:r>
              <w:rPr>
                <w:b w:val="0"/>
                <w:bCs w:val="0"/>
                <w:sz w:val="18"/>
                <w:szCs w:val="18"/>
              </w:rPr>
              <w:t>J-ALTA</w:t>
            </w:r>
            <w:r>
              <w:rPr>
                <w:b w:val="0"/>
                <w:bCs w:val="0"/>
                <w:sz w:val="18"/>
                <w:szCs w:val="18"/>
              </w:rPr>
              <w:fldChar w:fldCharType="begin"/>
            </w:r>
            <w:r>
              <w:rPr>
                <w:b w:val="0"/>
                <w:bCs w:val="0"/>
                <w:sz w:val="18"/>
                <w:szCs w:val="18"/>
              </w:rPr>
              <w:instrText xml:space="preserve"> ADDIN ZOTERO_ITEM CSL_CITATION {"citationID":"44vhu9oh","properties":{"formattedCitation":"(8)","plainCitation":"(8)","noteIndex":0},"citationItems":[{"id":353,"uris":["http://zotero.org/users/local/eBJtW3GH/items/9BPAX2V6"],"itemData":{"id":353,"type":"article-journal","abstract":"INTRODUCTION: This phase 2 trial evaluated the efficacy and safety of brigatinib in patients with advanced ALK-positive NSCLC refractory to alectinib or other ALK tyrosine kinase inhibitors (TKIs).\nMETHODS: This single-arm, multicenter, open-label study in Japanese patients consisted of a safety lead-in followed by an expansion stage in patients refractory to ALK TKI or those naive for ALK TKI. Patients received brigatinib 180 mg once daily with 7-day lead-in at 90 mg once daily. Primary end point was independent review committee (IRC)-assessed confirmed objective response rate per the Response Evaluation Criteria in Solid Tumors version 1.1.\nRESULTS: We report the results of the lead-in and expansion in the patients refractory to ALK TKI. Of 72 patients enrolled, 47 had alectinib as most recent ALK TKI (with or without previous crizotinib). At analysis cutoff, 14 of the 47 remained on brigatinib (median follow-up: 12.4 mo). In the alectinib-refractory population, IRC-assessed confirmed objective response rate was 34% (95% confidence interval [CI]: 21%-49%) with median duration of response of 11.8 months (95% CI: 5.5-16.4). Disease control rate was 79% (95% CI: 64%-89%). Median IRC-assessed progression-free survival was 7.3 months (95% CI: 3.7-9.3). Two of eight patients with measurable brain lesions at baseline had confirmed intracranial partial response. Brigatinib has been found to have antitumor activity in patients with G1202R, I1171N, V1180L, and L1196M secondary mutations. The safety profile in Japanese patients was consistent with that in previous reports in broader populations.\nCONCLUSIONS: Brigatinib has been found to have clinically meaningful efficacy in Japanese patients with ALK+ NSCLC refractory to alectinib (with or without previous crizotinib).","container-title":"Journal of Thoracic Oncology: Official Publication of the International Association for the Study of Lung Cancer","DOI":"10.1016/j.jtho.2020.11.004","ISSN":"1556-1380","issue":"3","journalAbbreviation":"J Thorac Oncol","language":"en","note":"PMID: 33248320","page":"452-463","source":"PubMed","title":"Brigatinib in Japanese Patients With ALK-Positive NSCLC Previously Treated With Alectinib and Other Tyrosine Kinase Inhibitors: Outcomes of the Phase 2 J-ALTA Trial","title-short":"Brigatinib in Japanese Patients With ALK-Positive NSCLC Previously Treated With Alectinib and Other Tyrosine Kinase Inhibitors","volume":"16","author":[{"family":"Nishio","given":"Makoto"},{"family":"Yoshida","given":"Tatsuya"},{"family":"Kumagai","given":"Toru"},{"family":"Hida","given":"Toyoaki"},{"family":"Toyozawa","given":"Ryo"},{"family":"Shimokawaji","given":"Tadasuke"},{"family":"Goto","given":"Koichi"},{"family":"Nakagawa","given":"Kazuhiko"},{"family":"Ohe","given":"Yuichiro"},{"family":"Seto","given":"Takashi"},{"family":"Kudou","given":"Kentarou"},{"family":"Asato","given":"Takayuki"},{"family":"Zhang","given":"Pingkuan"},{"family":"Yamamoto","given":"Nobuyuki"}],"issued":{"date-parts":[["2021",3]]}}}],"schema":"https://github.com/citation-style-language/schema/raw/master/csl-citation.json"} </w:instrText>
            </w:r>
            <w:r>
              <w:rPr>
                <w:b w:val="0"/>
                <w:bCs w:val="0"/>
                <w:sz w:val="18"/>
                <w:szCs w:val="18"/>
              </w:rPr>
              <w:fldChar w:fldCharType="separate"/>
            </w:r>
            <w:r>
              <w:rPr>
                <w:b w:val="0"/>
                <w:bCs w:val="0"/>
                <w:sz w:val="18"/>
              </w:rPr>
              <w:t>[8]</w:t>
            </w:r>
            <w:r>
              <w:rPr>
                <w:b w:val="0"/>
                <w:bCs w:val="0"/>
                <w:sz w:val="18"/>
                <w:szCs w:val="18"/>
              </w:rPr>
              <w:fldChar w:fldCharType="end"/>
            </w:r>
          </w:p>
        </w:tc>
        <w:tc>
          <w:tcPr>
            <w:tcW w:w="714" w:type="pct"/>
            <w:tcBorders>
              <w:top w:val="nil"/>
              <w:left w:val="nil"/>
              <w:bottom w:val="nil"/>
              <w:right w:val="nil"/>
            </w:tcBorders>
            <w:noWrap/>
            <w:vAlign w:val="center"/>
          </w:tcPr>
          <w:p w14:paraId="04BF76A9"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Brigatinib</w:t>
            </w:r>
            <w:proofErr w:type="spellEnd"/>
          </w:p>
        </w:tc>
        <w:tc>
          <w:tcPr>
            <w:tcW w:w="711" w:type="pct"/>
            <w:tcBorders>
              <w:top w:val="nil"/>
              <w:left w:val="nil"/>
              <w:bottom w:val="nil"/>
              <w:right w:val="nil"/>
            </w:tcBorders>
            <w:noWrap/>
            <w:vAlign w:val="center"/>
          </w:tcPr>
          <w:p w14:paraId="4037D2B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47</w:t>
            </w:r>
          </w:p>
        </w:tc>
        <w:tc>
          <w:tcPr>
            <w:tcW w:w="401" w:type="pct"/>
            <w:tcBorders>
              <w:top w:val="nil"/>
              <w:left w:val="nil"/>
              <w:bottom w:val="nil"/>
              <w:right w:val="nil"/>
            </w:tcBorders>
            <w:noWrap/>
            <w:vAlign w:val="center"/>
          </w:tcPr>
          <w:p w14:paraId="389C6FF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tcBorders>
              <w:top w:val="nil"/>
              <w:left w:val="nil"/>
              <w:bottom w:val="nil"/>
              <w:right w:val="nil"/>
            </w:tcBorders>
            <w:noWrap/>
            <w:vAlign w:val="center"/>
          </w:tcPr>
          <w:p w14:paraId="6480C96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3BBC1AE3"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3A604A7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34 (21-49)</w:t>
            </w:r>
          </w:p>
        </w:tc>
        <w:tc>
          <w:tcPr>
            <w:tcW w:w="486" w:type="pct"/>
            <w:tcBorders>
              <w:top w:val="nil"/>
              <w:left w:val="nil"/>
              <w:bottom w:val="nil"/>
              <w:right w:val="nil"/>
            </w:tcBorders>
            <w:noWrap/>
            <w:vAlign w:val="center"/>
          </w:tcPr>
          <w:p w14:paraId="1B155C1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64</w:t>
            </w:r>
          </w:p>
        </w:tc>
        <w:tc>
          <w:tcPr>
            <w:tcW w:w="484" w:type="pct"/>
            <w:tcBorders>
              <w:top w:val="nil"/>
              <w:left w:val="nil"/>
              <w:bottom w:val="nil"/>
              <w:right w:val="nil"/>
            </w:tcBorders>
            <w:vAlign w:val="center"/>
          </w:tcPr>
          <w:p w14:paraId="1D7AECA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12.4(range: 1.5-20.0)</w:t>
            </w:r>
          </w:p>
        </w:tc>
      </w:tr>
      <w:tr w:rsidR="006D1C3F" w14:paraId="55296E10" w14:textId="77777777">
        <w:trPr>
          <w:trHeight w:val="652"/>
        </w:trPr>
        <w:tc>
          <w:tcPr>
            <w:tcW w:w="454" w:type="pct"/>
            <w:tcBorders>
              <w:top w:val="nil"/>
              <w:left w:val="nil"/>
              <w:bottom w:val="nil"/>
              <w:right w:val="nil"/>
            </w:tcBorders>
            <w:noWrap/>
            <w:vAlign w:val="center"/>
          </w:tcPr>
          <w:p w14:paraId="0503A19A" w14:textId="77777777" w:rsidR="006D1C3F" w:rsidRDefault="00000000">
            <w:pPr>
              <w:ind w:firstLineChars="0" w:firstLine="0"/>
              <w:rPr>
                <w:b w:val="0"/>
                <w:bCs w:val="0"/>
                <w:sz w:val="18"/>
                <w:szCs w:val="18"/>
              </w:rPr>
            </w:pPr>
            <w:r>
              <w:rPr>
                <w:b w:val="0"/>
                <w:bCs w:val="0"/>
                <w:sz w:val="18"/>
                <w:szCs w:val="18"/>
              </w:rPr>
              <w:t>NCT03909971</w:t>
            </w:r>
            <w:r>
              <w:rPr>
                <w:b w:val="0"/>
                <w:bCs w:val="0"/>
                <w:sz w:val="18"/>
                <w:szCs w:val="18"/>
              </w:rPr>
              <w:fldChar w:fldCharType="begin"/>
            </w:r>
            <w:r>
              <w:rPr>
                <w:b w:val="0"/>
                <w:bCs w:val="0"/>
                <w:sz w:val="18"/>
                <w:szCs w:val="18"/>
              </w:rPr>
              <w:instrText xml:space="preserve"> ADDIN ZOTERO_ITEM CSL_CITATION {"citationID":"xbfBx7Qd","properties":{"formattedCitation":"(9)","plainCitation":"(9)","noteIndex":0},"citationItems":[{"id":356,"uris":["http://zotero.org/users/local/eBJtW3GH/items/STATETYW"],"itemData":{"id":356,"type":"article-journal","abstract":"INTRODUCTION: Lorlatinib was found to have activity in ALK-positive NSCLC in a global phase 1 and 2 study. We report an ongoing phase 2 study in Chinese patients with ALK-positive advanced or metastatic NSCLC.\nMETHODS: Open-label, dual-cohort study (NCT03909971); patients had progressive disease after ALK tyrosine kinase inhibitor treatment (cohort 1: previous crizotinib; cohort 2: one ALK tyrosine kinase inhibitor other than crizotinib [±prior crizotinib]), more than or equal to one unirradiated extracranial target lesion, and Eastern Cooperative Oncology Group performance status of 0 to 2. Patients received oral lorlatinib 100 mg once daily in continuous 21-day cycles. Primary end point: objective response in cohort 1 by independent central radiology (ICR) according to Response Evaluation Criteria in Solid Tumors version 1.1. Analyses were based on patients receiving more than or equal to one dose.\nRESULTS: At data cutoff (August 10, 2020), 109 patients were enrolled (cohort 1: n = 67; cohort 2: n = 42). A total of 47 patients in cohort 1 (70.1%, 95% confidence interval [CI]: 57.7-80.7, p &lt; 0.0001; primary end point) and 20 patients in cohort 2 (47.6%, 95% CI: 32.0-63.6, secondary end point) achieved objective response by ICR. Median progression-free survival was not reached in cohort 1 and was 5.6 months in cohort 2. In patients with brain lesions at baseline, 29 of 36 patients in cohort 1 (80.6%, 95% CI: 64.0-91.8) and 10 of 21 patients in cohort 2 (47.6%, 95% CI: 25.7-70.2) achieved objective intracranial response by ICR. Hypercholesterolemia (92.7%) and hypertriglyceridemia (90.8%) (cluster terms) were common treatment-related adverse events (TRAEs). Nine patients (8.3%) had serious TRAEs; one permanently discontinued from treatment because of TRAEs.\nCONCLUSIONS: Lorlatinib was found to have a robust and durable response and high intracranial objective response in previously treated Chinese patients with ALK-positive NSCLC.","container-title":"Journal of Thoracic Oncology: Official Publication of the International Association for the Study of Lung Cancer","DOI":"10.1016/j.jtho.2022.02.014","ISSN":"1556-1380","issue":"6","journalAbbreviation":"J Thorac Oncol","language":"en","note":"PMID: 35307611","page":"816-826","source":"PubMed","title":"Lorlatinib for Previously Treated ALK-Positive Advanced NSCLC: Primary Efficacy and Safety From a Phase 2 Study in People's Republic of China","title-short":"Lorlatinib for Previously Treated ALK-Positive Advanced NSCLC","volume":"17","author":[{"family":"Lu","given":"Shun"},{"family":"Zhou","given":"Qing"},{"family":"Liu","given":"Xiaoqing"},{"family":"Du","given":"Yingying"},{"family":"Fan","given":"Yun"},{"family":"Cheng","given":"Ying"},{"family":"Fang","given":"Jian"},{"family":"Lu","given":"You"},{"family":"Huang","given":"Cheng"},{"family":"Zhou","given":"Jianying"},{"family":"Song","given":"Yong"},{"family":"Wang","given":"Kai"},{"family":"Pan","given":"Hongming"},{"family":"Yang","given":"Nong"},{"family":"Li","given":"Juan"},{"family":"Chen","given":"Gongyan"},{"family":"Chang","given":"Jianhua"},{"family":"Cui","given":"Jiuwei"},{"family":"Liu","given":"Zhe"},{"family":"Bai","given":"Chunxue"},{"family":"Zhang","given":"Helong"},{"family":"Zhao","given":"Huadong"},{"family":"Zhang","given":"Kaiting"},{"family":"Peltz","given":"Gerson"},{"family":"Li","given":"Heyan"},{"family":"Wu","given":"Yi-Long"}],"issued":{"date-parts":[["2022",6]]}}}],"schema":"https://github.com/citation-style-language/schema/raw/master/csl-citation.json"} </w:instrText>
            </w:r>
            <w:r>
              <w:rPr>
                <w:b w:val="0"/>
                <w:bCs w:val="0"/>
                <w:sz w:val="18"/>
                <w:szCs w:val="18"/>
              </w:rPr>
              <w:fldChar w:fldCharType="separate"/>
            </w:r>
            <w:r>
              <w:rPr>
                <w:b w:val="0"/>
                <w:bCs w:val="0"/>
                <w:sz w:val="18"/>
              </w:rPr>
              <w:t>[9]</w:t>
            </w:r>
            <w:r>
              <w:rPr>
                <w:b w:val="0"/>
                <w:bCs w:val="0"/>
                <w:sz w:val="18"/>
                <w:szCs w:val="18"/>
              </w:rPr>
              <w:fldChar w:fldCharType="end"/>
            </w:r>
          </w:p>
        </w:tc>
        <w:tc>
          <w:tcPr>
            <w:tcW w:w="714" w:type="pct"/>
            <w:tcBorders>
              <w:top w:val="nil"/>
              <w:left w:val="nil"/>
              <w:bottom w:val="nil"/>
              <w:right w:val="nil"/>
            </w:tcBorders>
            <w:noWrap/>
            <w:vAlign w:val="center"/>
          </w:tcPr>
          <w:p w14:paraId="775B3283"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Lorlatinib</w:t>
            </w:r>
            <w:proofErr w:type="spellEnd"/>
          </w:p>
        </w:tc>
        <w:tc>
          <w:tcPr>
            <w:tcW w:w="711" w:type="pct"/>
            <w:tcBorders>
              <w:top w:val="nil"/>
              <w:left w:val="nil"/>
              <w:bottom w:val="nil"/>
              <w:right w:val="nil"/>
            </w:tcBorders>
            <w:noWrap/>
            <w:vAlign w:val="center"/>
          </w:tcPr>
          <w:p w14:paraId="00ADB3D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67 VS 42</w:t>
            </w:r>
          </w:p>
        </w:tc>
        <w:tc>
          <w:tcPr>
            <w:tcW w:w="401" w:type="pct"/>
            <w:tcBorders>
              <w:top w:val="nil"/>
              <w:left w:val="nil"/>
              <w:bottom w:val="nil"/>
              <w:right w:val="nil"/>
            </w:tcBorders>
            <w:noWrap/>
            <w:vAlign w:val="center"/>
          </w:tcPr>
          <w:p w14:paraId="22D825E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tcBorders>
              <w:top w:val="nil"/>
              <w:left w:val="nil"/>
              <w:bottom w:val="nil"/>
              <w:right w:val="nil"/>
            </w:tcBorders>
            <w:noWrap/>
            <w:vAlign w:val="center"/>
          </w:tcPr>
          <w:p w14:paraId="5931F11E"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6BFC0312"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3E0EB2B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70 (58-81) VS 48(32-64)</w:t>
            </w:r>
          </w:p>
        </w:tc>
        <w:tc>
          <w:tcPr>
            <w:tcW w:w="486" w:type="pct"/>
            <w:tcBorders>
              <w:top w:val="nil"/>
              <w:left w:val="nil"/>
              <w:bottom w:val="nil"/>
              <w:right w:val="nil"/>
            </w:tcBorders>
            <w:noWrap/>
            <w:vAlign w:val="center"/>
          </w:tcPr>
          <w:p w14:paraId="54EBD76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59.7 VS 63.2</w:t>
            </w:r>
          </w:p>
        </w:tc>
        <w:tc>
          <w:tcPr>
            <w:tcW w:w="484" w:type="pct"/>
            <w:tcBorders>
              <w:top w:val="nil"/>
              <w:left w:val="nil"/>
              <w:bottom w:val="nil"/>
              <w:right w:val="nil"/>
            </w:tcBorders>
            <w:vAlign w:val="center"/>
          </w:tcPr>
          <w:p w14:paraId="76B33C9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11.0(95% CI 9.7-11.1) VS 9.7(95% CI 8.2-12.4)</w:t>
            </w:r>
          </w:p>
        </w:tc>
      </w:tr>
      <w:tr w:rsidR="006D1C3F" w14:paraId="01815A47" w14:textId="77777777">
        <w:trPr>
          <w:trHeight w:val="978"/>
        </w:trPr>
        <w:tc>
          <w:tcPr>
            <w:tcW w:w="454" w:type="pct"/>
            <w:tcBorders>
              <w:top w:val="nil"/>
              <w:left w:val="nil"/>
              <w:bottom w:val="nil"/>
              <w:right w:val="nil"/>
            </w:tcBorders>
            <w:noWrap/>
            <w:vAlign w:val="center"/>
          </w:tcPr>
          <w:p w14:paraId="31702E9C" w14:textId="77777777" w:rsidR="006D1C3F" w:rsidRDefault="00000000">
            <w:pPr>
              <w:ind w:firstLineChars="0" w:firstLine="0"/>
              <w:rPr>
                <w:b w:val="0"/>
                <w:bCs w:val="0"/>
                <w:sz w:val="18"/>
                <w:szCs w:val="18"/>
              </w:rPr>
            </w:pPr>
            <w:r>
              <w:rPr>
                <w:b w:val="0"/>
                <w:bCs w:val="0"/>
                <w:sz w:val="18"/>
                <w:szCs w:val="18"/>
              </w:rPr>
              <w:t>Kim2017</w:t>
            </w:r>
            <w:r>
              <w:rPr>
                <w:b w:val="0"/>
                <w:bCs w:val="0"/>
                <w:sz w:val="18"/>
                <w:szCs w:val="18"/>
              </w:rPr>
              <w:fldChar w:fldCharType="begin"/>
            </w:r>
            <w:r>
              <w:rPr>
                <w:b w:val="0"/>
                <w:bCs w:val="0"/>
                <w:sz w:val="18"/>
                <w:szCs w:val="18"/>
              </w:rPr>
              <w:instrText xml:space="preserve"> ADDIN ZOTERO_ITEM CSL_CITATION {"citationID":"07gA14te","properties":{"formattedCitation":"(10)","plainCitation":"(10)","noteIndex":0},"citationItems":[{"id":358,"uris":["http://zotero.org/users/local/eBJtW3GH/items/Y9T8RXHT"],"itemData":{"id":358,"type":"article-journal","abstract":"Purpose Most crizotinib-treated patients with anaplastic lymphoma kinase gene ( ALK)-rearranged non-small-cell lung cancer (ALK-positive NSCLC) eventually experience disease progression. We evaluated two regimens of brigatinib, an investigational next-generation ALK inhibitor, in crizotinib-refractory ALK-positive NSCLC. Patients and Methods Patients were stratified by brain metastases and best response to crizotinib. They were randomly assigned (1:1) to oral brigatinib 90 mg once daily (arm A) or 180 mg once daily with a 7-day lead-in at 90 mg (180 mg once daily [with lead-in]; arm B). Investigator-assessed confirmed objective response rate (ORR) was the primary end point. Results Of 222 patients enrolled (arm A: n = 112, 109 treated; arm B: n = 110, 110 treated), 154 (69%) had baseline brain metastases and 164 of 222 (74%) had received prior chemotherapy. With 8.0-month median follow-up, investigator-assessed confirmed ORR was 45% (97.5% CI, 34% to 56%) in arm A and 54% (97.5% CI, 43% to 65%) in arm B. Investigator-assessed median progression-free survival was 9.2 months (95% CI, 7.4 to 15.6) and 12.9 months (95% CI, 11.1 to not reached) in arms A and B, respectively. Independent review committee-assessed intracranial ORR in patients with measurable brain metastases at baseline was 42% (11 of 26 patients) in arm A and 67% (12 of 18 patients) in arm B. Common treatment-emergent adverse events were nausea (arm A/B, 33%/40%), diarrhea (arm A/B, 19%/38%), headache (arm A/B, 28</w:instrText>
            </w:r>
            <w:r>
              <w:rPr>
                <w:rFonts w:hint="eastAsia"/>
                <w:b w:val="0"/>
                <w:bCs w:val="0"/>
                <w:sz w:val="18"/>
                <w:szCs w:val="18"/>
              </w:rPr>
              <w:instrText xml:space="preserve">%/27%), and cough (arm A/B, 18%/34%), and were mainly grades 1 to 2. A subset of pulmonary adverse events with early onset (median onset: day 2) occurred in 14 of 219 treated patients (all grades, 6%; grade </w:instrText>
            </w:r>
            <w:r>
              <w:rPr>
                <w:rFonts w:hint="eastAsia"/>
                <w:b w:val="0"/>
                <w:bCs w:val="0"/>
                <w:sz w:val="18"/>
                <w:szCs w:val="18"/>
              </w:rPr>
              <w:instrText>≥</w:instrText>
            </w:r>
            <w:r>
              <w:rPr>
                <w:rFonts w:hint="eastAsia"/>
                <w:b w:val="0"/>
                <w:bCs w:val="0"/>
                <w:sz w:val="18"/>
                <w:szCs w:val="18"/>
              </w:rPr>
              <w:instrText xml:space="preserve"> 3, 3%); none occurred after escalation to 180 </w:instrText>
            </w:r>
            <w:r>
              <w:rPr>
                <w:b w:val="0"/>
                <w:bCs w:val="0"/>
                <w:sz w:val="18"/>
                <w:szCs w:val="18"/>
              </w:rPr>
              <w:instrText xml:space="preserve">mg in arm B. Seven of 14 patients were successfully retreated with brigatinib. Conclusion Brigatinib yielded substantial whole-body and intracranial responses as well as robust progression-free survival; 180 mg (with lead-in) showed consistently better efficacy than 90 mg, with acceptable safety.","container-title":"Journal of Clinical Oncology: Official Journal of the American Society of Clinical Oncology","DOI":"10.1200/JCO.2016.71.5904","ISSN":"1527-7755","issue":"22","journalAbbreviation":"J Clin Oncol","language":"en","note":"PMID: 28475456","page":"2490-2498","source":"PubMed","title":"Brigatinib in Patients With Crizotinib-Refractory Anaplastic Lymphoma Kinase-Positive Non-Small-Cell Lung Cancer: A Randomized, Multicenter Phase II Trial","title-short":"Brigatinib in Patients With Crizotinib-Refractory Anaplastic Lymphoma Kinase-Positive Non-Small-Cell Lung Cancer","volume":"35","author":[{"family":"Kim","given":"Dong-Wan"},{"family":"Tiseo","given":"Marcello"},{"family":"Ahn","given":"Myung-Ju"},{"family":"Reckamp","given":"Karen L."},{"family":"Hansen","given":"Karin Holmskov"},{"family":"Kim","given":"Sang-We"},{"family":"Huber","given":"Rudolf M."},{"family":"West","given":"Howard L."},{"family":"Groen","given":"Harry J. M."},{"family":"Hochmair","given":"Maximilian J."},{"family":"Leighl","given":"Natasha B."},{"family":"Gettinger","given":"Scott N."},{"family":"Langer","given":"Corey J."},{"family":"Paz-Ares Rodríguez","given":"Luis G."},{"family":"Smit","given":"Egbert F."},{"family":"Kim","given":"Edward S."},{"family":"Reichmann","given":"William"},{"family":"Haluska","given":"Frank G."},{"family":"Kerstein","given":"David"},{"family":"Camidge","given":"D. Ross"}],"issued":{"date-parts":[["2017",8,1]]}}}],"schema":"https://github.com/citation-style-language/schema/raw/master/csl-citation.json"} </w:instrText>
            </w:r>
            <w:r>
              <w:rPr>
                <w:b w:val="0"/>
                <w:bCs w:val="0"/>
                <w:sz w:val="18"/>
                <w:szCs w:val="18"/>
              </w:rPr>
              <w:fldChar w:fldCharType="separate"/>
            </w:r>
            <w:r>
              <w:rPr>
                <w:b w:val="0"/>
                <w:bCs w:val="0"/>
                <w:sz w:val="18"/>
              </w:rPr>
              <w:t>[10]</w:t>
            </w:r>
            <w:r>
              <w:rPr>
                <w:b w:val="0"/>
                <w:bCs w:val="0"/>
                <w:sz w:val="18"/>
                <w:szCs w:val="18"/>
              </w:rPr>
              <w:fldChar w:fldCharType="end"/>
            </w:r>
          </w:p>
        </w:tc>
        <w:tc>
          <w:tcPr>
            <w:tcW w:w="714" w:type="pct"/>
            <w:tcBorders>
              <w:top w:val="nil"/>
              <w:left w:val="nil"/>
              <w:bottom w:val="nil"/>
              <w:right w:val="nil"/>
            </w:tcBorders>
            <w:noWrap/>
            <w:vAlign w:val="center"/>
          </w:tcPr>
          <w:p w14:paraId="37B8E57F"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Brigatinib</w:t>
            </w:r>
            <w:proofErr w:type="spellEnd"/>
            <w:r>
              <w:rPr>
                <w:rFonts w:cstheme="minorBidi" w:hint="eastAsia"/>
                <w:b w:val="0"/>
                <w:bCs w:val="0"/>
                <w:sz w:val="18"/>
                <w:szCs w:val="18"/>
              </w:rPr>
              <w:t xml:space="preserve"> (90 mg once </w:t>
            </w:r>
            <w:proofErr w:type="gramStart"/>
            <w:r>
              <w:rPr>
                <w:rFonts w:cstheme="minorBidi" w:hint="eastAsia"/>
                <w:b w:val="0"/>
                <w:bCs w:val="0"/>
                <w:sz w:val="18"/>
                <w:szCs w:val="18"/>
              </w:rPr>
              <w:t>daily)  VS</w:t>
            </w:r>
            <w:proofErr w:type="gramEnd"/>
            <w:r>
              <w:rPr>
                <w:rFonts w:cstheme="minorBidi" w:hint="eastAsia"/>
                <w:b w:val="0"/>
                <w:bCs w:val="0"/>
                <w:sz w:val="18"/>
                <w:szCs w:val="18"/>
              </w:rPr>
              <w:t xml:space="preserve">  </w:t>
            </w:r>
            <w:proofErr w:type="spellStart"/>
            <w:proofErr w:type="gramStart"/>
            <w:r>
              <w:rPr>
                <w:rFonts w:cstheme="minorBidi" w:hint="eastAsia"/>
                <w:b w:val="0"/>
                <w:bCs w:val="0"/>
                <w:sz w:val="18"/>
                <w:szCs w:val="18"/>
              </w:rPr>
              <w:t>Brigatinib</w:t>
            </w:r>
            <w:proofErr w:type="spellEnd"/>
            <w:r>
              <w:rPr>
                <w:rFonts w:cstheme="minorBidi" w:hint="eastAsia"/>
                <w:b w:val="0"/>
                <w:bCs w:val="0"/>
                <w:sz w:val="18"/>
                <w:szCs w:val="18"/>
              </w:rPr>
              <w:t>(</w:t>
            </w:r>
            <w:proofErr w:type="gramEnd"/>
            <w:r>
              <w:rPr>
                <w:rFonts w:cstheme="minorBidi" w:hint="eastAsia"/>
                <w:b w:val="0"/>
                <w:bCs w:val="0"/>
                <w:sz w:val="18"/>
                <w:szCs w:val="18"/>
              </w:rPr>
              <w:t>180 mg once daily)</w:t>
            </w:r>
          </w:p>
        </w:tc>
        <w:tc>
          <w:tcPr>
            <w:tcW w:w="711" w:type="pct"/>
            <w:tcBorders>
              <w:top w:val="nil"/>
              <w:left w:val="nil"/>
              <w:bottom w:val="nil"/>
              <w:right w:val="nil"/>
            </w:tcBorders>
            <w:noWrap/>
            <w:vAlign w:val="center"/>
          </w:tcPr>
          <w:p w14:paraId="4B49164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112 VS 110</w:t>
            </w:r>
          </w:p>
        </w:tc>
        <w:tc>
          <w:tcPr>
            <w:tcW w:w="401" w:type="pct"/>
            <w:tcBorders>
              <w:top w:val="nil"/>
              <w:left w:val="nil"/>
              <w:bottom w:val="nil"/>
              <w:right w:val="nil"/>
            </w:tcBorders>
            <w:noWrap/>
            <w:vAlign w:val="center"/>
          </w:tcPr>
          <w:p w14:paraId="4DE84CC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63D7385A"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5299B367"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6D84670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45 (34-56) VS 54 (43-65)</w:t>
            </w:r>
          </w:p>
        </w:tc>
        <w:tc>
          <w:tcPr>
            <w:tcW w:w="486" w:type="pct"/>
            <w:tcBorders>
              <w:top w:val="nil"/>
              <w:left w:val="nil"/>
              <w:bottom w:val="nil"/>
              <w:right w:val="nil"/>
            </w:tcBorders>
            <w:noWrap/>
            <w:vAlign w:val="center"/>
          </w:tcPr>
          <w:p w14:paraId="0B719E5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NA</w:t>
            </w:r>
          </w:p>
        </w:tc>
        <w:tc>
          <w:tcPr>
            <w:tcW w:w="484" w:type="pct"/>
            <w:tcBorders>
              <w:top w:val="nil"/>
              <w:left w:val="nil"/>
              <w:right w:val="nil"/>
            </w:tcBorders>
            <w:vAlign w:val="center"/>
          </w:tcPr>
          <w:p w14:paraId="20D4099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7.8(range: 0.1-16.7) VS 8.3(range :0.1-20.2)</w:t>
            </w:r>
          </w:p>
        </w:tc>
      </w:tr>
      <w:tr w:rsidR="006D1C3F" w14:paraId="03407DC1" w14:textId="77777777">
        <w:trPr>
          <w:trHeight w:val="652"/>
        </w:trPr>
        <w:tc>
          <w:tcPr>
            <w:tcW w:w="454" w:type="pct"/>
            <w:tcBorders>
              <w:top w:val="nil"/>
              <w:left w:val="nil"/>
              <w:bottom w:val="nil"/>
              <w:right w:val="nil"/>
            </w:tcBorders>
            <w:noWrap/>
            <w:vAlign w:val="center"/>
          </w:tcPr>
          <w:p w14:paraId="5A70F689" w14:textId="77777777" w:rsidR="006D1C3F" w:rsidRDefault="00000000">
            <w:pPr>
              <w:ind w:firstLineChars="0" w:firstLine="0"/>
              <w:rPr>
                <w:b w:val="0"/>
                <w:bCs w:val="0"/>
                <w:sz w:val="18"/>
                <w:szCs w:val="18"/>
              </w:rPr>
            </w:pPr>
            <w:r>
              <w:rPr>
                <w:b w:val="0"/>
                <w:bCs w:val="0"/>
                <w:sz w:val="18"/>
                <w:szCs w:val="18"/>
              </w:rPr>
              <w:t>Yang2017</w:t>
            </w:r>
            <w:r>
              <w:rPr>
                <w:b w:val="0"/>
                <w:bCs w:val="0"/>
                <w:sz w:val="18"/>
                <w:szCs w:val="18"/>
              </w:rPr>
              <w:fldChar w:fldCharType="begin"/>
            </w:r>
            <w:r>
              <w:rPr>
                <w:b w:val="0"/>
                <w:bCs w:val="0"/>
                <w:sz w:val="18"/>
                <w:szCs w:val="18"/>
              </w:rPr>
              <w:instrText xml:space="preserve"> ADDIN ZOTERO_ITEM CSL_CITATION {"citationID":"MGnBe9Qd","properties":{"formattedCitation":"(11)","plainCitation":"(11)","noteIndex":0},"citationItems":[{"id":362,"uris":["http://zotero.org/users/local/eBJtW3GH/items/VTE2T6EA"],"itemData":{"id":362,"type":"article-journal","abstract":"BACKGROUND: Ensartinib is a potent new-generation ALK inhibitor with high activity against a broad range of known crizotinib-resistant ALK mutations and CNS metastases. We aimed to assess the efficacy and safety of ensartinib in ALK-positive patients with non-small-cell lung cancer (NSCLC), in whom crizotinib therapy was unsuccessful. The associations between ensartinib efficacy and crizotinib-resistant mutations were also explored.\nMETHODS: We did a single-arm, open-label, phase 2 study at 27 centres in China. Patients were aged 18 years or older, had stage IIIb or stage IV ALK-positive NSCLC that had progressed while they were on crizotinib therapy, an Eastern Cooperative Oncology Group performance status of 2 or less, had measurable disease, and had received fewer than three previous treatments. Patients with CNS metastases were included if these metastases were asymptomatic and did not require steroid therapy. All patients received 225 mg ensartinib orally once daily on a continuous dosing schedule. The primary outcome was the proportion of patients with an objective response according to the Response Evaluation Criteria in Solid Tumors (version 1.1), as assessed by an independent review committee in all patients who received at least one dose of ensartinib with no major violations of the inclusion criteria (ie, the full analysis set). Safety was assessed in all enrolled patients who received at least one dose of ensartinib. This trial was registered with ClinicalTrials.gov, NCT03215693.\nFINDINGS: Between Sept 28, 2017, and April 11, 2018, 160 patients were enrolled and had at least one dose of ensartinib (safety analysis set). Four patients had inclusion violations and were excluded from the efficacy analysis, which thus included 156 patients (full analysis set). 97 (62%) patients in the full analysis set had brain metastases. 76 (52% [95% CI 43-60]) of 147 patients in the full analysis set, with responses that could be assessed by the independent review committee, had an objective response. 28 (70% [53-83]) of 40 patients with measurable brain metastases as assessed by the independent review committee had an intracranial objective response. 145 (91%) of 160 patients had at least one treatment-related adverse event, which were mostly grade 1 or 2. The most common treatment-related adverse events were rash (89 [56%]), increased alanine aminotransferase concentrations (74 [46%]), and increased aspartate aminotransferase concentrations (65 [41%]).\nINTERPRETATION: Ensartinib has activity and is well tolerated in patients with crizotinib-refractory, ALK-positive NSCLC, including those with brain metastases. The role of ensartinib in patients in whom other second-generation ALK inhibitors have been unsuccessful warrants further studies.\nFUNDING: Betta Pharmaceuticals.","container-title":"The Lancet. Respiratory Medicine","DOI":"10.1016/S2213-2600(19)30252-8","ISSN":"2213-2619","issue":"1","journalAbbreviation":"Lancet Respir Med","language":"en","note":"PMID: 31628085","page":"45-53","source":"PubMed","title":"Efficacy, safety, and biomarker analysis of ensartinib in crizotinib-resistant, ALK-positive non-small-cell lung cancer: a multicentre, phase 2 trial","title-short":"Efficacy, safety, and biomarker analysis of ensartinib in crizotinib-resistant, ALK-positive non-small-cell lung cancer","volume":"8","author":[{"family":"Yang","given":"Yunpeng"},{"family":"Zhou","given":"Jianya"},{"family":"Zhou","given":"Jianying"},{"family":"Feng","given":"Jifeng"},{"family":"Zhuang","given":"Wu"},{"family":"Chen","given":"Jianhua"},{"family":"Zhao","given":"Jun"},{"family":"Zhong","given":"Wei"},{"family":"Zhao","given":"Yanqiu"},{"family":"Zhang","given":"Yiping"},{"family":"Song","given":"Yong"},{"family":"Hu","given":"Yi"},{"family":"Yu","given":"Zhuang"},{"family":"Gong","given":"Youling"},{"family":"Chen","given":"Yuan"},{"family":"Ye","given":"Feng"},{"family":"Zhang","given":"Shucai"},{"family":"Cao","given":"Lejie"},{"family":"Fan","given":"Yun"},{"family":"Wu","given":"Gang"},{"family":"Guo","given":"Yubiao"},{"family":"Zhou","given":"Chengzhi"},{"family":"Ma","given":"Kewei"},{"family":"Fang","given":"Jian"},{"family":"Feng","given":"Weineng"},{"family":"Liu","given":"Yunpeng"},{"family":"Zheng","given":"Zhendong"},{"family":"Li","given":"Gaofeng"},{"family":"Wu","given":"Ning"},{"family":"Song","given":"Wei"},{"family":"Liu","given":"Xiaoqing"},{"family":"Zhao","given":"Shijun"},{"family":"Ding","given":"Lieming"},{"family":"Mao","given":"Li"},{"family":"Selvaggi","given":"Giovanni"},{"family":"Yuan","given":"Xiaobin"},{"family":"Fu","given":"Yuanqing"},{"family":"Wang","given":"Tao"},{"family":"Xiao","given":"Shanshan"},{"family":"Zhang","given":"Li"}],"issued":{"date-parts":[["2020",1]]}}}],"schema":"https://github.com/citation-style-language/schema/raw/master/csl-citation.json"} </w:instrText>
            </w:r>
            <w:r>
              <w:rPr>
                <w:b w:val="0"/>
                <w:bCs w:val="0"/>
                <w:sz w:val="18"/>
                <w:szCs w:val="18"/>
              </w:rPr>
              <w:fldChar w:fldCharType="separate"/>
            </w:r>
            <w:r>
              <w:rPr>
                <w:b w:val="0"/>
                <w:bCs w:val="0"/>
                <w:sz w:val="18"/>
              </w:rPr>
              <w:t>[11]</w:t>
            </w:r>
            <w:r>
              <w:rPr>
                <w:b w:val="0"/>
                <w:bCs w:val="0"/>
                <w:sz w:val="18"/>
                <w:szCs w:val="18"/>
              </w:rPr>
              <w:fldChar w:fldCharType="end"/>
            </w:r>
          </w:p>
        </w:tc>
        <w:tc>
          <w:tcPr>
            <w:tcW w:w="714" w:type="pct"/>
            <w:tcBorders>
              <w:top w:val="nil"/>
              <w:left w:val="nil"/>
              <w:bottom w:val="nil"/>
              <w:right w:val="nil"/>
            </w:tcBorders>
            <w:noWrap/>
            <w:vAlign w:val="center"/>
          </w:tcPr>
          <w:p w14:paraId="3AAECE12"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Ensartinib</w:t>
            </w:r>
            <w:proofErr w:type="spellEnd"/>
          </w:p>
        </w:tc>
        <w:tc>
          <w:tcPr>
            <w:tcW w:w="711" w:type="pct"/>
            <w:tcBorders>
              <w:top w:val="nil"/>
              <w:left w:val="nil"/>
              <w:bottom w:val="nil"/>
              <w:right w:val="nil"/>
            </w:tcBorders>
            <w:noWrap/>
            <w:vAlign w:val="center"/>
          </w:tcPr>
          <w:p w14:paraId="5F2467D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156</w:t>
            </w:r>
          </w:p>
        </w:tc>
        <w:tc>
          <w:tcPr>
            <w:tcW w:w="401" w:type="pct"/>
            <w:tcBorders>
              <w:top w:val="nil"/>
              <w:left w:val="nil"/>
              <w:bottom w:val="nil"/>
              <w:right w:val="nil"/>
            </w:tcBorders>
            <w:noWrap/>
            <w:vAlign w:val="center"/>
          </w:tcPr>
          <w:p w14:paraId="12B0CB7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tcBorders>
              <w:top w:val="nil"/>
              <w:left w:val="nil"/>
              <w:bottom w:val="nil"/>
              <w:right w:val="nil"/>
            </w:tcBorders>
            <w:noWrap/>
            <w:vAlign w:val="center"/>
          </w:tcPr>
          <w:p w14:paraId="237A9A0E"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3174CE4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691B10D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52 (43-60)</w:t>
            </w:r>
          </w:p>
        </w:tc>
        <w:tc>
          <w:tcPr>
            <w:tcW w:w="486" w:type="pct"/>
            <w:tcBorders>
              <w:top w:val="nil"/>
              <w:left w:val="nil"/>
              <w:bottom w:val="nil"/>
              <w:right w:val="nil"/>
            </w:tcBorders>
            <w:noWrap/>
            <w:vAlign w:val="center"/>
          </w:tcPr>
          <w:p w14:paraId="4E6158F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26</w:t>
            </w:r>
          </w:p>
        </w:tc>
        <w:tc>
          <w:tcPr>
            <w:tcW w:w="484" w:type="pct"/>
            <w:tcBorders>
              <w:top w:val="nil"/>
              <w:left w:val="nil"/>
              <w:bottom w:val="nil"/>
              <w:right w:val="nil"/>
            </w:tcBorders>
            <w:vAlign w:val="center"/>
          </w:tcPr>
          <w:p w14:paraId="079F3EF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9.8(IQR 4.2-14)</w:t>
            </w:r>
          </w:p>
        </w:tc>
      </w:tr>
      <w:tr w:rsidR="006D1C3F" w14:paraId="119B14BA" w14:textId="77777777">
        <w:trPr>
          <w:trHeight w:val="652"/>
        </w:trPr>
        <w:tc>
          <w:tcPr>
            <w:tcW w:w="454" w:type="pct"/>
            <w:vMerge w:val="restart"/>
            <w:tcBorders>
              <w:top w:val="nil"/>
              <w:left w:val="nil"/>
              <w:bottom w:val="nil"/>
              <w:right w:val="nil"/>
            </w:tcBorders>
            <w:noWrap/>
            <w:vAlign w:val="center"/>
          </w:tcPr>
          <w:p w14:paraId="5C2502AB" w14:textId="77777777" w:rsidR="006D1C3F" w:rsidRDefault="00000000">
            <w:pPr>
              <w:ind w:firstLineChars="0" w:firstLine="0"/>
              <w:rPr>
                <w:b w:val="0"/>
                <w:bCs w:val="0"/>
                <w:sz w:val="18"/>
                <w:szCs w:val="18"/>
              </w:rPr>
            </w:pPr>
            <w:r>
              <w:rPr>
                <w:b w:val="0"/>
                <w:bCs w:val="0"/>
                <w:sz w:val="18"/>
                <w:szCs w:val="18"/>
              </w:rPr>
              <w:t>NCT01970865</w:t>
            </w:r>
            <w:r>
              <w:rPr>
                <w:b w:val="0"/>
                <w:bCs w:val="0"/>
                <w:sz w:val="18"/>
                <w:szCs w:val="18"/>
              </w:rPr>
              <w:fldChar w:fldCharType="begin"/>
            </w:r>
            <w:r>
              <w:rPr>
                <w:b w:val="0"/>
                <w:bCs w:val="0"/>
                <w:sz w:val="18"/>
                <w:szCs w:val="18"/>
              </w:rPr>
              <w:instrText xml:space="preserve"> ADDIN ZOTERO_ITEM CSL_CITATION {"citationID":"7T0fWl14","properties":{"formattedCitation":"(12)","plainCitation":"(12)","noteIndex":0},"citationItems":[{"id":365,"uris":["http://zotero.org/users/local/eBJtW3GH/items/M2LLHISF"],"itemData":{"id":365,"type":"article-journal","abstract":"BACKGROUND: Lorlatinib is a potent, brain-penetrant, third-generation inhibitor of ALK and ROS1 tyrosine kinases with broad coverage of ALK mutations. In a phase 1 study, activity was seen in patients with ALK-positive non-small-cell lung cancer, most of whom had CNS metastases and progression after ALK-directed therapy. We aimed to analyse the overall and intracranial antitumour activity of lorlatinib in patients with ALK-positive, advanced non-small-cell lung cancer.\nMETHODS: In this phase 2 study, patients with histologically or cytologically ALK-positive or ROS1-positive, advanced, non-small-cell lung cancer, with or without CNS metastases, with an Eastern Cooperative Oncology Group performance status of 0, 1, or 2, and adequate end-organ function were eligible. Patients were enrolled into six different expansion cohorts (EXP1-6) on the basis of ALK and ROS1 status and previous therapy, and were given lorlatinib 100 mg orally once daily continuously in 21-day cycles. The primary endpoint was overall and intracranial tumour response by independent central review, assessed in pooled subgroups of ALK-positive patients. Analyses of activity and safety were based on the safety analysis set (ie, all patients who received at least one dose of lorlatinib) as assessed by independent central review. Patients with measurable CNS metastases at baseline by independent central review were included in the intracranial activity analyses. In this report, we present lorlatinib activity data for the ALK-positive patients (EXP1-5 only), and safety data for all treated patients (EXP1-6). This study is ongoing and is registered with ClinicalTrials.gov, number NCT01970865.\nFINDINGS: Between Sept 15, 2015, and Oct 3, 2016, 276 patients were enrolled: 30 who were ALK positive and treatment naive (EXP1); 59 who were ALK positive and received previous crizotinib without (n=27; EXP2) or with (n=32; EXP3A) previous chemotherapy; 28 who were ALK positive and received one previous non-crizotinib ALK tyrosine kinase inhibitor, with or without chemotherapy (EXP3B); 112 who were ALK positive with two (n=66; EXP4) or three (n=46; EXP5) previous ALK tyrosine kinase inhibitors with or without chemotherapy; and 47 who were ROS1 positive with any previous treatment (EXP6). One patient in EXP4 died before receiving lorlatinib and was excluded from the safety analysis set. In treatment-naive patients (EXP1), an objective response was achieved in 27 (90·0%; 95% CI 73·5-97·9) of 30 patients. Three patients in EXP1 had measurable baseline CNS lesions per independent central review, and objective intracranial responses were observed in two (66·7%; 95% CI 9·4-99·2). In ALK-positive patients with at least one previous ALK tyrosine kinase inhibitor (EXP2-5), objective responses were achieved in 93 (47·0%; 39·9-54·2) of 198 patients and objective intracranial response in those with measurable baseline CNS lesions in 51 (63·0%; 51·5-73·4) of 81 patients. Objective response was achieved in 41 (69·5%; 95% CI 56·1-80·8) of 59 patients who had only received previous crizotinib (EXP2-3A), nine (32·1%; 15·9-52·4) of 28 patients with one previous non-crizotinib ALK tyrosine kinase inhibitor (EXP3B), and 43 (38·7%; 29·6-48·5) of 111 patients with two or more previous ALK tyrosine kinase inhibitors (EXP4-5). Objective intracranial response was achieved in 20 (87·0%; 95% CI 66·4-97·2) of 23 patients with measurable baseline CNS lesions in EXP2-3A, five (55·6%; 21·2-86·3) of nine patients in EXP3B, and 26 (53·1%; 38·3-67·5) of 49 patients in EXP4-5. The most common treatment-related adverse events across all patients were hypercholesterolaemia (224 [81%] of 275 patients overall and 43 [16%] grade 3-4) and hypertriglyceridaemia (166 [60%] overall and 43 [16%] grade 3-4). Serious treatment-related adverse events occurred in 19 (7%) of 275 patients and seven patients (3%) permanently discontinued treatment because of treatment-related adverse events. No treatment-related deaths were reported.\nINTERPRETATION: Consistent with its broad ALK mutational coverage and CNS penetration, lorlatinib showed substantial overall and intracranial activity both in treatment-naive patients with ALK-positive non-small-cell lung cancer, and in those who had progressed on crizotinib, second-generation ALK tyrosine kinase inhibitors, or after up to three previous ALK tyrosine kinase inhibitors. Thus, lorlatinib could represent an effective treatment option for patients with ALK-positive non-small-cell lung cancer in first-line or subsequent therapy.\nFUNDING: Pfizer.","container-title":"The Lancet. Oncology","DOI":"10.1016/S1470-2045(18)30649-1","ISSN":"1474-5488","issue":"12","journalAbbreviation":"Lancet Oncol","language":"en","note":"PMID: 30413378","page":"1654-1667","source":"PubMed","title":"Lorlatinib in patients with ALK-positive non-small-cell lung cancer: results from a global phase 2 study","title-short":"Lorlatinib in patients with ALK-positive non-small-cell lung cancer","volume":"19","author":[{"family":"Solomon","given":"Benjamin J."},{"family":"Besse","given":"Benjamin"},{"family":"Bauer","given":"Todd M."},{"family":"Felip","given":"Enriqueta"},{"family":"Soo","given":"Ross A."},{"family":"Camidge","given":"D. Ross"},{"family":"Chiari","given":"Rita"},{"family":"Bearz","given":"Alessandra"},{"family":"Lin","given":"Chia-Chi"},{"family":"Gadgeel","given":"Shirish M."},{"family":"Riely","given":"Gregory J."},{"family":"Tan","given":"Eng Huat"},{"family":"Seto","given":"Takashi"},{"family":"James","given":"Leonard P."},{"family":"Clancy","given":"Jill S."},{"family":"Abbattista","given":"Antonello"},{"family":"Martini","given":"Jean-François"},{"family":"Chen","given":"Joseph"},{"family":"Peltz","given":"Gerson"},{"family":"Thurm","given":"Holger"},{"family":"Ou","given":"Sai-Hong Ignatius"},{"family":"Shaw","given":"Alice T."}],"issued":{"date-parts":[["2018",12]]}}}],"schema":"https://github.com/citation-style-language/schema/raw/master/csl-citation.json"} </w:instrText>
            </w:r>
            <w:r>
              <w:rPr>
                <w:b w:val="0"/>
                <w:bCs w:val="0"/>
                <w:sz w:val="18"/>
                <w:szCs w:val="18"/>
              </w:rPr>
              <w:fldChar w:fldCharType="separate"/>
            </w:r>
            <w:r>
              <w:rPr>
                <w:b w:val="0"/>
                <w:bCs w:val="0"/>
                <w:sz w:val="18"/>
              </w:rPr>
              <w:t>[12]</w:t>
            </w:r>
            <w:r>
              <w:rPr>
                <w:b w:val="0"/>
                <w:bCs w:val="0"/>
                <w:sz w:val="18"/>
                <w:szCs w:val="18"/>
              </w:rPr>
              <w:fldChar w:fldCharType="end"/>
            </w:r>
          </w:p>
        </w:tc>
        <w:tc>
          <w:tcPr>
            <w:tcW w:w="714" w:type="pct"/>
            <w:vMerge w:val="restart"/>
            <w:tcBorders>
              <w:top w:val="nil"/>
              <w:left w:val="nil"/>
              <w:bottom w:val="nil"/>
              <w:right w:val="nil"/>
            </w:tcBorders>
            <w:noWrap/>
            <w:vAlign w:val="center"/>
          </w:tcPr>
          <w:p w14:paraId="12E444C0"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Lorlatinib</w:t>
            </w:r>
            <w:proofErr w:type="spellEnd"/>
          </w:p>
        </w:tc>
        <w:tc>
          <w:tcPr>
            <w:tcW w:w="711" w:type="pct"/>
            <w:tcBorders>
              <w:top w:val="nil"/>
              <w:left w:val="nil"/>
              <w:bottom w:val="nil"/>
              <w:right w:val="nil"/>
            </w:tcBorders>
            <w:noWrap/>
            <w:vAlign w:val="center"/>
          </w:tcPr>
          <w:p w14:paraId="5A2E301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28</w:t>
            </w:r>
            <w:r>
              <w:rPr>
                <w:rFonts w:cstheme="minorBidi" w:hint="eastAsia"/>
                <w:b w:val="0"/>
                <w:bCs w:val="0"/>
                <w:sz w:val="18"/>
                <w:szCs w:val="18"/>
              </w:rPr>
              <w:t>（</w:t>
            </w:r>
            <w:r>
              <w:rPr>
                <w:rFonts w:cstheme="minorBidi" w:hint="eastAsia"/>
                <w:b w:val="0"/>
                <w:bCs w:val="0"/>
                <w:sz w:val="18"/>
                <w:szCs w:val="18"/>
              </w:rPr>
              <w:t>EXP3B</w:t>
            </w:r>
            <w:r>
              <w:rPr>
                <w:rFonts w:cstheme="minorBidi" w:hint="eastAsia"/>
                <w:b w:val="0"/>
                <w:bCs w:val="0"/>
                <w:sz w:val="18"/>
                <w:szCs w:val="18"/>
              </w:rPr>
              <w:t>）</w:t>
            </w:r>
          </w:p>
        </w:tc>
        <w:tc>
          <w:tcPr>
            <w:tcW w:w="401" w:type="pct"/>
            <w:vMerge w:val="restart"/>
            <w:tcBorders>
              <w:top w:val="nil"/>
              <w:left w:val="nil"/>
              <w:bottom w:val="nil"/>
              <w:right w:val="nil"/>
            </w:tcBorders>
            <w:noWrap/>
            <w:vAlign w:val="center"/>
          </w:tcPr>
          <w:p w14:paraId="38F716D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7A339941"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288B5571"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0459893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32 (16-52)</w:t>
            </w:r>
          </w:p>
        </w:tc>
        <w:tc>
          <w:tcPr>
            <w:tcW w:w="486" w:type="pct"/>
            <w:tcBorders>
              <w:top w:val="nil"/>
              <w:left w:val="nil"/>
              <w:bottom w:val="nil"/>
              <w:right w:val="nil"/>
            </w:tcBorders>
            <w:noWrap/>
            <w:vAlign w:val="center"/>
          </w:tcPr>
          <w:p w14:paraId="79F219E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5.5</w:t>
            </w:r>
          </w:p>
        </w:tc>
        <w:tc>
          <w:tcPr>
            <w:tcW w:w="484" w:type="pct"/>
            <w:tcBorders>
              <w:top w:val="nil"/>
              <w:left w:val="nil"/>
              <w:bottom w:val="nil"/>
              <w:right w:val="nil"/>
            </w:tcBorders>
            <w:vAlign w:val="center"/>
          </w:tcPr>
          <w:p w14:paraId="57D7EC8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w:t>
            </w:r>
            <w:r>
              <w:rPr>
                <w:rFonts w:cstheme="minorBidi" w:hint="eastAsia"/>
                <w:b w:val="0"/>
                <w:bCs w:val="0"/>
                <w:sz w:val="18"/>
                <w:szCs w:val="18"/>
              </w:rPr>
              <w:t>∙</w:t>
            </w:r>
            <w:r>
              <w:rPr>
                <w:rFonts w:cstheme="minorBidi" w:hint="eastAsia"/>
                <w:b w:val="0"/>
                <w:bCs w:val="0"/>
                <w:sz w:val="18"/>
                <w:szCs w:val="18"/>
              </w:rPr>
              <w:t>0 (IQR 5</w:t>
            </w:r>
            <w:r>
              <w:rPr>
                <w:rFonts w:cstheme="minorBidi" w:hint="eastAsia"/>
                <w:b w:val="0"/>
                <w:bCs w:val="0"/>
                <w:sz w:val="18"/>
                <w:szCs w:val="18"/>
              </w:rPr>
              <w:t>·</w:t>
            </w:r>
            <w:r>
              <w:rPr>
                <w:rFonts w:cstheme="minorBidi" w:hint="eastAsia"/>
                <w:b w:val="0"/>
                <w:bCs w:val="0"/>
                <w:sz w:val="18"/>
                <w:szCs w:val="18"/>
              </w:rPr>
              <w:t>6</w:t>
            </w:r>
            <w:r>
              <w:rPr>
                <w:rFonts w:cstheme="minorBidi" w:hint="eastAsia"/>
                <w:b w:val="0"/>
                <w:bCs w:val="0"/>
                <w:sz w:val="18"/>
                <w:szCs w:val="18"/>
              </w:rPr>
              <w:t>–</w:t>
            </w:r>
            <w:r>
              <w:rPr>
                <w:rFonts w:cstheme="minorBidi" w:hint="eastAsia"/>
                <w:b w:val="0"/>
                <w:bCs w:val="0"/>
                <w:sz w:val="18"/>
                <w:szCs w:val="18"/>
              </w:rPr>
              <w:t>8</w:t>
            </w:r>
            <w:r>
              <w:rPr>
                <w:rFonts w:cstheme="minorBidi" w:hint="eastAsia"/>
                <w:b w:val="0"/>
                <w:bCs w:val="0"/>
                <w:sz w:val="18"/>
                <w:szCs w:val="18"/>
              </w:rPr>
              <w:t>·</w:t>
            </w:r>
            <w:r>
              <w:rPr>
                <w:rFonts w:cstheme="minorBidi" w:hint="eastAsia"/>
                <w:b w:val="0"/>
                <w:bCs w:val="0"/>
                <w:sz w:val="18"/>
                <w:szCs w:val="18"/>
              </w:rPr>
              <w:t>3)</w:t>
            </w:r>
          </w:p>
        </w:tc>
      </w:tr>
      <w:tr w:rsidR="006D1C3F" w14:paraId="57A1FDDB" w14:textId="77777777">
        <w:trPr>
          <w:trHeight w:val="652"/>
        </w:trPr>
        <w:tc>
          <w:tcPr>
            <w:tcW w:w="454" w:type="pct"/>
            <w:vMerge/>
            <w:tcBorders>
              <w:top w:val="nil"/>
              <w:left w:val="nil"/>
              <w:bottom w:val="nil"/>
              <w:right w:val="nil"/>
            </w:tcBorders>
            <w:noWrap/>
            <w:vAlign w:val="center"/>
          </w:tcPr>
          <w:p w14:paraId="0576D0D5" w14:textId="77777777" w:rsidR="006D1C3F" w:rsidRDefault="006D1C3F">
            <w:pPr>
              <w:ind w:firstLine="360"/>
              <w:jc w:val="center"/>
              <w:rPr>
                <w:b w:val="0"/>
                <w:bCs w:val="0"/>
                <w:sz w:val="18"/>
                <w:szCs w:val="18"/>
              </w:rPr>
            </w:pPr>
          </w:p>
        </w:tc>
        <w:tc>
          <w:tcPr>
            <w:tcW w:w="714" w:type="pct"/>
            <w:vMerge/>
            <w:tcBorders>
              <w:top w:val="nil"/>
              <w:left w:val="nil"/>
              <w:bottom w:val="nil"/>
              <w:right w:val="nil"/>
            </w:tcBorders>
            <w:noWrap/>
            <w:vAlign w:val="center"/>
          </w:tcPr>
          <w:p w14:paraId="3A3623C4" w14:textId="77777777" w:rsidR="006D1C3F" w:rsidRDefault="006D1C3F">
            <w:pPr>
              <w:ind w:firstLine="360"/>
              <w:jc w:val="center"/>
              <w:rPr>
                <w:rFonts w:cstheme="minorBidi"/>
                <w:b w:val="0"/>
                <w:bCs w:val="0"/>
                <w:sz w:val="18"/>
                <w:szCs w:val="18"/>
              </w:rPr>
            </w:pPr>
          </w:p>
        </w:tc>
        <w:tc>
          <w:tcPr>
            <w:tcW w:w="711" w:type="pct"/>
            <w:tcBorders>
              <w:top w:val="nil"/>
              <w:left w:val="nil"/>
              <w:bottom w:val="nil"/>
              <w:right w:val="nil"/>
            </w:tcBorders>
            <w:noWrap/>
            <w:vAlign w:val="center"/>
          </w:tcPr>
          <w:p w14:paraId="4A06EC5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59</w:t>
            </w:r>
            <w:r>
              <w:rPr>
                <w:rFonts w:cstheme="minorBidi" w:hint="eastAsia"/>
                <w:b w:val="0"/>
                <w:bCs w:val="0"/>
                <w:sz w:val="18"/>
                <w:szCs w:val="18"/>
              </w:rPr>
              <w:t>（</w:t>
            </w:r>
            <w:r>
              <w:rPr>
                <w:rFonts w:cstheme="minorBidi" w:hint="eastAsia"/>
                <w:b w:val="0"/>
                <w:bCs w:val="0"/>
                <w:sz w:val="18"/>
                <w:szCs w:val="18"/>
              </w:rPr>
              <w:t>EXP2-3A</w:t>
            </w:r>
            <w:r>
              <w:rPr>
                <w:rFonts w:cstheme="minorBidi" w:hint="eastAsia"/>
                <w:b w:val="0"/>
                <w:bCs w:val="0"/>
                <w:sz w:val="18"/>
                <w:szCs w:val="18"/>
              </w:rPr>
              <w:t>）</w:t>
            </w:r>
          </w:p>
        </w:tc>
        <w:tc>
          <w:tcPr>
            <w:tcW w:w="401" w:type="pct"/>
            <w:vMerge/>
            <w:tcBorders>
              <w:top w:val="nil"/>
              <w:left w:val="nil"/>
              <w:bottom w:val="nil"/>
              <w:right w:val="nil"/>
            </w:tcBorders>
            <w:noWrap/>
            <w:vAlign w:val="center"/>
          </w:tcPr>
          <w:p w14:paraId="06A6CE02" w14:textId="77777777" w:rsidR="006D1C3F" w:rsidRDefault="006D1C3F">
            <w:pPr>
              <w:ind w:firstLine="360"/>
              <w:jc w:val="center"/>
              <w:rPr>
                <w:rFonts w:cstheme="minorBidi"/>
                <w:b w:val="0"/>
                <w:bCs w:val="0"/>
                <w:sz w:val="18"/>
                <w:szCs w:val="18"/>
              </w:rPr>
            </w:pPr>
          </w:p>
        </w:tc>
        <w:tc>
          <w:tcPr>
            <w:tcW w:w="509" w:type="pct"/>
            <w:tcBorders>
              <w:top w:val="nil"/>
              <w:left w:val="nil"/>
              <w:bottom w:val="nil"/>
              <w:right w:val="nil"/>
            </w:tcBorders>
            <w:noWrap/>
            <w:vAlign w:val="center"/>
          </w:tcPr>
          <w:p w14:paraId="4839DFDE"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6F4E29E0"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24A97B9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70 (56-81)</w:t>
            </w:r>
          </w:p>
        </w:tc>
        <w:tc>
          <w:tcPr>
            <w:tcW w:w="486" w:type="pct"/>
            <w:tcBorders>
              <w:top w:val="nil"/>
              <w:left w:val="nil"/>
              <w:bottom w:val="nil"/>
              <w:right w:val="nil"/>
            </w:tcBorders>
            <w:noWrap/>
            <w:vAlign w:val="center"/>
          </w:tcPr>
          <w:p w14:paraId="14F774E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5.5</w:t>
            </w:r>
          </w:p>
        </w:tc>
        <w:tc>
          <w:tcPr>
            <w:tcW w:w="484" w:type="pct"/>
            <w:tcBorders>
              <w:top w:val="nil"/>
              <w:left w:val="nil"/>
              <w:bottom w:val="nil"/>
              <w:right w:val="nil"/>
            </w:tcBorders>
            <w:vAlign w:val="center"/>
          </w:tcPr>
          <w:p w14:paraId="744D617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w:t>
            </w:r>
            <w:r>
              <w:rPr>
                <w:rFonts w:cstheme="minorBidi" w:hint="eastAsia"/>
                <w:b w:val="0"/>
                <w:bCs w:val="0"/>
                <w:sz w:val="18"/>
                <w:szCs w:val="18"/>
              </w:rPr>
              <w:t>∙</w:t>
            </w:r>
            <w:r>
              <w:rPr>
                <w:rFonts w:cstheme="minorBidi" w:hint="eastAsia"/>
                <w:b w:val="0"/>
                <w:bCs w:val="0"/>
                <w:sz w:val="18"/>
                <w:szCs w:val="18"/>
              </w:rPr>
              <w:t xml:space="preserve">9 (IQR </w:t>
            </w:r>
            <w:r>
              <w:rPr>
                <w:rFonts w:cstheme="minorBidi" w:hint="eastAsia"/>
                <w:b w:val="0"/>
                <w:bCs w:val="0"/>
                <w:sz w:val="18"/>
                <w:szCs w:val="18"/>
              </w:rPr>
              <w:lastRenderedPageBreak/>
              <w:t>4</w:t>
            </w:r>
            <w:r>
              <w:rPr>
                <w:rFonts w:cstheme="minorBidi" w:hint="eastAsia"/>
                <w:b w:val="0"/>
                <w:bCs w:val="0"/>
                <w:sz w:val="18"/>
                <w:szCs w:val="18"/>
              </w:rPr>
              <w:t>·</w:t>
            </w:r>
            <w:r>
              <w:rPr>
                <w:rFonts w:cstheme="minorBidi" w:hint="eastAsia"/>
                <w:b w:val="0"/>
                <w:bCs w:val="0"/>
                <w:sz w:val="18"/>
                <w:szCs w:val="18"/>
              </w:rPr>
              <w:t>2</w:t>
            </w:r>
            <w:r>
              <w:rPr>
                <w:rFonts w:cstheme="minorBidi" w:hint="eastAsia"/>
                <w:b w:val="0"/>
                <w:bCs w:val="0"/>
                <w:sz w:val="18"/>
                <w:szCs w:val="18"/>
              </w:rPr>
              <w:t>–</w:t>
            </w:r>
            <w:r>
              <w:rPr>
                <w:rFonts w:cstheme="minorBidi" w:hint="eastAsia"/>
                <w:b w:val="0"/>
                <w:bCs w:val="0"/>
                <w:sz w:val="18"/>
                <w:szCs w:val="18"/>
              </w:rPr>
              <w:t>7</w:t>
            </w:r>
            <w:r>
              <w:rPr>
                <w:rFonts w:cstheme="minorBidi" w:hint="eastAsia"/>
                <w:b w:val="0"/>
                <w:bCs w:val="0"/>
                <w:sz w:val="18"/>
                <w:szCs w:val="18"/>
              </w:rPr>
              <w:t>∙</w:t>
            </w:r>
            <w:r>
              <w:rPr>
                <w:rFonts w:cstheme="minorBidi" w:hint="eastAsia"/>
                <w:b w:val="0"/>
                <w:bCs w:val="0"/>
                <w:sz w:val="18"/>
                <w:szCs w:val="18"/>
              </w:rPr>
              <w:t>0)</w:t>
            </w:r>
          </w:p>
        </w:tc>
      </w:tr>
      <w:tr w:rsidR="006D1C3F" w14:paraId="3C450D29" w14:textId="77777777">
        <w:trPr>
          <w:trHeight w:val="652"/>
        </w:trPr>
        <w:tc>
          <w:tcPr>
            <w:tcW w:w="454" w:type="pct"/>
            <w:vMerge/>
            <w:tcBorders>
              <w:top w:val="nil"/>
              <w:left w:val="nil"/>
              <w:bottom w:val="nil"/>
              <w:right w:val="nil"/>
            </w:tcBorders>
            <w:noWrap/>
            <w:vAlign w:val="center"/>
          </w:tcPr>
          <w:p w14:paraId="7C94A7BA" w14:textId="77777777" w:rsidR="006D1C3F" w:rsidRDefault="006D1C3F">
            <w:pPr>
              <w:ind w:firstLine="360"/>
              <w:jc w:val="center"/>
              <w:rPr>
                <w:b w:val="0"/>
                <w:bCs w:val="0"/>
                <w:sz w:val="18"/>
                <w:szCs w:val="18"/>
              </w:rPr>
            </w:pPr>
          </w:p>
        </w:tc>
        <w:tc>
          <w:tcPr>
            <w:tcW w:w="714" w:type="pct"/>
            <w:vMerge/>
            <w:tcBorders>
              <w:top w:val="nil"/>
              <w:left w:val="nil"/>
              <w:bottom w:val="nil"/>
              <w:right w:val="nil"/>
            </w:tcBorders>
            <w:noWrap/>
            <w:vAlign w:val="center"/>
          </w:tcPr>
          <w:p w14:paraId="6DF37D5C" w14:textId="77777777" w:rsidR="006D1C3F" w:rsidRDefault="006D1C3F">
            <w:pPr>
              <w:ind w:firstLine="360"/>
              <w:jc w:val="center"/>
              <w:rPr>
                <w:rFonts w:cstheme="minorBidi"/>
                <w:b w:val="0"/>
                <w:bCs w:val="0"/>
                <w:sz w:val="18"/>
                <w:szCs w:val="18"/>
              </w:rPr>
            </w:pPr>
          </w:p>
        </w:tc>
        <w:tc>
          <w:tcPr>
            <w:tcW w:w="711" w:type="pct"/>
            <w:tcBorders>
              <w:top w:val="nil"/>
              <w:left w:val="nil"/>
              <w:bottom w:val="nil"/>
              <w:right w:val="nil"/>
            </w:tcBorders>
            <w:noWrap/>
            <w:vAlign w:val="center"/>
          </w:tcPr>
          <w:p w14:paraId="311D16C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111</w:t>
            </w:r>
            <w:r>
              <w:rPr>
                <w:rFonts w:cstheme="minorBidi" w:hint="eastAsia"/>
                <w:b w:val="0"/>
                <w:bCs w:val="0"/>
                <w:sz w:val="18"/>
                <w:szCs w:val="18"/>
              </w:rPr>
              <w:t>（</w:t>
            </w:r>
            <w:r>
              <w:rPr>
                <w:rFonts w:cstheme="minorBidi" w:hint="eastAsia"/>
                <w:b w:val="0"/>
                <w:bCs w:val="0"/>
                <w:sz w:val="18"/>
                <w:szCs w:val="18"/>
              </w:rPr>
              <w:t>EXP4-5</w:t>
            </w:r>
            <w:r>
              <w:rPr>
                <w:rFonts w:cstheme="minorBidi" w:hint="eastAsia"/>
                <w:b w:val="0"/>
                <w:bCs w:val="0"/>
                <w:sz w:val="18"/>
                <w:szCs w:val="18"/>
              </w:rPr>
              <w:t>）</w:t>
            </w:r>
          </w:p>
        </w:tc>
        <w:tc>
          <w:tcPr>
            <w:tcW w:w="401" w:type="pct"/>
            <w:vMerge/>
            <w:tcBorders>
              <w:top w:val="nil"/>
              <w:left w:val="nil"/>
              <w:bottom w:val="nil"/>
              <w:right w:val="nil"/>
            </w:tcBorders>
            <w:noWrap/>
            <w:vAlign w:val="center"/>
          </w:tcPr>
          <w:p w14:paraId="43FEA5FB" w14:textId="77777777" w:rsidR="006D1C3F" w:rsidRDefault="006D1C3F">
            <w:pPr>
              <w:ind w:firstLine="360"/>
              <w:jc w:val="center"/>
              <w:rPr>
                <w:rFonts w:cstheme="minorBidi"/>
                <w:b w:val="0"/>
                <w:bCs w:val="0"/>
                <w:sz w:val="18"/>
                <w:szCs w:val="18"/>
              </w:rPr>
            </w:pPr>
          </w:p>
        </w:tc>
        <w:tc>
          <w:tcPr>
            <w:tcW w:w="509" w:type="pct"/>
            <w:tcBorders>
              <w:top w:val="nil"/>
              <w:left w:val="nil"/>
              <w:bottom w:val="nil"/>
              <w:right w:val="nil"/>
            </w:tcBorders>
            <w:noWrap/>
            <w:vAlign w:val="center"/>
          </w:tcPr>
          <w:p w14:paraId="1B326D0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788E172F"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7E1C5E4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39 (30-49)</w:t>
            </w:r>
          </w:p>
        </w:tc>
        <w:tc>
          <w:tcPr>
            <w:tcW w:w="486" w:type="pct"/>
            <w:tcBorders>
              <w:top w:val="nil"/>
              <w:left w:val="nil"/>
              <w:bottom w:val="nil"/>
              <w:right w:val="nil"/>
            </w:tcBorders>
            <w:noWrap/>
            <w:vAlign w:val="center"/>
          </w:tcPr>
          <w:p w14:paraId="2158F14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5.5</w:t>
            </w:r>
          </w:p>
        </w:tc>
        <w:tc>
          <w:tcPr>
            <w:tcW w:w="484" w:type="pct"/>
            <w:tcBorders>
              <w:top w:val="nil"/>
              <w:left w:val="nil"/>
              <w:right w:val="nil"/>
            </w:tcBorders>
            <w:vAlign w:val="center"/>
          </w:tcPr>
          <w:p w14:paraId="6C2E036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w:t>
            </w:r>
            <w:r>
              <w:rPr>
                <w:rFonts w:cstheme="minorBidi" w:hint="eastAsia"/>
                <w:b w:val="0"/>
                <w:bCs w:val="0"/>
                <w:sz w:val="18"/>
                <w:szCs w:val="18"/>
              </w:rPr>
              <w:t>∙</w:t>
            </w:r>
            <w:r>
              <w:rPr>
                <w:rFonts w:cstheme="minorBidi" w:hint="eastAsia"/>
                <w:b w:val="0"/>
                <w:bCs w:val="0"/>
                <w:sz w:val="18"/>
                <w:szCs w:val="18"/>
              </w:rPr>
              <w:t>2 (IQR 5</w:t>
            </w:r>
            <w:r>
              <w:rPr>
                <w:rFonts w:cstheme="minorBidi" w:hint="eastAsia"/>
                <w:b w:val="0"/>
                <w:bCs w:val="0"/>
                <w:sz w:val="18"/>
                <w:szCs w:val="18"/>
              </w:rPr>
              <w:t>·</w:t>
            </w:r>
            <w:r>
              <w:rPr>
                <w:rFonts w:cstheme="minorBidi" w:hint="eastAsia"/>
                <w:b w:val="0"/>
                <w:bCs w:val="0"/>
                <w:sz w:val="18"/>
                <w:szCs w:val="18"/>
              </w:rPr>
              <w:t>6</w:t>
            </w:r>
            <w:r>
              <w:rPr>
                <w:rFonts w:cstheme="minorBidi" w:hint="eastAsia"/>
                <w:b w:val="0"/>
                <w:bCs w:val="0"/>
                <w:sz w:val="18"/>
                <w:szCs w:val="18"/>
              </w:rPr>
              <w:t>–</w:t>
            </w:r>
            <w:r>
              <w:rPr>
                <w:rFonts w:cstheme="minorBidi" w:hint="eastAsia"/>
                <w:b w:val="0"/>
                <w:bCs w:val="0"/>
                <w:sz w:val="18"/>
                <w:szCs w:val="18"/>
              </w:rPr>
              <w:t>9</w:t>
            </w:r>
            <w:r>
              <w:rPr>
                <w:rFonts w:cstheme="minorBidi" w:hint="eastAsia"/>
                <w:b w:val="0"/>
                <w:bCs w:val="0"/>
                <w:sz w:val="18"/>
                <w:szCs w:val="18"/>
              </w:rPr>
              <w:t>·</w:t>
            </w:r>
            <w:r>
              <w:rPr>
                <w:rFonts w:cstheme="minorBidi" w:hint="eastAsia"/>
                <w:b w:val="0"/>
                <w:bCs w:val="0"/>
                <w:sz w:val="18"/>
                <w:szCs w:val="18"/>
              </w:rPr>
              <w:t>8)</w:t>
            </w:r>
          </w:p>
        </w:tc>
      </w:tr>
      <w:tr w:rsidR="006D1C3F" w14:paraId="3AED710C" w14:textId="77777777">
        <w:trPr>
          <w:trHeight w:val="652"/>
        </w:trPr>
        <w:tc>
          <w:tcPr>
            <w:tcW w:w="454" w:type="pct"/>
            <w:tcBorders>
              <w:top w:val="nil"/>
              <w:left w:val="nil"/>
              <w:bottom w:val="nil"/>
              <w:right w:val="nil"/>
            </w:tcBorders>
            <w:noWrap/>
            <w:vAlign w:val="center"/>
          </w:tcPr>
          <w:p w14:paraId="4016C539" w14:textId="77777777" w:rsidR="006D1C3F" w:rsidRDefault="00000000">
            <w:pPr>
              <w:ind w:firstLineChars="0" w:firstLine="0"/>
              <w:rPr>
                <w:b w:val="0"/>
                <w:bCs w:val="0"/>
                <w:sz w:val="18"/>
                <w:szCs w:val="18"/>
              </w:rPr>
            </w:pPr>
            <w:r>
              <w:rPr>
                <w:b w:val="0"/>
                <w:bCs w:val="0"/>
                <w:sz w:val="18"/>
                <w:szCs w:val="18"/>
              </w:rPr>
              <w:t>AF-001JP</w:t>
            </w:r>
            <w:r>
              <w:rPr>
                <w:b w:val="0"/>
                <w:bCs w:val="0"/>
                <w:sz w:val="18"/>
                <w:szCs w:val="18"/>
              </w:rPr>
              <w:fldChar w:fldCharType="begin"/>
            </w:r>
            <w:r>
              <w:rPr>
                <w:b w:val="0"/>
                <w:bCs w:val="0"/>
                <w:sz w:val="18"/>
                <w:szCs w:val="18"/>
              </w:rPr>
              <w:instrText xml:space="preserve"> ADDIN ZOTERO_ITEM CSL_CITATION {"citationID":"yzVmhHjW","properties":{"formattedCitation":"(13)","plainCitation":"(13)","noteIndex":0},"citationItems":[{"id":368,"uris":["http://zotero.org/users/local/eBJtW3GH/items/XX3ZWUG4"],"itemData":{"id":368,"type":"article-journal","abstract":"Purpose Alectinib is an anaplastic lymphoma kinase (ALK) -specific kinase inhibitor that seems to be effective against non-small-cell lung cancer (NSCLC) with a variety of ALK mutations. The primary analysis of AF-001JP reported a promising overall response rate. To assess progression-free survival (PFS) and overall survival (OS), patients from the phase II part of AF-001JP were followed up for approximately 3 years. Patients and Methods Oral alectinib 300 mg was administered twice per day to patients with ALK inhibitor-naïve, ALK-positive NSCLC who had progressed after one or more regimens of previous chemotherapy. In this long-term follow-up, efficacy (PFS, OS), correlation between tumor shrinkage and PFS, safety of alectinib, and relief of cancer symptoms were evaluated. Results At the updated data cutoff (September 10, 2015; first patient in August 30, 2011, last patient in April 18, 2012), 25 of 46 phase II patients were still receiving alectinib. Disease progression was confirmed in 18 patients (39%); median PFS was not reached (3-year PFS rate, 62%; 95% CI, 45 to 75). Fourteen patients had brain metastases at baseline; of these, 6 remained in the study without CNS and systemic progression. Tumor shrinkage and PFS showed no correlation. The 3-year OS rate was 78% (13 events). The most common treatment-related adverse event (all grades) was increased blood bilirubin (36.2%). Most cancer symptoms were relieved early, and medication for symptoms was dramatically decreased during alectinib therapy. Conclusion Alectinib was effective in this 3-year follow-up with a favorable safety profile over a long administration period in ALK-positive NSCLC without previous ALK inhibitor treatment.","container-title":"Journal of Clinical Oncology: Official Journal of the American Society of Clinical Oncology","DOI":"10.1200/JCO.2016.70.5749","ISSN":"1527-7755","issue":"14","journalAbbreviation":"J Clin Oncol","language":"en","note":"PMID: 28296581\nPMCID: PMC5455704","page":"1515-1521","source":"PubMed","title":"Three-Year Follow-Up of an Alectinib Phase I/II Study in ALK-Positive Non-Small-Cell Lung Cancer: AF-001JP","title-short":"Three-Year Follow-Up of an Alectinib Phase I/II Study in ALK-Positive Non-Small-Cell Lung Cancer","volume":"35","author":[{"family":"Tamura","given":"Tomohide"},{"family":"Kiura","given":"Katsuyuki"},{"family":"Seto","given":"Takashi"},{"family":"Nakagawa","given":"Kazuhiko"},{"family":"Maemondo","given":"Makoto"},{"family":"Inoue","given":"Akira"},{"family":"Hida","given":"Toyoaki"},{"family":"Yoshioka","given":"Hiroshige"},{"family":"Harada","given":"Masao"},{"family":"Ohe","given":"Yuichiro"},{"family":"Nogami","given":"Naoyuki"},{"family":"Murakami","given":"Haruyasu"},{"family":"Kuriki","given":"Hiroshi"},{"family":"Shimada","given":"Tadashi"},{"family":"Tanaka","given":"Tomohiro"},{"family":"Takeuchi","given":"Kengo"},{"family":"Nishio","given":"Makoto"}],"issued":{"date-parts":[["2017",5,10]]}}}],"schema":"https://github.com/citation-style-language/schema/raw/master/csl-citation.json"} </w:instrText>
            </w:r>
            <w:r>
              <w:rPr>
                <w:b w:val="0"/>
                <w:bCs w:val="0"/>
                <w:sz w:val="18"/>
                <w:szCs w:val="18"/>
              </w:rPr>
              <w:fldChar w:fldCharType="separate"/>
            </w:r>
            <w:r>
              <w:rPr>
                <w:b w:val="0"/>
                <w:bCs w:val="0"/>
                <w:sz w:val="18"/>
              </w:rPr>
              <w:t>[13]</w:t>
            </w:r>
            <w:r>
              <w:rPr>
                <w:b w:val="0"/>
                <w:bCs w:val="0"/>
                <w:sz w:val="18"/>
                <w:szCs w:val="18"/>
              </w:rPr>
              <w:fldChar w:fldCharType="end"/>
            </w:r>
          </w:p>
        </w:tc>
        <w:tc>
          <w:tcPr>
            <w:tcW w:w="714" w:type="pct"/>
            <w:tcBorders>
              <w:top w:val="nil"/>
              <w:left w:val="nil"/>
              <w:bottom w:val="nil"/>
              <w:right w:val="nil"/>
            </w:tcBorders>
            <w:noWrap/>
            <w:vAlign w:val="center"/>
          </w:tcPr>
          <w:p w14:paraId="4498E1B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 xml:space="preserve">Low-dose </w:t>
            </w:r>
            <w:proofErr w:type="spellStart"/>
            <w:r>
              <w:rPr>
                <w:rFonts w:cstheme="minorBidi" w:hint="eastAsia"/>
                <w:b w:val="0"/>
                <w:bCs w:val="0"/>
                <w:sz w:val="18"/>
                <w:szCs w:val="18"/>
              </w:rPr>
              <w:t>alectinib</w:t>
            </w:r>
            <w:proofErr w:type="spellEnd"/>
            <w:r>
              <w:rPr>
                <w:rFonts w:cstheme="minorBidi" w:hint="eastAsia"/>
                <w:b w:val="0"/>
                <w:bCs w:val="0"/>
                <w:sz w:val="18"/>
                <w:szCs w:val="18"/>
              </w:rPr>
              <w:t xml:space="preserve"> (300 mg twice daily)</w:t>
            </w:r>
          </w:p>
        </w:tc>
        <w:tc>
          <w:tcPr>
            <w:tcW w:w="711" w:type="pct"/>
            <w:tcBorders>
              <w:top w:val="nil"/>
              <w:left w:val="nil"/>
              <w:bottom w:val="nil"/>
              <w:right w:val="nil"/>
            </w:tcBorders>
            <w:noWrap/>
            <w:vAlign w:val="center"/>
          </w:tcPr>
          <w:p w14:paraId="38170FC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46</w:t>
            </w:r>
          </w:p>
        </w:tc>
        <w:tc>
          <w:tcPr>
            <w:tcW w:w="401" w:type="pct"/>
            <w:tcBorders>
              <w:top w:val="nil"/>
              <w:left w:val="nil"/>
              <w:bottom w:val="nil"/>
              <w:right w:val="nil"/>
            </w:tcBorders>
            <w:noWrap/>
            <w:vAlign w:val="center"/>
          </w:tcPr>
          <w:p w14:paraId="67C616C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tcBorders>
              <w:top w:val="nil"/>
              <w:left w:val="nil"/>
              <w:bottom w:val="nil"/>
              <w:right w:val="nil"/>
            </w:tcBorders>
            <w:noWrap/>
            <w:vAlign w:val="center"/>
          </w:tcPr>
          <w:p w14:paraId="3564619A"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67012935"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3296D56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93.5</w:t>
            </w:r>
            <w:r>
              <w:rPr>
                <w:rFonts w:cstheme="minorBidi" w:hint="eastAsia"/>
                <w:b w:val="0"/>
                <w:bCs w:val="0"/>
                <w:sz w:val="18"/>
                <w:szCs w:val="18"/>
              </w:rPr>
              <w:t>（</w:t>
            </w:r>
            <w:r>
              <w:rPr>
                <w:rFonts w:cstheme="minorBidi" w:hint="eastAsia"/>
                <w:b w:val="0"/>
                <w:bCs w:val="0"/>
                <w:sz w:val="18"/>
                <w:szCs w:val="18"/>
              </w:rPr>
              <w:t>82-99</w:t>
            </w:r>
            <w:r>
              <w:rPr>
                <w:rFonts w:cstheme="minorBidi" w:hint="eastAsia"/>
                <w:b w:val="0"/>
                <w:bCs w:val="0"/>
                <w:sz w:val="18"/>
                <w:szCs w:val="18"/>
              </w:rPr>
              <w:t>）</w:t>
            </w:r>
          </w:p>
        </w:tc>
        <w:tc>
          <w:tcPr>
            <w:tcW w:w="486" w:type="pct"/>
            <w:tcBorders>
              <w:top w:val="nil"/>
              <w:left w:val="nil"/>
              <w:bottom w:val="nil"/>
              <w:right w:val="nil"/>
            </w:tcBorders>
            <w:noWrap/>
            <w:vAlign w:val="center"/>
          </w:tcPr>
          <w:p w14:paraId="5F85D9F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27.6</w:t>
            </w:r>
          </w:p>
        </w:tc>
        <w:tc>
          <w:tcPr>
            <w:tcW w:w="484" w:type="pct"/>
            <w:tcBorders>
              <w:top w:val="nil"/>
              <w:left w:val="nil"/>
              <w:right w:val="nil"/>
            </w:tcBorders>
            <w:vAlign w:val="center"/>
          </w:tcPr>
          <w:p w14:paraId="2D08854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36</w:t>
            </w:r>
          </w:p>
        </w:tc>
      </w:tr>
      <w:tr w:rsidR="006D1C3F" w14:paraId="7B1050C3" w14:textId="77777777">
        <w:trPr>
          <w:trHeight w:val="652"/>
        </w:trPr>
        <w:tc>
          <w:tcPr>
            <w:tcW w:w="454" w:type="pct"/>
            <w:tcBorders>
              <w:top w:val="nil"/>
              <w:left w:val="nil"/>
              <w:bottom w:val="nil"/>
              <w:right w:val="nil"/>
            </w:tcBorders>
            <w:noWrap/>
            <w:vAlign w:val="center"/>
          </w:tcPr>
          <w:p w14:paraId="4216B00D" w14:textId="77777777" w:rsidR="006D1C3F" w:rsidRDefault="00000000">
            <w:pPr>
              <w:ind w:firstLineChars="0" w:firstLine="0"/>
              <w:rPr>
                <w:b w:val="0"/>
                <w:bCs w:val="0"/>
                <w:sz w:val="18"/>
                <w:szCs w:val="18"/>
              </w:rPr>
            </w:pPr>
            <w:r>
              <w:rPr>
                <w:b w:val="0"/>
                <w:bCs w:val="0"/>
                <w:sz w:val="18"/>
                <w:szCs w:val="18"/>
              </w:rPr>
              <w:t>SAI-HONG</w:t>
            </w:r>
            <w:r>
              <w:rPr>
                <w:b w:val="0"/>
                <w:bCs w:val="0"/>
                <w:sz w:val="18"/>
                <w:szCs w:val="18"/>
              </w:rPr>
              <w:fldChar w:fldCharType="begin"/>
            </w:r>
            <w:r>
              <w:rPr>
                <w:b w:val="0"/>
                <w:bCs w:val="0"/>
                <w:sz w:val="18"/>
                <w:szCs w:val="18"/>
              </w:rPr>
              <w:instrText xml:space="preserve"> ADDIN ZOTERO_ITEM CSL_CITATION {"citationID":"Wtu6dlkZ","properties":{"formattedCitation":"(14)","plainCitation":"(14)","noteIndex":0},"citationItems":[{"id":371,"uris":["http://zotero.org/users/local/eBJtW3GH/items/6LB9L897"],"itemData":{"id":371,"type":"article-journal","abstract":"PURPOSE: Crizotinib confers improved progression-free survival compared with chemotherapy in anaplastic lymphoma kinase (ALK)-rearranged non-small-cell lung cancer (NSCLC), but progression invariably occurs. We investigated the efficacy and safety of alectinib, a potent and selective ALK inhibitor with excellent CNS penetration, in patients with crizotinib-refractory ALK-positive NSCLC.\nPATIENTS AND METHODS: Alectinib 600 mg was administered orally twice daily. The primary end point was objective response rate (ORR) by central independent review committee (IRC).\nRESULTS: Of the 138 patients treated, 84 patients (61%) had CNS metastases at baseline, and 122 were response evaluable (RE) by IRC. ORR by IRC was 50% (95% CI, 41% to 59%), and the median duration of response (DOR) was 11.2 months (95% CI, 9.6 months to not reached). In 96 patients (79%) previously treated with chemotherapy, the ORR was 45% (95% CI, 35% to 55%). Median IRC-assessed progression-free survival for all 138 patients was 8.9 months (95% CI, 5.6 to 11.3 months). CNS disease control rate was 83% (95% CI, 74% to 91%), and the median CNS DOR was 10.3 months (95% CI, 7.6 to 11.2 months). CNS ORR in 35 patients with baseline measurable CNS lesions was 57% (95% CI, 39% to 74%). Of the 23 patients with baseline CNS metastases (measurable or nonmeasurable) and no prior radiation, 10 (43%) had a complete CNS response. At 12 months, the cumulative CNS progression rate (24.8%) was lower than the cumulative non-CNS progression rate (33.2%) for all patients. Common adverse events were constipation (33%), fatigue (26%), and peripheral edema (25%); most were grade 1 to 2.\nCONCLUSION: Alectinib is highly active and well tolerated in patients with advanced, crizotinib-refractory ALK-positive NSCLC, including those with CNS metastases.","container-title":"Journal of Clinical Oncology: Official Journal of the American Society of Clinical Oncology","DOI":"10.1200/jco.2015.63.9443","ISSN":"1527-7755","issue":"7","journalAbbreviation":"J Clin Oncol","language":"en","note":"PMID: 26598747","page":"661-668","source":"PubMed","title":"Alectinib in Crizotinib-Refractory ALK-Rearranged Non-Small-Cell Lung Cancer: A Phase II Global Study","title-short":"Alectinib in Crizotinib-Refractory ALK-Rearranged Non-Small-Cell Lung Cancer","volume":"34","author":[{"family":"Ou","given":"Sai-Hong Ignatius"},{"family":"Ahn","given":"Jin Seok"},{"family":"De Petris","given":"Luigi"},{"family":"Govindan","given":"Ramaswamy"},{"family":"Yang","given":"James Chih-Hsin"},{"family":"Hughes","given":"Brett"},{"family":"Lena","given":"Hervé"},{"family":"Moro-Sibilot","given":"Denis"},{"family":"Bearz","given":"Alessandra"},{"family":"Ramirez","given":"Santiago Viteri"},{"family":"Mekhail","given":"Tarek"},{"family":"Spira","given":"Alexander"},{"family":"Bordogna","given":"Walter"},{"family":"Balas","given":"Bogdana"},{"family":"Morcos","given":"Peter N."},{"family":"Monnet","given":"Annabelle"},{"family":"Zeaiter","given":"Ali"},{"family":"Kim","given":"Dong-Wan"}],"issued":{"date-parts":[["2016",3,1]]}}}],"schema":"https://github.com/citation-style-language/schema/raw/master/csl-citation.json"} </w:instrText>
            </w:r>
            <w:r>
              <w:rPr>
                <w:b w:val="0"/>
                <w:bCs w:val="0"/>
                <w:sz w:val="18"/>
                <w:szCs w:val="18"/>
              </w:rPr>
              <w:fldChar w:fldCharType="separate"/>
            </w:r>
            <w:r>
              <w:rPr>
                <w:b w:val="0"/>
                <w:bCs w:val="0"/>
                <w:sz w:val="18"/>
              </w:rPr>
              <w:t>[14]</w:t>
            </w:r>
            <w:r>
              <w:rPr>
                <w:b w:val="0"/>
                <w:bCs w:val="0"/>
                <w:sz w:val="18"/>
                <w:szCs w:val="18"/>
              </w:rPr>
              <w:fldChar w:fldCharType="end"/>
            </w:r>
          </w:p>
        </w:tc>
        <w:tc>
          <w:tcPr>
            <w:tcW w:w="714" w:type="pct"/>
            <w:tcBorders>
              <w:top w:val="nil"/>
              <w:left w:val="nil"/>
              <w:bottom w:val="nil"/>
              <w:right w:val="nil"/>
            </w:tcBorders>
            <w:noWrap/>
            <w:vAlign w:val="center"/>
          </w:tcPr>
          <w:p w14:paraId="7B6CC2A1"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Alectinib</w:t>
            </w:r>
            <w:proofErr w:type="spellEnd"/>
            <w:r>
              <w:rPr>
                <w:rFonts w:cstheme="minorBidi" w:hint="eastAsia"/>
                <w:b w:val="0"/>
                <w:bCs w:val="0"/>
                <w:sz w:val="18"/>
                <w:szCs w:val="18"/>
              </w:rPr>
              <w:t xml:space="preserve"> (600 mg twice daily)</w:t>
            </w:r>
          </w:p>
        </w:tc>
        <w:tc>
          <w:tcPr>
            <w:tcW w:w="711" w:type="pct"/>
            <w:tcBorders>
              <w:top w:val="nil"/>
              <w:left w:val="nil"/>
              <w:bottom w:val="nil"/>
              <w:right w:val="nil"/>
            </w:tcBorders>
            <w:noWrap/>
            <w:vAlign w:val="center"/>
          </w:tcPr>
          <w:p w14:paraId="1673878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138</w:t>
            </w:r>
          </w:p>
        </w:tc>
        <w:tc>
          <w:tcPr>
            <w:tcW w:w="401" w:type="pct"/>
            <w:tcBorders>
              <w:top w:val="nil"/>
              <w:left w:val="nil"/>
              <w:bottom w:val="nil"/>
              <w:right w:val="nil"/>
            </w:tcBorders>
            <w:noWrap/>
            <w:vAlign w:val="center"/>
          </w:tcPr>
          <w:p w14:paraId="69226B2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6875AAB5"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0522BF0B"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718" w:type="pct"/>
            <w:tcBorders>
              <w:top w:val="nil"/>
              <w:left w:val="nil"/>
              <w:bottom w:val="nil"/>
              <w:right w:val="nil"/>
            </w:tcBorders>
            <w:noWrap/>
            <w:vAlign w:val="center"/>
          </w:tcPr>
          <w:p w14:paraId="2107C1F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50</w:t>
            </w:r>
            <w:r>
              <w:rPr>
                <w:rFonts w:cstheme="minorBidi" w:hint="eastAsia"/>
                <w:b w:val="0"/>
                <w:bCs w:val="0"/>
                <w:sz w:val="18"/>
                <w:szCs w:val="18"/>
              </w:rPr>
              <w:t>（</w:t>
            </w:r>
            <w:r>
              <w:rPr>
                <w:rFonts w:cstheme="minorBidi" w:hint="eastAsia"/>
                <w:b w:val="0"/>
                <w:bCs w:val="0"/>
                <w:sz w:val="18"/>
                <w:szCs w:val="18"/>
              </w:rPr>
              <w:t>41-59</w:t>
            </w:r>
            <w:r>
              <w:rPr>
                <w:rFonts w:cstheme="minorBidi" w:hint="eastAsia"/>
                <w:b w:val="0"/>
                <w:bCs w:val="0"/>
                <w:sz w:val="18"/>
                <w:szCs w:val="18"/>
              </w:rPr>
              <w:t>）</w:t>
            </w:r>
          </w:p>
        </w:tc>
        <w:tc>
          <w:tcPr>
            <w:tcW w:w="486" w:type="pct"/>
            <w:tcBorders>
              <w:top w:val="nil"/>
              <w:left w:val="nil"/>
              <w:bottom w:val="nil"/>
              <w:right w:val="nil"/>
            </w:tcBorders>
            <w:noWrap/>
            <w:vAlign w:val="center"/>
          </w:tcPr>
          <w:p w14:paraId="41A8163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NA</w:t>
            </w:r>
          </w:p>
        </w:tc>
        <w:tc>
          <w:tcPr>
            <w:tcW w:w="484" w:type="pct"/>
            <w:tcBorders>
              <w:top w:val="nil"/>
              <w:left w:val="nil"/>
              <w:right w:val="nil"/>
            </w:tcBorders>
            <w:vAlign w:val="center"/>
          </w:tcPr>
          <w:p w14:paraId="68680EE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30(range: 2-53)</w:t>
            </w:r>
          </w:p>
        </w:tc>
      </w:tr>
      <w:tr w:rsidR="006D1C3F" w14:paraId="40E79268" w14:textId="77777777">
        <w:trPr>
          <w:trHeight w:val="652"/>
        </w:trPr>
        <w:tc>
          <w:tcPr>
            <w:tcW w:w="454" w:type="pct"/>
            <w:tcBorders>
              <w:top w:val="nil"/>
              <w:left w:val="nil"/>
              <w:bottom w:val="nil"/>
              <w:right w:val="nil"/>
            </w:tcBorders>
            <w:noWrap/>
            <w:vAlign w:val="center"/>
          </w:tcPr>
          <w:p w14:paraId="3BF7466C" w14:textId="77777777" w:rsidR="006D1C3F" w:rsidRDefault="00000000">
            <w:pPr>
              <w:ind w:firstLineChars="0" w:firstLine="0"/>
              <w:rPr>
                <w:b w:val="0"/>
                <w:bCs w:val="0"/>
                <w:sz w:val="18"/>
                <w:szCs w:val="18"/>
              </w:rPr>
            </w:pPr>
            <w:r>
              <w:rPr>
                <w:b w:val="0"/>
                <w:bCs w:val="0"/>
                <w:sz w:val="18"/>
                <w:szCs w:val="18"/>
              </w:rPr>
              <w:t>ROFILE- 1014</w:t>
            </w:r>
            <w:r>
              <w:rPr>
                <w:b w:val="0"/>
                <w:bCs w:val="0"/>
                <w:sz w:val="18"/>
                <w:szCs w:val="18"/>
              </w:rPr>
              <w:fldChar w:fldCharType="begin"/>
            </w:r>
            <w:r>
              <w:rPr>
                <w:b w:val="0"/>
                <w:bCs w:val="0"/>
                <w:sz w:val="18"/>
                <w:szCs w:val="18"/>
              </w:rPr>
              <w:instrText xml:space="preserve"> ADDIN ZOTERO_ITEM CSL_CITATION {"citationID":"WIlgjTg7","properties":{"formattedCitation":"(15)","plainCitation":"(15)","noteIndex":0},"citationItems":[{"id":374,"uris":["http://zotero.org/users/local/eBJtW3GH/items/8RBZRVPF"],"itemData":{"id":374,"type":"article-journal","abstract":"Purpose The phase III PROFILE 1014 trial compared crizotinib with chemotherapy as first-line treatment in patients with anaplastic lymphoma kinase (ALK) -positive advanced nonsquamous non-small-cell lung cancer. Here, we report the final overall survival (OS) results. Patients and Methods Patients were randomly assigned to receive oral crizotinib 250 mg twice daily (n = 172) or intravenous pemetrexed 500 mg/m2 plus cisplatin 75 mg/m2 or carboplatin (area under the concentration-time curve of 5 to 6 mg·mL/min) every 3 weeks for a maximum of six cycles (n = 171). Crossover to crizotinib was permitted after disease progression. OS was analyzed using a stratified log-rank test and a prespecified rank-preserving structural failure time model to account for crossover. Results Median follow-up duration for OS was approximately 46 months for both arms. In the chemotherapy arm, 144 patients (84.2%) received crizotinib in subsequent lines. Hazard ratio for OS was 0.760 (95% CI, 0.548 to 1.053; two-sided P = .0978). Median OS was not reached (NR) with crizotinib (95% CI, 45.8 months to NR) and 47.5 months with chemotherapy (95% CI, 32.2 months to NR). Survival probability at 4 years was 56.6% (95% CI, 48.3% to 64.1%) with crizotinib and 49.1% (95% CI, 40.5% to 57.1%) with chemotherapy. After crossover adjustment, there was an improvement in OS that favored crizotinib (hazard ratio, 0.346; 95% bootstrap CI, 0.081 to 0.718). The longest OS was observed in crizotinib-treated patients who received a subsequent ALK tyrosine kinase inhibitor. No new safety signals were identified. Conclusion The final analysis of the PROFILE 1014 study provides a new benchmark for OS in patients with ALK-rearranged non-small-cell lung cancer and highlights the benefit of crizotinib for prolonging survival in this patient population.","container-title":"Journal of Clinical Oncology: Official Journal of the American Society of Clinical Oncology","DOI":"10.1200/JCO.2017.77.4794","ISSN":"1527-7755","issue":"22","journalAbbreviation":"J Clin Oncol","language":"en","note":"PMID: 29768118","page":"2251-2258","source":"PubMed","title":"Final Overall Survival Analysis From a Study Comparing First-Line Crizotinib Versus Chemotherapy in ALK-Mutation-Positive Non-Small-Cell Lung Cancer","volume":"36","author":[{"family":"Solomon","given":"Benjamin J."},{"family":"Kim","given":"Dong-Wan"},{"family":"Wu","given":"Yi-Long"},{"family":"Nakagawa","given":"Kazuhiko"},{"family":"Mekhail","given":"Tarek"},{"family":"Felip","given":"Enriqueta"},{"family":"Cappuzzo","given":"Federico"},{"family":"Paolini","given":"Jolanda"},{"family":"Usari","given":"Tiziana"},{"family":"Tang","given":"Yiyun"},{"family":"Wilner","given":"Keith D."},{"family":"Blackhall","given":"Fiona"},{"family":"Mok","given":"Tony S."}],"issued":{"date-parts":[["2018",8,1]]}}}],"schema":"https://github.com/citation-style-language/schema/raw/master/csl-citation.json"} </w:instrText>
            </w:r>
            <w:r>
              <w:rPr>
                <w:b w:val="0"/>
                <w:bCs w:val="0"/>
                <w:sz w:val="18"/>
                <w:szCs w:val="18"/>
              </w:rPr>
              <w:fldChar w:fldCharType="separate"/>
            </w:r>
            <w:r>
              <w:rPr>
                <w:b w:val="0"/>
                <w:bCs w:val="0"/>
                <w:sz w:val="18"/>
              </w:rPr>
              <w:t>[15]</w:t>
            </w:r>
            <w:r>
              <w:rPr>
                <w:b w:val="0"/>
                <w:bCs w:val="0"/>
                <w:sz w:val="18"/>
                <w:szCs w:val="18"/>
              </w:rPr>
              <w:fldChar w:fldCharType="end"/>
            </w:r>
            <w:r>
              <w:rPr>
                <w:b w:val="0"/>
                <w:bCs w:val="0"/>
                <w:sz w:val="18"/>
                <w:szCs w:val="18"/>
              </w:rPr>
              <w:t xml:space="preserve"> </w:t>
            </w:r>
          </w:p>
        </w:tc>
        <w:tc>
          <w:tcPr>
            <w:tcW w:w="714" w:type="pct"/>
            <w:tcBorders>
              <w:top w:val="nil"/>
              <w:left w:val="nil"/>
              <w:bottom w:val="nil"/>
              <w:right w:val="nil"/>
            </w:tcBorders>
            <w:noWrap/>
            <w:vAlign w:val="center"/>
          </w:tcPr>
          <w:p w14:paraId="1855613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Crizotinib VS Pemetrexed + Cisplatin/Carboplatin</w:t>
            </w:r>
          </w:p>
        </w:tc>
        <w:tc>
          <w:tcPr>
            <w:tcW w:w="711" w:type="pct"/>
            <w:tcBorders>
              <w:top w:val="nil"/>
              <w:left w:val="nil"/>
              <w:bottom w:val="nil"/>
              <w:right w:val="nil"/>
            </w:tcBorders>
            <w:noWrap/>
            <w:vAlign w:val="center"/>
          </w:tcPr>
          <w:p w14:paraId="1E7E8B5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172 VS 171</w:t>
            </w:r>
          </w:p>
        </w:tc>
        <w:tc>
          <w:tcPr>
            <w:tcW w:w="401" w:type="pct"/>
            <w:tcBorders>
              <w:top w:val="nil"/>
              <w:left w:val="nil"/>
              <w:bottom w:val="nil"/>
              <w:right w:val="nil"/>
            </w:tcBorders>
            <w:noWrap/>
            <w:vAlign w:val="center"/>
          </w:tcPr>
          <w:p w14:paraId="77B449B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5A7CEBC3"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0.76</w:t>
            </w:r>
            <w:r>
              <w:rPr>
                <w:rStyle w:val="font21"/>
                <w:rFonts w:hint="default"/>
                <w:b w:val="0"/>
                <w:bCs w:val="0"/>
                <w:sz w:val="18"/>
                <w:szCs w:val="18"/>
                <w:lang w:bidi="ar"/>
              </w:rPr>
              <w:t>（</w:t>
            </w:r>
            <w:r>
              <w:rPr>
                <w:rFonts w:hint="eastAsia"/>
                <w:b w:val="0"/>
                <w:bCs w:val="0"/>
                <w:color w:val="000000"/>
                <w:kern w:val="0"/>
                <w:sz w:val="18"/>
                <w:szCs w:val="18"/>
                <w:lang w:bidi="ar"/>
              </w:rPr>
              <w:t>0.55-1.05</w:t>
            </w:r>
            <w:r>
              <w:rPr>
                <w:rStyle w:val="font21"/>
                <w:rFonts w:hint="default"/>
                <w:b w:val="0"/>
                <w:bCs w:val="0"/>
                <w:sz w:val="18"/>
                <w:szCs w:val="18"/>
                <w:lang w:bidi="ar"/>
              </w:rPr>
              <w:t>）</w:t>
            </w:r>
          </w:p>
        </w:tc>
        <w:tc>
          <w:tcPr>
            <w:tcW w:w="523" w:type="pct"/>
            <w:tcBorders>
              <w:top w:val="nil"/>
              <w:left w:val="nil"/>
              <w:bottom w:val="nil"/>
              <w:right w:val="nil"/>
            </w:tcBorders>
            <w:noWrap/>
            <w:vAlign w:val="center"/>
          </w:tcPr>
          <w:p w14:paraId="056D8277"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0.45 (0.35-0.</w:t>
            </w:r>
            <w:proofErr w:type="gramStart"/>
            <w:r>
              <w:rPr>
                <w:rFonts w:hint="eastAsia"/>
                <w:b w:val="0"/>
                <w:bCs w:val="0"/>
                <w:color w:val="000000"/>
                <w:kern w:val="0"/>
                <w:sz w:val="18"/>
                <w:szCs w:val="18"/>
                <w:lang w:bidi="ar"/>
              </w:rPr>
              <w:t>60)#</w:t>
            </w:r>
            <w:proofErr w:type="gramEnd"/>
          </w:p>
        </w:tc>
        <w:tc>
          <w:tcPr>
            <w:tcW w:w="718" w:type="pct"/>
            <w:tcBorders>
              <w:top w:val="nil"/>
              <w:left w:val="nil"/>
              <w:bottom w:val="nil"/>
              <w:right w:val="nil"/>
            </w:tcBorders>
            <w:noWrap/>
            <w:vAlign w:val="center"/>
          </w:tcPr>
          <w:p w14:paraId="5532D4E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74 (67-81) VS 45 (37-53)</w:t>
            </w:r>
          </w:p>
        </w:tc>
        <w:tc>
          <w:tcPr>
            <w:tcW w:w="486" w:type="pct"/>
            <w:tcBorders>
              <w:top w:val="nil"/>
              <w:left w:val="nil"/>
              <w:bottom w:val="nil"/>
              <w:right w:val="nil"/>
            </w:tcBorders>
            <w:noWrap/>
            <w:vAlign w:val="center"/>
          </w:tcPr>
          <w:p w14:paraId="1A1EEC0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50.3 VS 53.3</w:t>
            </w:r>
          </w:p>
        </w:tc>
        <w:tc>
          <w:tcPr>
            <w:tcW w:w="484" w:type="pct"/>
            <w:tcBorders>
              <w:top w:val="nil"/>
              <w:left w:val="nil"/>
              <w:bottom w:val="nil"/>
              <w:right w:val="nil"/>
            </w:tcBorders>
            <w:vAlign w:val="center"/>
          </w:tcPr>
          <w:p w14:paraId="2F50916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45.7(95% CI 42.7-48.8) VS 45.5(95% CI 43.4-49.1)</w:t>
            </w:r>
          </w:p>
        </w:tc>
      </w:tr>
      <w:tr w:rsidR="006D1C3F" w14:paraId="02B5C59E" w14:textId="77777777">
        <w:trPr>
          <w:trHeight w:val="23"/>
        </w:trPr>
        <w:tc>
          <w:tcPr>
            <w:tcW w:w="454" w:type="pct"/>
            <w:vMerge w:val="restart"/>
            <w:tcBorders>
              <w:top w:val="nil"/>
              <w:left w:val="nil"/>
              <w:bottom w:val="nil"/>
              <w:right w:val="nil"/>
            </w:tcBorders>
            <w:noWrap/>
            <w:vAlign w:val="center"/>
          </w:tcPr>
          <w:p w14:paraId="0EE88623" w14:textId="77777777" w:rsidR="006D1C3F" w:rsidRDefault="00000000">
            <w:pPr>
              <w:ind w:firstLineChars="0" w:firstLine="0"/>
              <w:rPr>
                <w:b w:val="0"/>
                <w:bCs w:val="0"/>
                <w:sz w:val="18"/>
                <w:szCs w:val="18"/>
              </w:rPr>
            </w:pPr>
            <w:r>
              <w:rPr>
                <w:b w:val="0"/>
                <w:bCs w:val="0"/>
                <w:sz w:val="18"/>
                <w:szCs w:val="18"/>
              </w:rPr>
              <w:t>CROWN</w:t>
            </w:r>
            <w:r>
              <w:rPr>
                <w:b w:val="0"/>
                <w:bCs w:val="0"/>
                <w:sz w:val="18"/>
                <w:szCs w:val="18"/>
              </w:rPr>
              <w:fldChar w:fldCharType="begin"/>
            </w:r>
            <w:r>
              <w:rPr>
                <w:b w:val="0"/>
                <w:bCs w:val="0"/>
                <w:sz w:val="18"/>
                <w:szCs w:val="18"/>
              </w:rPr>
              <w:instrText xml:space="preserve"> ADDIN ZOTERO_ITEM CSL_CITATION {"citationID":"heYqmdDh","properties":{"formattedCitation":"(16)","plainCitation":"(16)","noteIndex":0},"citationItems":[{"id":378,"uris":["http://zotero.org/users/local/eBJtW3GH/items/BTEP65TE"],"itemData":{"id":378,"type":"article-journal","abstract":"BACKGROUND: Lorlatinib, a third-generation inhibitor of anaplastic lymphoma kinase (ALK), has antitumor activity in previously treated patients with ALK-positive non-small-cell lung cancer (NSCLC). The efficacy of lorlatinib, as compared with that of crizotinib, as first-line treatment for advanced ALK-positive NSCLC is unclear.\nMETHODS: We conducted a global, randomized, phase 3 trial comparing lorlatinib with crizotinib in 296 patients with advanced ALK-positive NSCLC who had received no previous systemic treatment for metastatic disease. The primary end point was progression-free survival as assessed by blinded independent central review. Secondary end points included independently assessed objective response and intracranial response. An interim analysis of efficacy was planned after approximately 133 of 177 (75%) expected events of disease progression or death had occurred.\nRESULTS: The percentage of patients who were alive without disease progression at 12 months was 78% (95% confidence interval [CI], 70 to 84) in the lorlatinib group and 39% (95% CI, 30 to 48) in the crizotinib group (hazard ratio for disease progression or death, 0.28; 95% CI, 0.19 to 0.41; P&lt;0.001). An objective response occurred in 76% (95% CI, 68 to 83) of the patients in the lorlatinib group and 58% (95% CI, 49 to 66) of those in the crizotinib group; among those with measurable brain metastases, 82% (95% CI, 57 to 96) and 23% (95% CI, 5 to 54), respectively, had an intracranial response, and 71% of the patients who received lorlatinib had an intracranial complete response. The most common adverse events with lorlatinib were hyperlipidemia, edema, increased weight, peripheral neuropathy, and cognitive effects. Lorlatinib was associated with more grade 3 or 4 adverse events (mainly altered lipid levels) than crizotinib (in 72% vs. 56%). Discontinuation of treatment because of adverse events occurred in 7% and 9% of the patients, respectively.\nCONCLUSIONS: In an interim analysis of results among patients with previously untreated advanced ALK-positive NSCLC, those who received lorlatinib had significantly longer progression-free survival and a higher frequency of intracranial response than those who received crizotinib. The incidence of grade 3 or 4 adverse events was higher with lorlatinib than with crizotinib because of the frequent occurrence of altered lipid levels. (Funded by Pfizer; CROWN ClinicalTrials.gov number, NCT03052608.).","container-title":"The New England Journal of Medicine","DOI":"10.1056/NEJMoa2027187","ISSN":"1533-4406","issue":"21","journalAbbreviation":"N Engl J Med","language":"en","note":"PMID: 33207094","page":"2018-2029","source":"PubMed","title":"First-Line Lorlatinib or Crizotinib in Advanced ALK-Positive Lung Cancer","volume":"383","author":[{"family":"Shaw","given":"Alice T."},{"family":"Bauer","given":"Todd M."},{"family":"Marinis","given":"Filippo","non-dropping-particle":"de"},{"family":"Felip","given":"Enriqueta"},{"family":"Goto","given":"Yasushi"},{"family":"Liu","given":"Geoffrey"},{"family":"Mazieres","given":"Julien"},{"family":"Kim","given":"Dong-Wan"},{"family":"Mok","given":"Tony"},{"family":"Polli","given":"Anna"},{"family":"Thurm","given":"Holger"},{"family":"Calella","given":"Anna M."},{"family":"Peltz","given":"Gerson"},{"family":"Solomon","given":"Benjamin J."},{"literal":"CROWN Trial Investigators"}],"issued":{"date-parts":[["2020",11,19]]}}}],"schema":"https://github.com/citation-style-language/schema/raw/master/csl-citation.json"} </w:instrText>
            </w:r>
            <w:r>
              <w:rPr>
                <w:b w:val="0"/>
                <w:bCs w:val="0"/>
                <w:sz w:val="18"/>
                <w:szCs w:val="18"/>
              </w:rPr>
              <w:fldChar w:fldCharType="separate"/>
            </w:r>
            <w:r>
              <w:rPr>
                <w:b w:val="0"/>
                <w:bCs w:val="0"/>
                <w:sz w:val="18"/>
              </w:rPr>
              <w:t>[16]</w:t>
            </w:r>
            <w:r>
              <w:rPr>
                <w:b w:val="0"/>
                <w:bCs w:val="0"/>
                <w:sz w:val="18"/>
                <w:szCs w:val="18"/>
              </w:rPr>
              <w:fldChar w:fldCharType="end"/>
            </w:r>
          </w:p>
        </w:tc>
        <w:tc>
          <w:tcPr>
            <w:tcW w:w="714" w:type="pct"/>
            <w:vMerge w:val="restart"/>
            <w:tcBorders>
              <w:top w:val="nil"/>
              <w:left w:val="nil"/>
              <w:bottom w:val="nil"/>
              <w:right w:val="nil"/>
            </w:tcBorders>
            <w:noWrap/>
            <w:vAlign w:val="center"/>
          </w:tcPr>
          <w:p w14:paraId="096EA4D7"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Lorlatinib</w:t>
            </w:r>
            <w:proofErr w:type="spellEnd"/>
            <w:r>
              <w:rPr>
                <w:rFonts w:cstheme="minorBidi" w:hint="eastAsia"/>
                <w:b w:val="0"/>
                <w:bCs w:val="0"/>
                <w:sz w:val="18"/>
                <w:szCs w:val="18"/>
              </w:rPr>
              <w:t xml:space="preserve"> VS Crizotinib</w:t>
            </w:r>
          </w:p>
        </w:tc>
        <w:tc>
          <w:tcPr>
            <w:tcW w:w="711" w:type="pct"/>
            <w:vMerge w:val="restart"/>
            <w:tcBorders>
              <w:top w:val="nil"/>
              <w:left w:val="nil"/>
              <w:bottom w:val="nil"/>
              <w:right w:val="nil"/>
            </w:tcBorders>
            <w:noWrap/>
            <w:vAlign w:val="center"/>
          </w:tcPr>
          <w:p w14:paraId="74B6817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149 VS 147</w:t>
            </w:r>
          </w:p>
        </w:tc>
        <w:tc>
          <w:tcPr>
            <w:tcW w:w="401" w:type="pct"/>
            <w:vMerge w:val="restart"/>
            <w:tcBorders>
              <w:top w:val="nil"/>
              <w:left w:val="nil"/>
              <w:bottom w:val="nil"/>
              <w:right w:val="nil"/>
            </w:tcBorders>
            <w:noWrap/>
            <w:vAlign w:val="center"/>
          </w:tcPr>
          <w:p w14:paraId="1891259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vMerge w:val="restart"/>
            <w:tcBorders>
              <w:top w:val="nil"/>
              <w:left w:val="nil"/>
              <w:bottom w:val="nil"/>
              <w:right w:val="nil"/>
            </w:tcBorders>
            <w:noWrap/>
            <w:vAlign w:val="center"/>
          </w:tcPr>
          <w:p w14:paraId="135B1135"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0.72</w:t>
            </w:r>
            <w:r>
              <w:rPr>
                <w:rStyle w:val="font21"/>
                <w:rFonts w:hint="default"/>
                <w:b w:val="0"/>
                <w:bCs w:val="0"/>
                <w:sz w:val="18"/>
                <w:szCs w:val="18"/>
                <w:lang w:bidi="ar"/>
              </w:rPr>
              <w:t>（</w:t>
            </w:r>
            <w:r>
              <w:rPr>
                <w:rFonts w:hint="eastAsia"/>
                <w:b w:val="0"/>
                <w:bCs w:val="0"/>
                <w:color w:val="000000"/>
                <w:kern w:val="0"/>
                <w:sz w:val="18"/>
                <w:szCs w:val="18"/>
                <w:lang w:bidi="ar"/>
              </w:rPr>
              <w:t>0.41-1.25</w:t>
            </w:r>
            <w:r>
              <w:rPr>
                <w:rStyle w:val="font21"/>
                <w:rFonts w:hint="default"/>
                <w:b w:val="0"/>
                <w:bCs w:val="0"/>
                <w:sz w:val="18"/>
                <w:szCs w:val="18"/>
                <w:lang w:bidi="ar"/>
              </w:rPr>
              <w:t>）</w:t>
            </w:r>
          </w:p>
        </w:tc>
        <w:tc>
          <w:tcPr>
            <w:tcW w:w="523" w:type="pct"/>
            <w:tcBorders>
              <w:top w:val="nil"/>
              <w:left w:val="nil"/>
              <w:bottom w:val="nil"/>
              <w:right w:val="nil"/>
            </w:tcBorders>
            <w:noWrap/>
            <w:vAlign w:val="center"/>
          </w:tcPr>
          <w:p w14:paraId="27AFD674"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0.27 (0.18-0.</w:t>
            </w:r>
            <w:proofErr w:type="gramStart"/>
            <w:r>
              <w:rPr>
                <w:rFonts w:hint="eastAsia"/>
                <w:b w:val="0"/>
                <w:bCs w:val="0"/>
                <w:color w:val="000000"/>
                <w:kern w:val="0"/>
                <w:sz w:val="18"/>
                <w:szCs w:val="18"/>
                <w:lang w:bidi="ar"/>
              </w:rPr>
              <w:t>39)#</w:t>
            </w:r>
            <w:proofErr w:type="gramEnd"/>
          </w:p>
        </w:tc>
        <w:tc>
          <w:tcPr>
            <w:tcW w:w="718" w:type="pct"/>
            <w:vMerge w:val="restart"/>
            <w:tcBorders>
              <w:top w:val="nil"/>
              <w:left w:val="nil"/>
              <w:bottom w:val="nil"/>
              <w:right w:val="nil"/>
            </w:tcBorders>
            <w:noWrap/>
            <w:vAlign w:val="center"/>
          </w:tcPr>
          <w:p w14:paraId="1FC2DC7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77 (70-84) VS 59 (50-67)</w:t>
            </w:r>
          </w:p>
        </w:tc>
        <w:tc>
          <w:tcPr>
            <w:tcW w:w="486" w:type="pct"/>
            <w:vMerge w:val="restart"/>
            <w:tcBorders>
              <w:top w:val="nil"/>
              <w:left w:val="nil"/>
              <w:bottom w:val="nil"/>
              <w:right w:val="nil"/>
            </w:tcBorders>
            <w:noWrap/>
            <w:vAlign w:val="center"/>
          </w:tcPr>
          <w:p w14:paraId="119056D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49.7 VS 38.8</w:t>
            </w:r>
          </w:p>
        </w:tc>
        <w:tc>
          <w:tcPr>
            <w:tcW w:w="484" w:type="pct"/>
            <w:vMerge w:val="restart"/>
            <w:tcBorders>
              <w:top w:val="nil"/>
              <w:left w:val="nil"/>
              <w:bottom w:val="nil"/>
              <w:right w:val="nil"/>
            </w:tcBorders>
            <w:vAlign w:val="center"/>
          </w:tcPr>
          <w:p w14:paraId="695F290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36.7(IQR 31.3-41.9) VS 29.3(IQR 10.8-35)</w:t>
            </w:r>
          </w:p>
        </w:tc>
      </w:tr>
      <w:tr w:rsidR="006D1C3F" w14:paraId="161E65E6" w14:textId="77777777">
        <w:trPr>
          <w:trHeight w:val="23"/>
        </w:trPr>
        <w:tc>
          <w:tcPr>
            <w:tcW w:w="454" w:type="pct"/>
            <w:vMerge/>
            <w:tcBorders>
              <w:top w:val="nil"/>
              <w:left w:val="nil"/>
              <w:bottom w:val="nil"/>
              <w:right w:val="nil"/>
            </w:tcBorders>
            <w:noWrap/>
            <w:vAlign w:val="center"/>
          </w:tcPr>
          <w:p w14:paraId="126AEA3C" w14:textId="77777777" w:rsidR="006D1C3F" w:rsidRDefault="006D1C3F">
            <w:pPr>
              <w:ind w:firstLine="360"/>
              <w:jc w:val="center"/>
              <w:rPr>
                <w:b w:val="0"/>
                <w:bCs w:val="0"/>
                <w:sz w:val="18"/>
                <w:szCs w:val="18"/>
              </w:rPr>
            </w:pPr>
          </w:p>
        </w:tc>
        <w:tc>
          <w:tcPr>
            <w:tcW w:w="714" w:type="pct"/>
            <w:vMerge/>
            <w:tcBorders>
              <w:top w:val="nil"/>
              <w:left w:val="nil"/>
              <w:bottom w:val="nil"/>
              <w:right w:val="nil"/>
            </w:tcBorders>
            <w:noWrap/>
            <w:vAlign w:val="center"/>
          </w:tcPr>
          <w:p w14:paraId="2AA8BD3E" w14:textId="77777777" w:rsidR="006D1C3F" w:rsidRDefault="006D1C3F">
            <w:pPr>
              <w:ind w:firstLine="360"/>
              <w:jc w:val="center"/>
              <w:rPr>
                <w:rFonts w:cstheme="minorBidi"/>
                <w:b w:val="0"/>
                <w:bCs w:val="0"/>
                <w:sz w:val="18"/>
                <w:szCs w:val="18"/>
              </w:rPr>
            </w:pPr>
          </w:p>
        </w:tc>
        <w:tc>
          <w:tcPr>
            <w:tcW w:w="711" w:type="pct"/>
            <w:vMerge/>
            <w:tcBorders>
              <w:top w:val="nil"/>
              <w:left w:val="nil"/>
              <w:bottom w:val="nil"/>
              <w:right w:val="nil"/>
            </w:tcBorders>
            <w:noWrap/>
            <w:vAlign w:val="center"/>
          </w:tcPr>
          <w:p w14:paraId="2670BBE8" w14:textId="77777777" w:rsidR="006D1C3F" w:rsidRDefault="006D1C3F">
            <w:pPr>
              <w:ind w:firstLine="360"/>
              <w:jc w:val="center"/>
              <w:rPr>
                <w:rFonts w:cstheme="minorBidi"/>
                <w:b w:val="0"/>
                <w:bCs w:val="0"/>
                <w:sz w:val="18"/>
                <w:szCs w:val="18"/>
              </w:rPr>
            </w:pPr>
          </w:p>
        </w:tc>
        <w:tc>
          <w:tcPr>
            <w:tcW w:w="401" w:type="pct"/>
            <w:vMerge/>
            <w:tcBorders>
              <w:top w:val="nil"/>
              <w:left w:val="nil"/>
              <w:bottom w:val="nil"/>
              <w:right w:val="nil"/>
            </w:tcBorders>
            <w:noWrap/>
            <w:vAlign w:val="center"/>
          </w:tcPr>
          <w:p w14:paraId="4DE57897" w14:textId="77777777" w:rsidR="006D1C3F" w:rsidRDefault="006D1C3F">
            <w:pPr>
              <w:ind w:firstLine="360"/>
              <w:jc w:val="center"/>
              <w:rPr>
                <w:rFonts w:cstheme="minorBidi"/>
                <w:b w:val="0"/>
                <w:bCs w:val="0"/>
                <w:sz w:val="18"/>
                <w:szCs w:val="18"/>
              </w:rPr>
            </w:pPr>
          </w:p>
        </w:tc>
        <w:tc>
          <w:tcPr>
            <w:tcW w:w="509" w:type="pct"/>
            <w:vMerge/>
            <w:tcBorders>
              <w:top w:val="nil"/>
              <w:left w:val="nil"/>
              <w:bottom w:val="nil"/>
              <w:right w:val="nil"/>
            </w:tcBorders>
            <w:noWrap/>
            <w:vAlign w:val="center"/>
          </w:tcPr>
          <w:p w14:paraId="7750135E" w14:textId="77777777" w:rsidR="006D1C3F" w:rsidRDefault="006D1C3F">
            <w:pPr>
              <w:spacing w:line="240" w:lineRule="auto"/>
              <w:ind w:firstLineChars="0" w:firstLine="0"/>
              <w:jc w:val="center"/>
              <w:rPr>
                <w:rFonts w:eastAsiaTheme="minorEastAsia" w:cstheme="minorBidi"/>
                <w:b w:val="0"/>
                <w:bCs w:val="0"/>
                <w:sz w:val="18"/>
                <w:szCs w:val="18"/>
              </w:rPr>
            </w:pPr>
          </w:p>
        </w:tc>
        <w:tc>
          <w:tcPr>
            <w:tcW w:w="523" w:type="pct"/>
            <w:tcBorders>
              <w:top w:val="nil"/>
              <w:left w:val="nil"/>
              <w:bottom w:val="nil"/>
              <w:right w:val="nil"/>
            </w:tcBorders>
            <w:noWrap/>
            <w:vAlign w:val="center"/>
          </w:tcPr>
          <w:p w14:paraId="5603E72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0.19 (0.13-0.</w:t>
            </w:r>
            <w:proofErr w:type="gramStart"/>
            <w:r>
              <w:rPr>
                <w:rFonts w:hint="eastAsia"/>
                <w:b w:val="0"/>
                <w:bCs w:val="0"/>
                <w:color w:val="000000"/>
                <w:kern w:val="0"/>
                <w:sz w:val="18"/>
                <w:szCs w:val="18"/>
                <w:lang w:bidi="ar"/>
              </w:rPr>
              <w:t>27)*</w:t>
            </w:r>
            <w:proofErr w:type="gramEnd"/>
          </w:p>
        </w:tc>
        <w:tc>
          <w:tcPr>
            <w:tcW w:w="718" w:type="pct"/>
            <w:vMerge/>
            <w:tcBorders>
              <w:top w:val="nil"/>
              <w:left w:val="nil"/>
              <w:bottom w:val="nil"/>
              <w:right w:val="nil"/>
            </w:tcBorders>
            <w:noWrap/>
            <w:vAlign w:val="center"/>
          </w:tcPr>
          <w:p w14:paraId="6EC85DB8" w14:textId="77777777" w:rsidR="006D1C3F" w:rsidRDefault="006D1C3F">
            <w:pPr>
              <w:ind w:firstLine="360"/>
              <w:jc w:val="center"/>
              <w:rPr>
                <w:rFonts w:cstheme="minorBidi"/>
                <w:b w:val="0"/>
                <w:bCs w:val="0"/>
                <w:sz w:val="18"/>
                <w:szCs w:val="18"/>
              </w:rPr>
            </w:pPr>
          </w:p>
        </w:tc>
        <w:tc>
          <w:tcPr>
            <w:tcW w:w="486" w:type="pct"/>
            <w:vMerge/>
            <w:tcBorders>
              <w:top w:val="nil"/>
              <w:left w:val="nil"/>
              <w:bottom w:val="nil"/>
              <w:right w:val="nil"/>
            </w:tcBorders>
            <w:noWrap/>
            <w:vAlign w:val="center"/>
          </w:tcPr>
          <w:p w14:paraId="17C05AC6" w14:textId="77777777" w:rsidR="006D1C3F" w:rsidRDefault="006D1C3F">
            <w:pPr>
              <w:ind w:firstLine="360"/>
              <w:jc w:val="center"/>
              <w:rPr>
                <w:rFonts w:cstheme="minorBidi"/>
                <w:b w:val="0"/>
                <w:bCs w:val="0"/>
                <w:sz w:val="18"/>
                <w:szCs w:val="18"/>
              </w:rPr>
            </w:pPr>
          </w:p>
        </w:tc>
        <w:tc>
          <w:tcPr>
            <w:tcW w:w="484" w:type="pct"/>
            <w:vMerge/>
            <w:tcBorders>
              <w:left w:val="nil"/>
              <w:bottom w:val="nil"/>
              <w:right w:val="nil"/>
            </w:tcBorders>
            <w:vAlign w:val="center"/>
          </w:tcPr>
          <w:p w14:paraId="49672C61" w14:textId="77777777" w:rsidR="006D1C3F" w:rsidRDefault="006D1C3F">
            <w:pPr>
              <w:ind w:firstLine="360"/>
              <w:jc w:val="center"/>
              <w:rPr>
                <w:rFonts w:cstheme="minorBidi"/>
                <w:b w:val="0"/>
                <w:bCs w:val="0"/>
                <w:sz w:val="18"/>
                <w:szCs w:val="18"/>
              </w:rPr>
            </w:pPr>
          </w:p>
        </w:tc>
      </w:tr>
      <w:tr w:rsidR="006D1C3F" w14:paraId="03456F6A" w14:textId="77777777">
        <w:trPr>
          <w:trHeight w:val="23"/>
        </w:trPr>
        <w:tc>
          <w:tcPr>
            <w:tcW w:w="454" w:type="pct"/>
            <w:vMerge w:val="restart"/>
            <w:tcBorders>
              <w:top w:val="nil"/>
              <w:left w:val="nil"/>
              <w:bottom w:val="nil"/>
              <w:right w:val="nil"/>
            </w:tcBorders>
            <w:noWrap/>
            <w:vAlign w:val="center"/>
          </w:tcPr>
          <w:p w14:paraId="2737E82C" w14:textId="77777777" w:rsidR="006D1C3F" w:rsidRDefault="00000000">
            <w:pPr>
              <w:ind w:firstLineChars="0" w:firstLine="0"/>
              <w:rPr>
                <w:b w:val="0"/>
                <w:bCs w:val="0"/>
                <w:sz w:val="18"/>
                <w:szCs w:val="18"/>
              </w:rPr>
            </w:pPr>
            <w:r>
              <w:rPr>
                <w:b w:val="0"/>
                <w:bCs w:val="0"/>
                <w:sz w:val="18"/>
                <w:szCs w:val="18"/>
              </w:rPr>
              <w:t>ALEX</w:t>
            </w:r>
            <w:r>
              <w:rPr>
                <w:b w:val="0"/>
                <w:bCs w:val="0"/>
                <w:sz w:val="18"/>
                <w:szCs w:val="18"/>
              </w:rPr>
              <w:fldChar w:fldCharType="begin"/>
            </w:r>
            <w:r>
              <w:rPr>
                <w:b w:val="0"/>
                <w:bCs w:val="0"/>
                <w:sz w:val="18"/>
                <w:szCs w:val="18"/>
              </w:rPr>
              <w:instrText xml:space="preserve"> ADDIN ZOTERO_ITEM CSL_CITATION {"citationID":"VeFX5jf8","properties":{"formattedCitation":"(17)","plainCitation":"(17)","noteIndex":0},"citationItems":[{"id":381,"uris":["http://zotero.org/users/local/eBJtW3GH/items/QY7YIJNF"],"itemData":{"id":381,"type":"article-journal","abstract":"BACKGROUND: The ALEX study demonstrated significantly improved progression-free survival (PFS) with alectinib versus crizotinib in treatment-naive ALK-positive non-small-cell lung cancer (NSCLC) at the primary data cut-off (9 February 2017). We report mature PFS (cut-off: 30 November 2018) and overall survival (OS) data up to 5 years (cut-off: 29 November 2019).\nPATIENTS AND METHODS: Patients with stage III/IV ALK-positive NSCLC were randomized to receive twice-daily alectinib 600 mg (n = 152) or crizotinib 250 mg (n = 151) until disease progression, toxicity, withdrawal or death. Primary end point: investigator-assessed PFS. Secondary end points included objective response rate, OS and safety.\nRESULTS: Mature PFS data showed significantly prolonged investigator-assessed PFS with alectinib [hazard ratio (HR) 0.43, 95% confidence interval (CI) 0.32-0.58; median PFS 34.8 versus 10.9 months crizotinib]. Median duration of OS follow-up: 48.2 months alectinib, 23.3 months crizotinib. OS data remain immature (37% of events). Median OS was not reached with alectinib versus 57.4 months with crizotinib (stratified HR 0.67, 95% CI 0.46-0.98). The 5-year OS rate was 62.5% (95% CI 54.3-70.8) with alectinib and 45.5% (95% CI 33.6-57.4) with crizotinib, with 34.9% and 8.6% of patients still on study treatment, respectively. The OS benefit of alectinib was seen in patients with central nervous system metastases at baseline [HR 0.58 (95% CI 0.34-1.00)] and those without [HR 0.76 (95% CI 0.45-1.26)]. Median treatment duration was longer with alectinib (28.1 versus 10.8 months), and no new safety signals were observed.\nCONCLUSIONS: Mature PFS data from ALEX confirmed significant improvement in PFS for alectinib over crizotinib in ALK-positive NSCLC. OS data remain immature, with a higher 5-year OS rate with alectinib versus crizotinib. This is the first global randomized study to show clinically meaningful improvement in OS for a next-generation tyrosine kinase inhibitor versus crizotinib in treatment-naive ALK-positive NSCLC.\nCLINICAL TRIALS NUMBER: NCT02075840.","container-title":"Annals of Oncology: Official Journal of the European Society for Medical Oncology","DOI":"10.1016/j.annonc.2020.04.478","ISSN":"1569-8041","issue":"8","journalAbbreviation":"Ann Oncol","language":"en","note":"PMID: 32418886","page":"1056-1064","source":"PubMed","title":"Updated overall survival and final progression-free survival data for patients with treatment-naive advanced ALK-positive non-small-cell lung cancer in the ALEX study","volume":"31","author":[{"family":"Mok","given":"T."},{"family":"Camidge","given":"D. R."},{"family":"Gadgeel","given":"S. M."},{"family":"Rosell","given":"R."},{"family":"Dziadziuszko","given":"R."},{"family":"Kim","given":"D.-W."},{"family":"Pérol","given":"M."},{"family":"Ou","given":"S.-H. I."},{"family":"Ahn","given":"J. S."},{"family":"Shaw","given":"A. T."},{"family":"Bordogna","given":"W."},{"family":"Smoljanović","given":"V."},{"family":"Hilton","given":"M."},{"family":"Ruf","given":"T."},{"family":"Noé","given":"J."},{"family":"Peters","given":"S."}],"issued":{"date-parts":[["2020",8]]}}}],"schema":"https://github.com/citation-style-language/schema/raw/master/csl-citation.json"} </w:instrText>
            </w:r>
            <w:r>
              <w:rPr>
                <w:b w:val="0"/>
                <w:bCs w:val="0"/>
                <w:sz w:val="18"/>
                <w:szCs w:val="18"/>
              </w:rPr>
              <w:fldChar w:fldCharType="separate"/>
            </w:r>
            <w:r>
              <w:rPr>
                <w:b w:val="0"/>
                <w:bCs w:val="0"/>
                <w:sz w:val="18"/>
              </w:rPr>
              <w:t>[17]</w:t>
            </w:r>
            <w:r>
              <w:rPr>
                <w:b w:val="0"/>
                <w:bCs w:val="0"/>
                <w:sz w:val="18"/>
                <w:szCs w:val="18"/>
              </w:rPr>
              <w:fldChar w:fldCharType="end"/>
            </w:r>
          </w:p>
        </w:tc>
        <w:tc>
          <w:tcPr>
            <w:tcW w:w="714" w:type="pct"/>
            <w:vMerge w:val="restart"/>
            <w:tcBorders>
              <w:top w:val="nil"/>
              <w:left w:val="nil"/>
              <w:bottom w:val="nil"/>
              <w:right w:val="nil"/>
            </w:tcBorders>
            <w:noWrap/>
            <w:vAlign w:val="center"/>
          </w:tcPr>
          <w:p w14:paraId="26D29BA1"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Alectinib</w:t>
            </w:r>
            <w:proofErr w:type="spellEnd"/>
            <w:r>
              <w:rPr>
                <w:rFonts w:cstheme="minorBidi" w:hint="eastAsia"/>
                <w:b w:val="0"/>
                <w:bCs w:val="0"/>
                <w:sz w:val="18"/>
                <w:szCs w:val="18"/>
              </w:rPr>
              <w:t xml:space="preserve"> (600 mg twice daily) VS </w:t>
            </w:r>
            <w:r>
              <w:rPr>
                <w:rFonts w:cstheme="minorBidi" w:hint="eastAsia"/>
                <w:b w:val="0"/>
                <w:bCs w:val="0"/>
                <w:sz w:val="18"/>
                <w:szCs w:val="18"/>
              </w:rPr>
              <w:lastRenderedPageBreak/>
              <w:t>Crizotinib</w:t>
            </w:r>
          </w:p>
        </w:tc>
        <w:tc>
          <w:tcPr>
            <w:tcW w:w="711" w:type="pct"/>
            <w:vMerge w:val="restart"/>
            <w:tcBorders>
              <w:top w:val="nil"/>
              <w:left w:val="nil"/>
              <w:bottom w:val="nil"/>
              <w:right w:val="nil"/>
            </w:tcBorders>
            <w:noWrap/>
            <w:vAlign w:val="center"/>
          </w:tcPr>
          <w:p w14:paraId="78A93970" w14:textId="77777777" w:rsidR="006D1C3F" w:rsidRDefault="00000000">
            <w:pPr>
              <w:ind w:firstLine="360"/>
              <w:jc w:val="center"/>
              <w:rPr>
                <w:rFonts w:cstheme="minorBidi"/>
                <w:b w:val="0"/>
                <w:bCs w:val="0"/>
                <w:sz w:val="18"/>
                <w:szCs w:val="18"/>
              </w:rPr>
            </w:pPr>
            <w:r>
              <w:rPr>
                <w:rFonts w:cstheme="minorBidi" w:hint="eastAsia"/>
                <w:b w:val="0"/>
                <w:bCs w:val="0"/>
                <w:sz w:val="18"/>
                <w:szCs w:val="18"/>
              </w:rPr>
              <w:lastRenderedPageBreak/>
              <w:t>152 VS 151</w:t>
            </w:r>
          </w:p>
        </w:tc>
        <w:tc>
          <w:tcPr>
            <w:tcW w:w="401" w:type="pct"/>
            <w:vMerge w:val="restart"/>
            <w:tcBorders>
              <w:top w:val="nil"/>
              <w:left w:val="nil"/>
              <w:bottom w:val="nil"/>
              <w:right w:val="nil"/>
            </w:tcBorders>
            <w:noWrap/>
            <w:vAlign w:val="center"/>
          </w:tcPr>
          <w:p w14:paraId="0F0D889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vMerge w:val="restart"/>
            <w:tcBorders>
              <w:top w:val="nil"/>
              <w:left w:val="nil"/>
              <w:bottom w:val="nil"/>
              <w:right w:val="nil"/>
            </w:tcBorders>
            <w:noWrap/>
            <w:vAlign w:val="center"/>
          </w:tcPr>
          <w:p w14:paraId="153E7329"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0.67 (0.46-0.98)</w:t>
            </w:r>
          </w:p>
        </w:tc>
        <w:tc>
          <w:tcPr>
            <w:tcW w:w="523" w:type="pct"/>
            <w:tcBorders>
              <w:top w:val="nil"/>
              <w:left w:val="nil"/>
              <w:bottom w:val="nil"/>
              <w:right w:val="nil"/>
            </w:tcBorders>
            <w:noWrap/>
            <w:vAlign w:val="center"/>
          </w:tcPr>
          <w:p w14:paraId="17D49F00"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0.67 (0.46-0.</w:t>
            </w:r>
            <w:proofErr w:type="gramStart"/>
            <w:r>
              <w:rPr>
                <w:rFonts w:hint="eastAsia"/>
                <w:b w:val="0"/>
                <w:bCs w:val="0"/>
                <w:color w:val="000000"/>
                <w:kern w:val="0"/>
                <w:sz w:val="18"/>
                <w:szCs w:val="18"/>
                <w:lang w:bidi="ar"/>
              </w:rPr>
              <w:t>98)</w:t>
            </w:r>
            <w:r>
              <w:rPr>
                <w:rFonts w:hint="eastAsia"/>
                <w:b w:val="0"/>
                <w:bCs w:val="0"/>
                <w:color w:val="000000"/>
                <w:kern w:val="0"/>
                <w:sz w:val="18"/>
                <w:szCs w:val="18"/>
                <w:vertAlign w:val="superscript"/>
                <w:lang w:bidi="ar"/>
              </w:rPr>
              <w:t>#</w:t>
            </w:r>
            <w:proofErr w:type="gramEnd"/>
          </w:p>
        </w:tc>
        <w:tc>
          <w:tcPr>
            <w:tcW w:w="718" w:type="pct"/>
            <w:vMerge w:val="restart"/>
            <w:tcBorders>
              <w:top w:val="nil"/>
              <w:left w:val="nil"/>
              <w:bottom w:val="nil"/>
              <w:right w:val="nil"/>
            </w:tcBorders>
            <w:noWrap/>
            <w:vAlign w:val="center"/>
          </w:tcPr>
          <w:p w14:paraId="52E471D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83 (76-89) VS 76 (68-82)</w:t>
            </w:r>
          </w:p>
        </w:tc>
        <w:tc>
          <w:tcPr>
            <w:tcW w:w="486" w:type="pct"/>
            <w:vMerge w:val="restart"/>
            <w:tcBorders>
              <w:top w:val="nil"/>
              <w:left w:val="nil"/>
              <w:bottom w:val="nil"/>
              <w:right w:val="nil"/>
            </w:tcBorders>
            <w:noWrap/>
            <w:vAlign w:val="center"/>
          </w:tcPr>
          <w:p w14:paraId="20EFC00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52 VS 56.3</w:t>
            </w:r>
          </w:p>
        </w:tc>
        <w:tc>
          <w:tcPr>
            <w:tcW w:w="484" w:type="pct"/>
            <w:vMerge w:val="restart"/>
            <w:tcBorders>
              <w:top w:val="nil"/>
              <w:left w:val="nil"/>
              <w:bottom w:val="nil"/>
              <w:right w:val="nil"/>
            </w:tcBorders>
            <w:vAlign w:val="center"/>
          </w:tcPr>
          <w:p w14:paraId="28A5FF7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 xml:space="preserve">27.8(range: 0.5-38.7) VS </w:t>
            </w:r>
            <w:r>
              <w:rPr>
                <w:rFonts w:cstheme="minorBidi" w:hint="eastAsia"/>
                <w:b w:val="0"/>
                <w:bCs w:val="0"/>
                <w:sz w:val="18"/>
                <w:szCs w:val="18"/>
              </w:rPr>
              <w:lastRenderedPageBreak/>
              <w:t>22.8(range: 0.3-36.7)</w:t>
            </w:r>
          </w:p>
        </w:tc>
      </w:tr>
      <w:tr w:rsidR="006D1C3F" w14:paraId="5B1FAE08" w14:textId="77777777">
        <w:trPr>
          <w:trHeight w:val="23"/>
        </w:trPr>
        <w:tc>
          <w:tcPr>
            <w:tcW w:w="454" w:type="pct"/>
            <w:vMerge/>
            <w:tcBorders>
              <w:top w:val="nil"/>
              <w:left w:val="nil"/>
              <w:bottom w:val="nil"/>
              <w:right w:val="nil"/>
            </w:tcBorders>
            <w:noWrap/>
            <w:vAlign w:val="center"/>
          </w:tcPr>
          <w:p w14:paraId="19CFF56D" w14:textId="77777777" w:rsidR="006D1C3F" w:rsidRDefault="006D1C3F">
            <w:pPr>
              <w:ind w:firstLine="360"/>
              <w:jc w:val="center"/>
              <w:rPr>
                <w:b w:val="0"/>
                <w:bCs w:val="0"/>
                <w:sz w:val="18"/>
                <w:szCs w:val="18"/>
              </w:rPr>
            </w:pPr>
          </w:p>
        </w:tc>
        <w:tc>
          <w:tcPr>
            <w:tcW w:w="714" w:type="pct"/>
            <w:vMerge/>
            <w:tcBorders>
              <w:top w:val="nil"/>
              <w:left w:val="nil"/>
              <w:bottom w:val="nil"/>
              <w:right w:val="nil"/>
            </w:tcBorders>
            <w:noWrap/>
            <w:vAlign w:val="center"/>
          </w:tcPr>
          <w:p w14:paraId="5A0707C0" w14:textId="77777777" w:rsidR="006D1C3F" w:rsidRDefault="006D1C3F">
            <w:pPr>
              <w:ind w:firstLine="360"/>
              <w:jc w:val="center"/>
              <w:rPr>
                <w:rFonts w:cstheme="minorBidi"/>
                <w:b w:val="0"/>
                <w:bCs w:val="0"/>
                <w:sz w:val="18"/>
                <w:szCs w:val="18"/>
              </w:rPr>
            </w:pPr>
          </w:p>
        </w:tc>
        <w:tc>
          <w:tcPr>
            <w:tcW w:w="711" w:type="pct"/>
            <w:vMerge/>
            <w:tcBorders>
              <w:top w:val="nil"/>
              <w:left w:val="nil"/>
              <w:bottom w:val="nil"/>
              <w:right w:val="nil"/>
            </w:tcBorders>
            <w:noWrap/>
            <w:vAlign w:val="center"/>
          </w:tcPr>
          <w:p w14:paraId="5AC14796" w14:textId="77777777" w:rsidR="006D1C3F" w:rsidRDefault="006D1C3F">
            <w:pPr>
              <w:ind w:firstLine="360"/>
              <w:jc w:val="center"/>
              <w:rPr>
                <w:rFonts w:cstheme="minorBidi"/>
                <w:b w:val="0"/>
                <w:bCs w:val="0"/>
                <w:sz w:val="18"/>
                <w:szCs w:val="18"/>
              </w:rPr>
            </w:pPr>
          </w:p>
        </w:tc>
        <w:tc>
          <w:tcPr>
            <w:tcW w:w="401" w:type="pct"/>
            <w:vMerge/>
            <w:tcBorders>
              <w:top w:val="nil"/>
              <w:left w:val="nil"/>
              <w:bottom w:val="nil"/>
              <w:right w:val="nil"/>
            </w:tcBorders>
            <w:noWrap/>
            <w:vAlign w:val="center"/>
          </w:tcPr>
          <w:p w14:paraId="43E4227A" w14:textId="77777777" w:rsidR="006D1C3F" w:rsidRDefault="006D1C3F">
            <w:pPr>
              <w:ind w:firstLine="360"/>
              <w:jc w:val="center"/>
              <w:rPr>
                <w:rFonts w:cstheme="minorBidi"/>
                <w:b w:val="0"/>
                <w:bCs w:val="0"/>
                <w:sz w:val="18"/>
                <w:szCs w:val="18"/>
              </w:rPr>
            </w:pPr>
          </w:p>
        </w:tc>
        <w:tc>
          <w:tcPr>
            <w:tcW w:w="509" w:type="pct"/>
            <w:vMerge/>
            <w:tcBorders>
              <w:top w:val="nil"/>
              <w:left w:val="nil"/>
              <w:bottom w:val="nil"/>
              <w:right w:val="nil"/>
            </w:tcBorders>
            <w:noWrap/>
            <w:vAlign w:val="center"/>
          </w:tcPr>
          <w:p w14:paraId="220B8C1F" w14:textId="77777777" w:rsidR="006D1C3F" w:rsidRDefault="006D1C3F">
            <w:pPr>
              <w:spacing w:line="240" w:lineRule="auto"/>
              <w:ind w:firstLineChars="0" w:firstLine="0"/>
              <w:jc w:val="center"/>
              <w:rPr>
                <w:rFonts w:eastAsiaTheme="minorEastAsia" w:cstheme="minorBidi"/>
                <w:b w:val="0"/>
                <w:bCs w:val="0"/>
                <w:sz w:val="18"/>
                <w:szCs w:val="18"/>
              </w:rPr>
            </w:pPr>
          </w:p>
        </w:tc>
        <w:tc>
          <w:tcPr>
            <w:tcW w:w="523" w:type="pct"/>
            <w:tcBorders>
              <w:top w:val="nil"/>
              <w:left w:val="nil"/>
              <w:bottom w:val="nil"/>
              <w:right w:val="nil"/>
            </w:tcBorders>
            <w:noWrap/>
            <w:vAlign w:val="center"/>
          </w:tcPr>
          <w:p w14:paraId="300B4705"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0.43 (0.32-0.</w:t>
            </w:r>
            <w:proofErr w:type="gramStart"/>
            <w:r>
              <w:rPr>
                <w:rFonts w:hint="eastAsia"/>
                <w:b w:val="0"/>
                <w:bCs w:val="0"/>
                <w:color w:val="000000"/>
                <w:kern w:val="0"/>
                <w:sz w:val="18"/>
                <w:szCs w:val="18"/>
                <w:lang w:bidi="ar"/>
              </w:rPr>
              <w:t>58)*</w:t>
            </w:r>
            <w:proofErr w:type="gramEnd"/>
          </w:p>
        </w:tc>
        <w:tc>
          <w:tcPr>
            <w:tcW w:w="718" w:type="pct"/>
            <w:vMerge/>
            <w:tcBorders>
              <w:top w:val="nil"/>
              <w:left w:val="nil"/>
              <w:bottom w:val="nil"/>
              <w:right w:val="nil"/>
            </w:tcBorders>
            <w:noWrap/>
            <w:vAlign w:val="center"/>
          </w:tcPr>
          <w:p w14:paraId="3BB068C7" w14:textId="77777777" w:rsidR="006D1C3F" w:rsidRDefault="006D1C3F">
            <w:pPr>
              <w:ind w:firstLine="360"/>
              <w:jc w:val="center"/>
              <w:rPr>
                <w:rFonts w:cstheme="minorBidi"/>
                <w:b w:val="0"/>
                <w:bCs w:val="0"/>
                <w:sz w:val="18"/>
                <w:szCs w:val="18"/>
              </w:rPr>
            </w:pPr>
          </w:p>
        </w:tc>
        <w:tc>
          <w:tcPr>
            <w:tcW w:w="486" w:type="pct"/>
            <w:vMerge/>
            <w:tcBorders>
              <w:top w:val="nil"/>
              <w:left w:val="nil"/>
              <w:bottom w:val="nil"/>
              <w:right w:val="nil"/>
            </w:tcBorders>
            <w:noWrap/>
            <w:vAlign w:val="center"/>
          </w:tcPr>
          <w:p w14:paraId="79B06B96" w14:textId="77777777" w:rsidR="006D1C3F" w:rsidRDefault="006D1C3F">
            <w:pPr>
              <w:ind w:firstLine="360"/>
              <w:jc w:val="center"/>
              <w:rPr>
                <w:rFonts w:cstheme="minorBidi"/>
                <w:b w:val="0"/>
                <w:bCs w:val="0"/>
                <w:sz w:val="18"/>
                <w:szCs w:val="18"/>
              </w:rPr>
            </w:pPr>
          </w:p>
        </w:tc>
        <w:tc>
          <w:tcPr>
            <w:tcW w:w="484" w:type="pct"/>
            <w:vMerge/>
            <w:tcBorders>
              <w:top w:val="nil"/>
              <w:left w:val="nil"/>
              <w:bottom w:val="nil"/>
              <w:right w:val="nil"/>
            </w:tcBorders>
            <w:vAlign w:val="center"/>
          </w:tcPr>
          <w:p w14:paraId="001C5CC5" w14:textId="77777777" w:rsidR="006D1C3F" w:rsidRDefault="006D1C3F">
            <w:pPr>
              <w:ind w:firstLine="360"/>
              <w:jc w:val="center"/>
              <w:rPr>
                <w:rFonts w:cstheme="minorBidi"/>
                <w:b w:val="0"/>
                <w:bCs w:val="0"/>
                <w:sz w:val="18"/>
                <w:szCs w:val="18"/>
              </w:rPr>
            </w:pPr>
          </w:p>
        </w:tc>
      </w:tr>
      <w:tr w:rsidR="006D1C3F" w14:paraId="7E3A2C10" w14:textId="77777777">
        <w:trPr>
          <w:trHeight w:val="652"/>
        </w:trPr>
        <w:tc>
          <w:tcPr>
            <w:tcW w:w="454" w:type="pct"/>
            <w:tcBorders>
              <w:top w:val="nil"/>
              <w:left w:val="nil"/>
              <w:bottom w:val="nil"/>
              <w:right w:val="nil"/>
            </w:tcBorders>
            <w:noWrap/>
            <w:vAlign w:val="center"/>
          </w:tcPr>
          <w:p w14:paraId="69645926" w14:textId="77777777" w:rsidR="006D1C3F" w:rsidRDefault="00000000">
            <w:pPr>
              <w:ind w:firstLineChars="0" w:firstLine="0"/>
              <w:rPr>
                <w:b w:val="0"/>
                <w:bCs w:val="0"/>
                <w:sz w:val="18"/>
                <w:szCs w:val="18"/>
              </w:rPr>
            </w:pPr>
            <w:r>
              <w:rPr>
                <w:b w:val="0"/>
                <w:bCs w:val="0"/>
                <w:sz w:val="18"/>
                <w:szCs w:val="18"/>
              </w:rPr>
              <w:t>eXalt3</w:t>
            </w:r>
            <w:r>
              <w:rPr>
                <w:b w:val="0"/>
                <w:bCs w:val="0"/>
                <w:sz w:val="18"/>
                <w:szCs w:val="18"/>
              </w:rPr>
              <w:fldChar w:fldCharType="begin"/>
            </w:r>
            <w:r>
              <w:rPr>
                <w:b w:val="0"/>
                <w:bCs w:val="0"/>
                <w:sz w:val="18"/>
                <w:szCs w:val="18"/>
              </w:rPr>
              <w:instrText xml:space="preserve"> ADDIN ZOTERO_ITEM CSL_CITATION {"citationID":"OpXrb26f","properties":{"formattedCitation":"(18)","plainCitation":"(18)","noteIndex":0},"citationItems":[{"id":384,"uris":["http://zotero.org/users/local/eBJtW3GH/items/TUA6GTV4"],"itemData":{"id":384,"type":"article-journal","abstract":"IMPORTANCE: Ensartinib, an oral tyrosine kinase inhibitor of anaplastic lymphoma kinase (ALK), has shown systemic and central nervous system efficacy for patients with ALK-positive non-small cell lung cancer (NSCLC).\nOBJECTIVE: To compare ensartinib with crizotinib among patients with advanced ALK-positive NSCLC who had not received prior treatment with an ALK inhibitor.\nDESIGN, SETTING, AND PARTICIPANTS: This open-label, multicenter, randomized, phase 3 trial conducted in 120 centers in 21 countries enrolled 290 patients between July 25, 2016, and November 12, 2018. Eligible patients were 18 years of age or older and had advanced, recurrent, or metastatic ALK-positive NSCLC.\nINTERVENTIONS: Patients were randomized (1:1) to ensartinib, 225 mg once daily, or crizotinib, 250 mg twice daily.\nMAIN OUTCOMES AND MEASURES: The primary end point was blinded independent review committee-assessed progression-free survival (PFS). Secondary end points included systemic and intracranial response, time to central nervous system progression, and overall survival. Efficacy was evaluated in the intent-to-treat (ITT) population as well as a prespecified modified ITT (mITT) population consisting of patients with central laboratory-confirmed ALK-positive NSCLC.\nRESULTS: A total of 290 patients (149 men [51.4%]; median age, 54 years [range, 25-90 years]) were randomized. In the ITT population, the median PFS was significantly longer with ensartinib than with crizotinib (25.8 [range, 0.03-44.0 months] vs 12.7 months [range, 0.03-38.6 months]; hazard ratio, 0.51 [95% CI, 0.35-0.72]; log-rank P &lt; .001), with a median follow-up of 23.8 months (range, 0-44 months) for the ensartinib group and 20.2 months (range, 0-38 months) for the crizotinib group. In the mITT population, the median PFS in the ensartinib group was not reached, and the median PFS in the crizotinib group was 12.7 months (95% CI, 8.9-16.6 months; hazard ratio, 0.45; 95% CI, 0.30-0.66; log-rank P &lt; .001). The intracranial response rate confirmed by a blinded independent review committee was 63.6% (7 of 11) with ensartinib vs 21.1% (4 of 19) with crizotinib for patients with target brain metastases at baseline. Progression-free survival for patients without brain metastases was not reached with ensartinib vs 16.6 months with crizotinib as a result of a lower central nervous system progression rate (at 12 months: 4.2% with ensartinib vs 23.9% with crizotinib; cause-specific hazard ratio, 0.32; 95% CI, 0.16-0.63; P = .001). Frequencies of treatment-related serious adverse events (ensartinib: 11 [7.7%] vs crizotinib: 9 [6.1%]), dose reductions (ensartinib: 34 of 143 [23.8%] vs crizotinib: 29 of 146 [19.9%]), or drug discontinuations (ensartinib: 13 of 143 [9.1%] vs crizotinib: 10 of 146 [6.8%]) were similar, without any new safety signals.\nCONCLUSIONS AND RELEVANCE: In this randomized clinical trial, ensartinib showed superior efficacy to crizotinib in both systemic and intracranial disease. Ensartinib represents a new first-line option for patients with ALK-positive NSCLC.\nTRIAL REGISTRATION: ClinicalTrials.gov Identifier: NCT02767804.","container-title":"JAMA oncology","DOI":"10.1001/jamaoncol.2021.3523","ISSN":"2374-2445","issue":"11","journalAbbreviation":"JAMA Oncol","language":"en","note":"PMID: 34473194\nPMCID: PMC8414368","page":"1617-1625","source":"PubMed","title":"Ensartinib vs Crizotinib for Patients With Anaplastic Lymphoma Kinase-Positive Non-Small Cell Lung Cancer: A Randomized Clinical Trial","title-short":"Ensartinib vs Crizotinib for Patients With Anaplastic Lymphoma Kinase-Positive Non-Small Cell Lung Cancer","volume":"7","author":[{"family":"Horn","given":"Leora"},{"family":"Wang","given":"Ziping"},{"family":"Wu","given":"Gang"},{"family":"Poddubskaya","given":"Elena"},{"family":"Mok","given":"Tony"},{"family":"Reck","given":"Martin"},{"family":"Wakelee","given":"Heather"},{"family":"Chiappori","given":"Alberto A."},{"family":"Lee","given":"Dae Ho"},{"family":"Breder","given":"Valeriy"},{"family":"Orlov","given":"Sergey"},{"family":"Cicin","given":"Irfan"},{"family":"Cheng","given":"Ying"},{"family":"Liu","given":"Yunpeng"},{"family":"Fan","given":"Yun"},{"family":"Whisenant","given":"Jennifer G."},{"family":"Zhou","given":"Yi"},{"family":"Oertel","given":"Vance"},{"family":"Harrow","given":"Kim"},{"family":"Liang","given":"Chris"},{"family":"Mao","given":"Li"},{"family":"Selvaggi","given":"Giovanni"},{"family":"Wu","given":"Yi-Long"}],"issued":{"date-parts":[["2021",11,1]]}}}],"schema":"https://github.com/citation-style-language/schema/raw/master/csl-citation.json"} </w:instrText>
            </w:r>
            <w:r>
              <w:rPr>
                <w:b w:val="0"/>
                <w:bCs w:val="0"/>
                <w:sz w:val="18"/>
                <w:szCs w:val="18"/>
              </w:rPr>
              <w:fldChar w:fldCharType="separate"/>
            </w:r>
            <w:r>
              <w:rPr>
                <w:b w:val="0"/>
                <w:bCs w:val="0"/>
                <w:sz w:val="18"/>
              </w:rPr>
              <w:t>[18]</w:t>
            </w:r>
            <w:r>
              <w:rPr>
                <w:b w:val="0"/>
                <w:bCs w:val="0"/>
                <w:sz w:val="18"/>
                <w:szCs w:val="18"/>
              </w:rPr>
              <w:fldChar w:fldCharType="end"/>
            </w:r>
          </w:p>
        </w:tc>
        <w:tc>
          <w:tcPr>
            <w:tcW w:w="714" w:type="pct"/>
            <w:tcBorders>
              <w:top w:val="nil"/>
              <w:left w:val="nil"/>
              <w:bottom w:val="nil"/>
              <w:right w:val="nil"/>
            </w:tcBorders>
            <w:noWrap/>
            <w:vAlign w:val="center"/>
          </w:tcPr>
          <w:p w14:paraId="49BCF2C7"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Ensartinib</w:t>
            </w:r>
            <w:proofErr w:type="spellEnd"/>
            <w:r>
              <w:rPr>
                <w:rFonts w:cstheme="minorBidi" w:hint="eastAsia"/>
                <w:b w:val="0"/>
                <w:bCs w:val="0"/>
                <w:sz w:val="18"/>
                <w:szCs w:val="18"/>
              </w:rPr>
              <w:t xml:space="preserve"> VS Crizotinib</w:t>
            </w:r>
          </w:p>
        </w:tc>
        <w:tc>
          <w:tcPr>
            <w:tcW w:w="711" w:type="pct"/>
            <w:tcBorders>
              <w:top w:val="nil"/>
              <w:left w:val="nil"/>
              <w:bottom w:val="nil"/>
              <w:right w:val="nil"/>
            </w:tcBorders>
            <w:noWrap/>
            <w:vAlign w:val="center"/>
          </w:tcPr>
          <w:p w14:paraId="70BA8C5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143 VS 147</w:t>
            </w:r>
          </w:p>
        </w:tc>
        <w:tc>
          <w:tcPr>
            <w:tcW w:w="401" w:type="pct"/>
            <w:tcBorders>
              <w:top w:val="nil"/>
              <w:left w:val="nil"/>
              <w:bottom w:val="nil"/>
              <w:right w:val="nil"/>
            </w:tcBorders>
            <w:noWrap/>
            <w:vAlign w:val="center"/>
          </w:tcPr>
          <w:p w14:paraId="3FA5D8F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588157F7"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0.91 (0.54-1.54)</w:t>
            </w:r>
          </w:p>
        </w:tc>
        <w:tc>
          <w:tcPr>
            <w:tcW w:w="523" w:type="pct"/>
            <w:tcBorders>
              <w:top w:val="nil"/>
              <w:left w:val="nil"/>
              <w:bottom w:val="nil"/>
              <w:right w:val="nil"/>
            </w:tcBorders>
            <w:noWrap/>
            <w:vAlign w:val="center"/>
          </w:tcPr>
          <w:p w14:paraId="75188F92"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0.50 (0.36-0.</w:t>
            </w:r>
            <w:proofErr w:type="gramStart"/>
            <w:r>
              <w:rPr>
                <w:rFonts w:hint="eastAsia"/>
                <w:b w:val="0"/>
                <w:bCs w:val="0"/>
                <w:color w:val="000000"/>
                <w:kern w:val="0"/>
                <w:sz w:val="18"/>
                <w:szCs w:val="18"/>
                <w:lang w:bidi="ar"/>
              </w:rPr>
              <w:t>71)#</w:t>
            </w:r>
            <w:proofErr w:type="gramEnd"/>
          </w:p>
        </w:tc>
        <w:tc>
          <w:tcPr>
            <w:tcW w:w="718" w:type="pct"/>
            <w:tcBorders>
              <w:top w:val="nil"/>
              <w:left w:val="nil"/>
              <w:bottom w:val="nil"/>
              <w:right w:val="nil"/>
            </w:tcBorders>
            <w:noWrap/>
            <w:vAlign w:val="center"/>
          </w:tcPr>
          <w:p w14:paraId="4A48C30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74 (66-81) VS 67 (58-74)</w:t>
            </w:r>
          </w:p>
        </w:tc>
        <w:tc>
          <w:tcPr>
            <w:tcW w:w="486" w:type="pct"/>
            <w:tcBorders>
              <w:top w:val="nil"/>
              <w:left w:val="nil"/>
              <w:bottom w:val="nil"/>
              <w:right w:val="nil"/>
            </w:tcBorders>
            <w:noWrap/>
            <w:vAlign w:val="center"/>
          </w:tcPr>
          <w:p w14:paraId="646DFE0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49.7 VS 39.7</w:t>
            </w:r>
          </w:p>
        </w:tc>
        <w:tc>
          <w:tcPr>
            <w:tcW w:w="484" w:type="pct"/>
            <w:tcBorders>
              <w:top w:val="nil"/>
              <w:left w:val="nil"/>
              <w:right w:val="nil"/>
            </w:tcBorders>
            <w:vAlign w:val="center"/>
          </w:tcPr>
          <w:p w14:paraId="6AB6B49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23.8(range: 0-44) VS 20.2(range: 0-38)</w:t>
            </w:r>
          </w:p>
        </w:tc>
      </w:tr>
      <w:tr w:rsidR="006D1C3F" w14:paraId="66CEC7B4" w14:textId="77777777">
        <w:trPr>
          <w:trHeight w:val="23"/>
        </w:trPr>
        <w:tc>
          <w:tcPr>
            <w:tcW w:w="454" w:type="pct"/>
            <w:vMerge w:val="restart"/>
            <w:tcBorders>
              <w:top w:val="nil"/>
              <w:left w:val="nil"/>
              <w:bottom w:val="nil"/>
              <w:right w:val="nil"/>
            </w:tcBorders>
            <w:noWrap/>
            <w:vAlign w:val="center"/>
          </w:tcPr>
          <w:p w14:paraId="18B958A7" w14:textId="77777777" w:rsidR="006D1C3F" w:rsidRDefault="00000000">
            <w:pPr>
              <w:ind w:firstLineChars="0" w:firstLine="0"/>
              <w:rPr>
                <w:b w:val="0"/>
                <w:bCs w:val="0"/>
                <w:sz w:val="18"/>
                <w:szCs w:val="18"/>
              </w:rPr>
            </w:pPr>
            <w:r>
              <w:rPr>
                <w:b w:val="0"/>
                <w:bCs w:val="0"/>
                <w:sz w:val="18"/>
                <w:szCs w:val="18"/>
              </w:rPr>
              <w:t>ASCEND-4</w:t>
            </w:r>
            <w:r>
              <w:rPr>
                <w:b w:val="0"/>
                <w:bCs w:val="0"/>
                <w:sz w:val="18"/>
                <w:szCs w:val="18"/>
              </w:rPr>
              <w:fldChar w:fldCharType="begin"/>
            </w:r>
            <w:r>
              <w:rPr>
                <w:b w:val="0"/>
                <w:bCs w:val="0"/>
                <w:sz w:val="18"/>
                <w:szCs w:val="18"/>
              </w:rPr>
              <w:instrText xml:space="preserve"> ADDIN ZOTERO_ITEM CSL_CITATION {"citationID":"MJphcJYt","properties":{"formattedCitation":"(19)","plainCitation":"(19)","noteIndex":0},"citationItems":[{"id":386,"uris":["http://zotero.org/users/local/eBJtW3GH/items/WVIWZCK7"],"itemData":{"id":386,"type":"article-journal","abstract":"BACKGROUND: The efficacy of ceritinib in patients with untreated anaplastic lymphoma kinase (ALK)-rearranged non-small-cell lung cancer (NSCLC) is not known. We assessed the efficacy and safety of ceritinib versus platinum-based chemotherapy in these patients.\nMETHODS: This randomised, open-label, phase 3 study in untreated patients with stage IIIB/IV ALK-rearranged non-squamous NSCLC was done in 134 centres across 28 countries. Eligible patients were assigned via interactive response technology to oral ceritinib 750 mg/day or platinum-based chemotherapy ([cisplatin 75 mg/m2 or carboplatin AUC 5-6 plus pemetrexed 500 mg/m2] every 3 weeks for four cycles followed by maintenance pemetrexed); randomisation was stratified by World Health Organization performance status (0 vs 1-2), previous neoadjuvant or adjuvant chemotherapy, and presence of brain metastases as per investigator's assessment at screening. Investigators and patients were not masked to treatment assignment. The primary endpoint was blinded independent review committee assessed progression-free survival, based on all randomly assigned patients (the full analysis set). Efficacy analyses were done based on the full analysis set. All safety analyses were done based on the safety set, which included all patients who received at least one dose of study drug. This trial is registered with ClinicalTrials.gov, number NCT01828099.\nFINDINGS: Between Aug 19, 2013, and May 11, 2015, 376 patients were randomly assigned to ceritinib (n=189) or chemotherapy (n=187). Median progression-free survival (as assessed by blinded independent review committee) was 16·6 months (95% CI 12·6-27·2) in the ceritinib group and 8·1 months (5·8-11·1) in the chemotherapy group (hazard ratio 0·55 [95% CI 0·42-0·73]; p&lt;0·00001). The most common adverse events were diarrhoea (in 160 [85%] of 189 patients), nausea (130 [69%]), vomiting (125 [66%]), and an increase in alanine aminotransferase (114 [60%]) in the ceritinib group and nausea (in 97 [55%] of 175 patients), vomiting (63 [36%]), and anaemia (62 [35%]) in the chemotherapy group.\nINTERPRETATION: First-line ceritinib showed a statistically significant and clinically meaningful improvement in progression-free survival versus chemotherapy in patients with advanced ALK-rearranged NSCLC.\nFUNDING: Novartis Pharmaceuticals Corporation.","container-title":"Lancet (London, England)","DOI":"10.1016/S0140-6736(17)30123-X","ISSN":"1474-547X","issue":"10072","journalAbbreviation":"Lancet","language":"en","note":"PMID: 28126333","page":"917-929","source":"PubMed","title":"First-line ceritinib versus platinum-based chemotherapy in advanced ALK-rearranged non-small-cell lung cancer (ASCEND-4): a randomised, open-label, phase 3 study","title-short":"First-line ceritinib versus platinum-based chemotherapy in advanced ALK-rearranged non-small-cell lung cancer (ASCEND-4)","volume":"389","author":[{"family":"Soria","given":"Jean-Charles"},{"family":"Tan","given":"Daniel S. W."},{"family":"Chiari","given":"Rita"},{"family":"Wu","given":"Yi-Long"},{"family":"Paz-Ares","given":"Luis"},{"family":"Wolf","given":"Juergen"},{"family":"Geater","given":"Sarayut L."},{"family":"Orlov","given":"Sergey"},{"family":"Cortinovis","given":"Diego"},{"family":"Yu","given":"Chong-Jen"},{"family":"Hochmair","given":"Maximillian"},{"family":"Cortot","given":"Alexis B."},{"family":"Tsai","given":"Chun-Ming"},{"family":"Moro-Sibilot","given":"Denis"},{"family":"Campelo","given":"Rosario G."},{"family":"McCulloch","given":"Tracey"},{"family":"Sen","given":"Paramita"},{"family":"Dugan","given":"Margaret"},{"family":"Pantano","given":"Serafino"},{"family":"Branle","given":"Fabrice"},{"family":"Massacesi","given":"Cristian"},{"family":"Castro","given":"Gilberto","non-dropping-particle":"de"}],"issued":{"date-parts":[["2017",3,4]]}}}],"schema":"https://github.com/citation-style-language/schema/raw/master/csl-citation.json"} </w:instrText>
            </w:r>
            <w:r>
              <w:rPr>
                <w:b w:val="0"/>
                <w:bCs w:val="0"/>
                <w:sz w:val="18"/>
                <w:szCs w:val="18"/>
              </w:rPr>
              <w:fldChar w:fldCharType="separate"/>
            </w:r>
            <w:r>
              <w:rPr>
                <w:b w:val="0"/>
                <w:bCs w:val="0"/>
                <w:sz w:val="18"/>
              </w:rPr>
              <w:t>[19]</w:t>
            </w:r>
            <w:r>
              <w:rPr>
                <w:b w:val="0"/>
                <w:bCs w:val="0"/>
                <w:sz w:val="18"/>
                <w:szCs w:val="18"/>
              </w:rPr>
              <w:fldChar w:fldCharType="end"/>
            </w:r>
          </w:p>
        </w:tc>
        <w:tc>
          <w:tcPr>
            <w:tcW w:w="714" w:type="pct"/>
            <w:vMerge w:val="restart"/>
            <w:tcBorders>
              <w:top w:val="nil"/>
              <w:left w:val="nil"/>
              <w:bottom w:val="nil"/>
              <w:right w:val="nil"/>
            </w:tcBorders>
            <w:noWrap/>
            <w:vAlign w:val="center"/>
          </w:tcPr>
          <w:p w14:paraId="198AB571"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Ceritinib</w:t>
            </w:r>
            <w:proofErr w:type="spellEnd"/>
            <w:r>
              <w:rPr>
                <w:rFonts w:cstheme="minorBidi" w:hint="eastAsia"/>
                <w:b w:val="0"/>
                <w:bCs w:val="0"/>
                <w:sz w:val="18"/>
                <w:szCs w:val="18"/>
              </w:rPr>
              <w:t xml:space="preserve"> VS Pemetrexed + Cisplatin/Carboplatin</w:t>
            </w:r>
          </w:p>
        </w:tc>
        <w:tc>
          <w:tcPr>
            <w:tcW w:w="711" w:type="pct"/>
            <w:vMerge w:val="restart"/>
            <w:tcBorders>
              <w:top w:val="nil"/>
              <w:left w:val="nil"/>
              <w:bottom w:val="nil"/>
              <w:right w:val="nil"/>
            </w:tcBorders>
            <w:noWrap/>
            <w:vAlign w:val="center"/>
          </w:tcPr>
          <w:p w14:paraId="795F816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189 VS 187</w:t>
            </w:r>
          </w:p>
        </w:tc>
        <w:tc>
          <w:tcPr>
            <w:tcW w:w="401" w:type="pct"/>
            <w:vMerge w:val="restart"/>
            <w:tcBorders>
              <w:top w:val="nil"/>
              <w:left w:val="nil"/>
              <w:bottom w:val="nil"/>
              <w:right w:val="nil"/>
            </w:tcBorders>
            <w:noWrap/>
            <w:vAlign w:val="center"/>
          </w:tcPr>
          <w:p w14:paraId="5FF4F01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vMerge w:val="restart"/>
            <w:tcBorders>
              <w:top w:val="nil"/>
              <w:left w:val="nil"/>
              <w:bottom w:val="nil"/>
              <w:right w:val="nil"/>
            </w:tcBorders>
            <w:noWrap/>
            <w:vAlign w:val="center"/>
          </w:tcPr>
          <w:p w14:paraId="52AC6752"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0.73 (0.50-1.08)</w:t>
            </w:r>
          </w:p>
        </w:tc>
        <w:tc>
          <w:tcPr>
            <w:tcW w:w="523" w:type="pct"/>
            <w:tcBorders>
              <w:top w:val="nil"/>
              <w:left w:val="nil"/>
              <w:bottom w:val="nil"/>
              <w:right w:val="nil"/>
            </w:tcBorders>
            <w:vAlign w:val="center"/>
          </w:tcPr>
          <w:p w14:paraId="3B048603"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0.55 (0.42-0.</w:t>
            </w:r>
            <w:proofErr w:type="gramStart"/>
            <w:r>
              <w:rPr>
                <w:rFonts w:hint="eastAsia"/>
                <w:b w:val="0"/>
                <w:bCs w:val="0"/>
                <w:color w:val="000000"/>
                <w:kern w:val="0"/>
                <w:sz w:val="18"/>
                <w:szCs w:val="18"/>
                <w:lang w:bidi="ar"/>
              </w:rPr>
              <w:t>73)#</w:t>
            </w:r>
            <w:proofErr w:type="gramEnd"/>
          </w:p>
        </w:tc>
        <w:tc>
          <w:tcPr>
            <w:tcW w:w="718" w:type="pct"/>
            <w:vMerge w:val="restart"/>
            <w:tcBorders>
              <w:top w:val="nil"/>
              <w:left w:val="nil"/>
              <w:bottom w:val="nil"/>
              <w:right w:val="nil"/>
            </w:tcBorders>
            <w:noWrap/>
            <w:vAlign w:val="center"/>
          </w:tcPr>
          <w:p w14:paraId="3795F70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73 (66-79) VS 27 (21-34)</w:t>
            </w:r>
          </w:p>
        </w:tc>
        <w:tc>
          <w:tcPr>
            <w:tcW w:w="486" w:type="pct"/>
            <w:vMerge w:val="restart"/>
            <w:tcBorders>
              <w:top w:val="nil"/>
              <w:left w:val="nil"/>
              <w:bottom w:val="nil"/>
              <w:right w:val="nil"/>
            </w:tcBorders>
            <w:noWrap/>
            <w:vAlign w:val="center"/>
          </w:tcPr>
          <w:p w14:paraId="0F32D4D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78 VS 62</w:t>
            </w:r>
          </w:p>
        </w:tc>
        <w:tc>
          <w:tcPr>
            <w:tcW w:w="484" w:type="pct"/>
            <w:vMerge w:val="restart"/>
            <w:tcBorders>
              <w:top w:val="nil"/>
              <w:left w:val="nil"/>
              <w:right w:val="nil"/>
            </w:tcBorders>
            <w:vAlign w:val="center"/>
          </w:tcPr>
          <w:p w14:paraId="2C1CC56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19.4</w:t>
            </w:r>
          </w:p>
        </w:tc>
      </w:tr>
      <w:tr w:rsidR="006D1C3F" w14:paraId="750F425E" w14:textId="77777777">
        <w:trPr>
          <w:trHeight w:val="23"/>
        </w:trPr>
        <w:tc>
          <w:tcPr>
            <w:tcW w:w="454" w:type="pct"/>
            <w:vMerge/>
            <w:tcBorders>
              <w:top w:val="nil"/>
              <w:left w:val="nil"/>
              <w:bottom w:val="nil"/>
              <w:right w:val="nil"/>
            </w:tcBorders>
            <w:noWrap/>
            <w:vAlign w:val="center"/>
          </w:tcPr>
          <w:p w14:paraId="25D02DD1" w14:textId="77777777" w:rsidR="006D1C3F" w:rsidRDefault="006D1C3F">
            <w:pPr>
              <w:ind w:firstLine="360"/>
              <w:jc w:val="center"/>
              <w:rPr>
                <w:b w:val="0"/>
                <w:bCs w:val="0"/>
                <w:sz w:val="18"/>
                <w:szCs w:val="18"/>
              </w:rPr>
            </w:pPr>
          </w:p>
        </w:tc>
        <w:tc>
          <w:tcPr>
            <w:tcW w:w="714" w:type="pct"/>
            <w:vMerge/>
            <w:tcBorders>
              <w:top w:val="nil"/>
              <w:left w:val="nil"/>
              <w:bottom w:val="nil"/>
              <w:right w:val="nil"/>
            </w:tcBorders>
            <w:noWrap/>
            <w:vAlign w:val="center"/>
          </w:tcPr>
          <w:p w14:paraId="3E7A7435" w14:textId="77777777" w:rsidR="006D1C3F" w:rsidRDefault="006D1C3F">
            <w:pPr>
              <w:ind w:firstLine="360"/>
              <w:jc w:val="center"/>
              <w:rPr>
                <w:rFonts w:cstheme="minorBidi"/>
                <w:b w:val="0"/>
                <w:bCs w:val="0"/>
                <w:sz w:val="18"/>
                <w:szCs w:val="18"/>
              </w:rPr>
            </w:pPr>
          </w:p>
        </w:tc>
        <w:tc>
          <w:tcPr>
            <w:tcW w:w="711" w:type="pct"/>
            <w:vMerge/>
            <w:tcBorders>
              <w:top w:val="nil"/>
              <w:left w:val="nil"/>
              <w:bottom w:val="nil"/>
              <w:right w:val="nil"/>
            </w:tcBorders>
            <w:noWrap/>
            <w:vAlign w:val="center"/>
          </w:tcPr>
          <w:p w14:paraId="7AC8E174" w14:textId="77777777" w:rsidR="006D1C3F" w:rsidRDefault="006D1C3F">
            <w:pPr>
              <w:ind w:firstLine="360"/>
              <w:jc w:val="center"/>
              <w:rPr>
                <w:rFonts w:cstheme="minorBidi"/>
                <w:b w:val="0"/>
                <w:bCs w:val="0"/>
                <w:sz w:val="18"/>
                <w:szCs w:val="18"/>
              </w:rPr>
            </w:pPr>
          </w:p>
        </w:tc>
        <w:tc>
          <w:tcPr>
            <w:tcW w:w="401" w:type="pct"/>
            <w:vMerge/>
            <w:tcBorders>
              <w:top w:val="nil"/>
              <w:left w:val="nil"/>
              <w:bottom w:val="nil"/>
              <w:right w:val="nil"/>
            </w:tcBorders>
            <w:noWrap/>
            <w:vAlign w:val="center"/>
          </w:tcPr>
          <w:p w14:paraId="077E14EF" w14:textId="77777777" w:rsidR="006D1C3F" w:rsidRDefault="006D1C3F">
            <w:pPr>
              <w:ind w:firstLine="360"/>
              <w:jc w:val="center"/>
              <w:rPr>
                <w:rFonts w:cstheme="minorBidi"/>
                <w:b w:val="0"/>
                <w:bCs w:val="0"/>
                <w:sz w:val="18"/>
                <w:szCs w:val="18"/>
              </w:rPr>
            </w:pPr>
          </w:p>
        </w:tc>
        <w:tc>
          <w:tcPr>
            <w:tcW w:w="509" w:type="pct"/>
            <w:vMerge/>
            <w:tcBorders>
              <w:top w:val="nil"/>
              <w:left w:val="nil"/>
              <w:bottom w:val="nil"/>
              <w:right w:val="nil"/>
            </w:tcBorders>
            <w:noWrap/>
            <w:vAlign w:val="center"/>
          </w:tcPr>
          <w:p w14:paraId="0AF5B69F" w14:textId="77777777" w:rsidR="006D1C3F" w:rsidRDefault="006D1C3F">
            <w:pPr>
              <w:spacing w:line="240" w:lineRule="auto"/>
              <w:ind w:firstLineChars="0" w:firstLine="0"/>
              <w:jc w:val="center"/>
              <w:rPr>
                <w:rFonts w:eastAsiaTheme="minorEastAsia" w:cstheme="minorBidi"/>
                <w:b w:val="0"/>
                <w:bCs w:val="0"/>
                <w:sz w:val="18"/>
                <w:szCs w:val="18"/>
              </w:rPr>
            </w:pPr>
          </w:p>
        </w:tc>
        <w:tc>
          <w:tcPr>
            <w:tcW w:w="523" w:type="pct"/>
            <w:tcBorders>
              <w:top w:val="nil"/>
              <w:left w:val="nil"/>
              <w:bottom w:val="nil"/>
              <w:right w:val="nil"/>
            </w:tcBorders>
            <w:noWrap/>
            <w:vAlign w:val="center"/>
          </w:tcPr>
          <w:p w14:paraId="0F6BA22B"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0.49 (0.37-0.</w:t>
            </w:r>
            <w:proofErr w:type="gramStart"/>
            <w:r>
              <w:rPr>
                <w:rFonts w:hint="eastAsia"/>
                <w:b w:val="0"/>
                <w:bCs w:val="0"/>
                <w:color w:val="000000"/>
                <w:kern w:val="0"/>
                <w:sz w:val="18"/>
                <w:szCs w:val="18"/>
                <w:lang w:bidi="ar"/>
              </w:rPr>
              <w:t>64)*</w:t>
            </w:r>
            <w:proofErr w:type="gramEnd"/>
          </w:p>
        </w:tc>
        <w:tc>
          <w:tcPr>
            <w:tcW w:w="718" w:type="pct"/>
            <w:vMerge/>
            <w:tcBorders>
              <w:top w:val="nil"/>
              <w:left w:val="nil"/>
              <w:bottom w:val="nil"/>
              <w:right w:val="nil"/>
            </w:tcBorders>
            <w:noWrap/>
            <w:vAlign w:val="center"/>
          </w:tcPr>
          <w:p w14:paraId="2F390C23" w14:textId="77777777" w:rsidR="006D1C3F" w:rsidRDefault="006D1C3F">
            <w:pPr>
              <w:ind w:firstLine="360"/>
              <w:jc w:val="center"/>
              <w:rPr>
                <w:rFonts w:cstheme="minorBidi"/>
                <w:b w:val="0"/>
                <w:bCs w:val="0"/>
                <w:sz w:val="18"/>
                <w:szCs w:val="18"/>
              </w:rPr>
            </w:pPr>
          </w:p>
        </w:tc>
        <w:tc>
          <w:tcPr>
            <w:tcW w:w="486" w:type="pct"/>
            <w:vMerge/>
            <w:tcBorders>
              <w:top w:val="nil"/>
              <w:left w:val="nil"/>
              <w:bottom w:val="nil"/>
              <w:right w:val="nil"/>
            </w:tcBorders>
            <w:noWrap/>
            <w:vAlign w:val="center"/>
          </w:tcPr>
          <w:p w14:paraId="3A935D40" w14:textId="77777777" w:rsidR="006D1C3F" w:rsidRDefault="006D1C3F">
            <w:pPr>
              <w:ind w:firstLine="360"/>
              <w:jc w:val="center"/>
              <w:rPr>
                <w:rFonts w:cstheme="minorBidi"/>
                <w:b w:val="0"/>
                <w:bCs w:val="0"/>
                <w:sz w:val="18"/>
                <w:szCs w:val="18"/>
              </w:rPr>
            </w:pPr>
          </w:p>
        </w:tc>
        <w:tc>
          <w:tcPr>
            <w:tcW w:w="484" w:type="pct"/>
            <w:vMerge/>
            <w:tcBorders>
              <w:left w:val="nil"/>
              <w:bottom w:val="nil"/>
              <w:right w:val="nil"/>
            </w:tcBorders>
            <w:vAlign w:val="center"/>
          </w:tcPr>
          <w:p w14:paraId="426D457A" w14:textId="77777777" w:rsidR="006D1C3F" w:rsidRDefault="006D1C3F">
            <w:pPr>
              <w:ind w:firstLine="360"/>
              <w:jc w:val="center"/>
              <w:rPr>
                <w:rFonts w:cstheme="minorBidi"/>
                <w:b w:val="0"/>
                <w:bCs w:val="0"/>
                <w:sz w:val="18"/>
                <w:szCs w:val="18"/>
              </w:rPr>
            </w:pPr>
          </w:p>
        </w:tc>
      </w:tr>
      <w:tr w:rsidR="006D1C3F" w14:paraId="12F0F50C" w14:textId="77777777">
        <w:trPr>
          <w:trHeight w:val="652"/>
        </w:trPr>
        <w:tc>
          <w:tcPr>
            <w:tcW w:w="454" w:type="pct"/>
            <w:tcBorders>
              <w:top w:val="nil"/>
              <w:left w:val="nil"/>
              <w:bottom w:val="nil"/>
              <w:right w:val="nil"/>
            </w:tcBorders>
            <w:noWrap/>
            <w:vAlign w:val="center"/>
          </w:tcPr>
          <w:p w14:paraId="65720350" w14:textId="77777777" w:rsidR="006D1C3F" w:rsidRDefault="00000000">
            <w:pPr>
              <w:ind w:firstLineChars="0" w:firstLine="0"/>
              <w:rPr>
                <w:b w:val="0"/>
                <w:bCs w:val="0"/>
                <w:sz w:val="18"/>
                <w:szCs w:val="18"/>
              </w:rPr>
            </w:pPr>
            <w:r>
              <w:rPr>
                <w:b w:val="0"/>
                <w:bCs w:val="0"/>
                <w:sz w:val="18"/>
                <w:szCs w:val="18"/>
              </w:rPr>
              <w:t>PROFILE 1029</w:t>
            </w:r>
            <w:r>
              <w:rPr>
                <w:b w:val="0"/>
                <w:bCs w:val="0"/>
                <w:sz w:val="18"/>
                <w:szCs w:val="18"/>
              </w:rPr>
              <w:fldChar w:fldCharType="begin"/>
            </w:r>
            <w:r>
              <w:rPr>
                <w:b w:val="0"/>
                <w:bCs w:val="0"/>
                <w:sz w:val="18"/>
                <w:szCs w:val="18"/>
              </w:rPr>
              <w:instrText xml:space="preserve"> ADDIN ZOTERO_ITEM CSL_CITATION {"citationID":"3EKUGH1r","properties":{"formattedCitation":"(20)","plainCitation":"(20)","noteIndex":0},"citationItems":[{"id":389,"uris":["http://zotero.org/users/local/eBJtW3GH/items/CF4CW4LM"],"itemData":{"id":389,"type":"article-journal","abstract":"INTRODUCTION: The phase III randomized PROFILE 1014 study demonstrated superiority of crizotinib to first-line chemotherapy in prolonging progression-free survival (PFS) in previously untreated patients with ALK receptor tyrosine kinase gene (ALK)-positive advanced nonsquamous NSCLC. This result was consistent with that in the smaller subset of East Asian patients in PROFILE 1014. The subsequent study reported here prospectively evaluated crizotinib in a larger East Asian patient population.\nMETHODS: In this open-label phase III study (PROFILE 1029), patients were randomized 1:1 to receive orally administered crizotinib 250 mg twice daily continuously (3-week cycles) or intravenously administered chemotherapy (pemetrexed 500 mg/m2, plus cisplatin 75 mg/m2, or carboplatin [at a dose to produce area under the concentration-time curve of 5-6 mg·min/mL]) every 3 weeks for a maximum of six cycles. PFS confirmed by independent radiology review was the primary end point.\nRESULTS: Crizotinib significantly prolonged PFS (hazard ratio, 0.402; 95% confidence interval [CI]: 0.286-0.565; p &lt; 0.001). The median PFS was 11.1 months with crizotinib and 6.8 months with chemotherapy. The objective response rate was 87.5% (95% CI: 79.6-93.2%) with crizotinib versus 45.6% (95% CI: 35.8-55.7%) with chemotherapy (p &lt; 0.001). The most common adverse events were increased transaminase levels, diarrhea, and vision disorders with crizotinib and leukopenia, neutropenia, and anemia with chemotherapy. Significantly greater improvements from baseline in patient-reported outcomes were seen in crizotinib-treated versus chemotherapy-treated patients.\nCONCLUSIONS: First-line crizotinib significantly improved PFS, objective response rate, and patient-reported outcomes compared with standard platinum-based chemotherapy in East Asian patients with ALK-positive advanced NSCLC, which is similar to the results from PROFILE 1014. The safety profiles of crizotinib and chemotherapy were consistent with those previously published.","container-title":"Journal of Thoracic Oncology: Official Publication of the International Association for the Study of Lung Cancer","DOI":"10.1016/j.jtho.2018.06.012","ISSN":"1556-1380","issue":"10","journalAbbreviation":"J Thorac Oncol","language":"en","note":"PMID: 29966800","page":"1539-1548","source":"PubMed","title":"Results of PROFILE 1029, a Phase III Comparison of First-Line Crizotinib versus Chemotherapy in East Asian Patients with ALK-Positive Advanced Non-Small Cell Lung Cancer","volume":"13","author":[{"family":"Wu","given":"Yi-Long"},{"family":"Lu","given":"Shun"},{"family":"Lu","given":"You"},{"family":"Zhou","given":"Jianying"},{"family":"Shi","given":"Yuan-Kai"},{"family":"Sriuranpong","given":"Virote"},{"family":"Ho","given":"James C. M."},{"family":"Ong","given":"Choo Khoon"},{"family":"Tsai","given":"Chun-Ming"},{"family":"Chung","given":"Chin-Hee"},{"family":"Wilner","given":"Keith D."},{"family":"Tang","given":"Yiyun"},{"family":"Masters","given":"Elizabeth T."},{"family":"Selaru","given":"Paulina"},{"family":"Mok","given":"Tony S."}],"issued":{"date-parts":[["2018",10]]}}}],"schema":"https://github.com/citation-style-language/schema/raw/master/csl-citation.json"} </w:instrText>
            </w:r>
            <w:r>
              <w:rPr>
                <w:b w:val="0"/>
                <w:bCs w:val="0"/>
                <w:sz w:val="18"/>
                <w:szCs w:val="18"/>
              </w:rPr>
              <w:fldChar w:fldCharType="separate"/>
            </w:r>
            <w:r>
              <w:rPr>
                <w:b w:val="0"/>
                <w:bCs w:val="0"/>
                <w:sz w:val="18"/>
              </w:rPr>
              <w:t>[20]</w:t>
            </w:r>
            <w:r>
              <w:rPr>
                <w:b w:val="0"/>
                <w:bCs w:val="0"/>
                <w:sz w:val="18"/>
                <w:szCs w:val="18"/>
              </w:rPr>
              <w:fldChar w:fldCharType="end"/>
            </w:r>
          </w:p>
        </w:tc>
        <w:tc>
          <w:tcPr>
            <w:tcW w:w="714" w:type="pct"/>
            <w:tcBorders>
              <w:top w:val="nil"/>
              <w:left w:val="nil"/>
              <w:bottom w:val="nil"/>
              <w:right w:val="nil"/>
            </w:tcBorders>
            <w:noWrap/>
            <w:vAlign w:val="center"/>
          </w:tcPr>
          <w:p w14:paraId="61F5F4F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Crizotinib VS Pemetrexed + Cisplatin/Carboplatin</w:t>
            </w:r>
          </w:p>
        </w:tc>
        <w:tc>
          <w:tcPr>
            <w:tcW w:w="711" w:type="pct"/>
            <w:tcBorders>
              <w:top w:val="nil"/>
              <w:left w:val="nil"/>
              <w:bottom w:val="nil"/>
              <w:right w:val="nil"/>
            </w:tcBorders>
            <w:noWrap/>
            <w:vAlign w:val="center"/>
          </w:tcPr>
          <w:p w14:paraId="33C2BC6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104 VS 103</w:t>
            </w:r>
          </w:p>
        </w:tc>
        <w:tc>
          <w:tcPr>
            <w:tcW w:w="401" w:type="pct"/>
            <w:tcBorders>
              <w:top w:val="nil"/>
              <w:left w:val="nil"/>
              <w:bottom w:val="nil"/>
              <w:right w:val="nil"/>
            </w:tcBorders>
            <w:noWrap/>
            <w:vAlign w:val="center"/>
          </w:tcPr>
          <w:p w14:paraId="50C3C3F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tcBorders>
              <w:top w:val="nil"/>
              <w:left w:val="nil"/>
              <w:bottom w:val="nil"/>
              <w:right w:val="nil"/>
            </w:tcBorders>
            <w:vAlign w:val="center"/>
          </w:tcPr>
          <w:p w14:paraId="0141CC2D"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0.90 (0.56</w:t>
            </w:r>
            <w:r>
              <w:rPr>
                <w:rFonts w:hint="eastAsia"/>
                <w:b w:val="0"/>
                <w:bCs w:val="0"/>
                <w:color w:val="000000"/>
                <w:kern w:val="0"/>
                <w:sz w:val="18"/>
                <w:szCs w:val="18"/>
                <w:lang w:bidi="ar"/>
              </w:rPr>
              <w:t>–</w:t>
            </w:r>
            <w:r>
              <w:rPr>
                <w:rFonts w:hint="eastAsia"/>
                <w:b w:val="0"/>
                <w:bCs w:val="0"/>
                <w:color w:val="000000"/>
                <w:kern w:val="0"/>
                <w:sz w:val="18"/>
                <w:szCs w:val="18"/>
                <w:lang w:bidi="ar"/>
              </w:rPr>
              <w:t>1.44)</w:t>
            </w:r>
          </w:p>
        </w:tc>
        <w:tc>
          <w:tcPr>
            <w:tcW w:w="523" w:type="pct"/>
            <w:tcBorders>
              <w:top w:val="nil"/>
              <w:left w:val="nil"/>
              <w:bottom w:val="nil"/>
              <w:right w:val="nil"/>
            </w:tcBorders>
            <w:noWrap/>
            <w:vAlign w:val="center"/>
          </w:tcPr>
          <w:p w14:paraId="54428DF9"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0.40 (0.29-0.</w:t>
            </w:r>
            <w:proofErr w:type="gramStart"/>
            <w:r>
              <w:rPr>
                <w:rFonts w:hint="eastAsia"/>
                <w:b w:val="0"/>
                <w:bCs w:val="0"/>
                <w:color w:val="000000"/>
                <w:kern w:val="0"/>
                <w:sz w:val="18"/>
                <w:szCs w:val="18"/>
                <w:lang w:bidi="ar"/>
              </w:rPr>
              <w:t>57)#</w:t>
            </w:r>
            <w:proofErr w:type="gramEnd"/>
          </w:p>
        </w:tc>
        <w:tc>
          <w:tcPr>
            <w:tcW w:w="718" w:type="pct"/>
            <w:tcBorders>
              <w:top w:val="nil"/>
              <w:left w:val="nil"/>
              <w:bottom w:val="nil"/>
              <w:right w:val="nil"/>
            </w:tcBorders>
            <w:noWrap/>
            <w:vAlign w:val="center"/>
          </w:tcPr>
          <w:p w14:paraId="184D691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88 (80-93) VS 46 (36-56)</w:t>
            </w:r>
          </w:p>
        </w:tc>
        <w:tc>
          <w:tcPr>
            <w:tcW w:w="486" w:type="pct"/>
            <w:tcBorders>
              <w:top w:val="nil"/>
              <w:left w:val="nil"/>
              <w:bottom w:val="nil"/>
              <w:right w:val="nil"/>
            </w:tcBorders>
            <w:noWrap/>
            <w:vAlign w:val="center"/>
          </w:tcPr>
          <w:p w14:paraId="6CC48DC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NA</w:t>
            </w:r>
          </w:p>
        </w:tc>
        <w:tc>
          <w:tcPr>
            <w:tcW w:w="484" w:type="pct"/>
            <w:tcBorders>
              <w:top w:val="nil"/>
              <w:left w:val="nil"/>
              <w:right w:val="nil"/>
            </w:tcBorders>
            <w:vAlign w:val="center"/>
          </w:tcPr>
          <w:p w14:paraId="4B80455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22.5(95% CI 20.5-23.3) VS 21.6(95% CI 20.7-23.0)</w:t>
            </w:r>
          </w:p>
        </w:tc>
      </w:tr>
      <w:tr w:rsidR="006D1C3F" w14:paraId="34CA8BA5" w14:textId="77777777">
        <w:trPr>
          <w:trHeight w:val="23"/>
        </w:trPr>
        <w:tc>
          <w:tcPr>
            <w:tcW w:w="454" w:type="pct"/>
            <w:vMerge w:val="restart"/>
            <w:tcBorders>
              <w:top w:val="nil"/>
              <w:left w:val="nil"/>
              <w:bottom w:val="nil"/>
              <w:right w:val="nil"/>
            </w:tcBorders>
            <w:noWrap/>
            <w:vAlign w:val="center"/>
          </w:tcPr>
          <w:p w14:paraId="40F58A0D" w14:textId="77777777" w:rsidR="006D1C3F" w:rsidRDefault="00000000">
            <w:pPr>
              <w:ind w:firstLineChars="0" w:firstLine="0"/>
              <w:rPr>
                <w:b w:val="0"/>
                <w:bCs w:val="0"/>
                <w:sz w:val="18"/>
                <w:szCs w:val="18"/>
              </w:rPr>
            </w:pPr>
            <w:r>
              <w:rPr>
                <w:b w:val="0"/>
                <w:bCs w:val="0"/>
                <w:sz w:val="18"/>
                <w:szCs w:val="18"/>
              </w:rPr>
              <w:t>J-ALEX</w:t>
            </w:r>
            <w:r>
              <w:rPr>
                <w:b w:val="0"/>
                <w:bCs w:val="0"/>
                <w:sz w:val="18"/>
                <w:szCs w:val="18"/>
              </w:rPr>
              <w:fldChar w:fldCharType="begin"/>
            </w:r>
            <w:r>
              <w:rPr>
                <w:b w:val="0"/>
                <w:bCs w:val="0"/>
                <w:sz w:val="18"/>
                <w:szCs w:val="18"/>
              </w:rPr>
              <w:instrText xml:space="preserve"> ADDIN ZOTERO_ITEM CSL_CITATION {"citationID":"UdnWU0Ke","properties":{"formattedCitation":"(21)","plainCitation":"(21)","noteIndex":0},"citationItems":[{"id":392,"uris":["http://zotero.org/users/local/eBJtW3GH/items/G9LTCB67"],"itemData":{"id":392,"type":"article-journal","abstract":"BACKGROUND: Alectinib, a potent, highly selective, CNS-active inhibitor of anaplastic lymphoma kinase (ALK), showed promising efficacy and tolerability in the single-arm phase 1/2 AF-001JP trial in Japanese patients with ALK-positive non-small-cell lung cancer. Given those promising results, we did a phase 3 trial to directly compare the efficacy and safety of alectinib and crizotinib.\nMETHODS: J-ALEX was a randomised, open-label, phase 3 trial that recruited ALK inhibitor-naive Japanese patients with ALK-positive non-small-cell lung cancer, who were chemotherapy-naive or had received one previous chemotherapy regimen, from 41 study sites in Japan. Patients were randomly assigned (1:1) via an interactive web response system using a permuted-block method stratified by Eastern Cooperative Oncology Group performance status, treatment line, and disease stage to receive oral alectinib 300 mg twice daily or crizotinib 250 mg twice daily until progressive disease, unacceptable toxicity, death, or withdrawal. The primary endpoint was progression-free survival assessed by an independent review facility. The efficacy analysis was done in the intention-to-treat population, and safety analyses were done in all patients who received at least one dose of the study drug. The study is ongoing and patient recruitment is closed. This study is registered with the Japan Pharmaceutical Information Center (number JapicCTI-132316).\nFINDINGS: Between Nov 18, 2013, and Aug 4, 2015, 207 patients were recruited and assigned to the alectinib (n=103) or crizotinib (n=104) groups. At data cutoff for the second interim analysis, 24 patients in the alectinib group had discontinued treatment compared with 61 in the crizotinib group, mostly due to lack of efficacy or adverse events. At the second interim analysis (data cutoff date Dec 3, 2015), an independent data monitoring committee determined that the primary endpoint of the study had been met (hazard ratio 0·34 [99·7% CI 0·17-0·71], stratified log-rank p&lt;0·0001) and recommended an immediate release of the data. Median progression-free survival had not yet been reached with alectinib (95% CI 20·3-not estimated) and was 10·2 months (8·2-12·0) with crizotinib. Grade 3 or 4 adverse events occurred at a greater frequency with crizotinib (54 [52%] of 104) than alectinib (27 [26%] of 103). Dose interruptions due to adverse events were also more prevalent with crizotinib (77 [74%] of 104) than with alectinib (30 [29%] of 103), and more patients receiving crizotinib (21 [20%]) than alectinib (nine [9%]) discontinued the study drug because of an adverse event. No adverse events with a fatal outcome occurred in either treatment group.\nINTERPRETATION: These results provide the first head-to-head comparison of alectinib and crizotinib and have the potential to change the standard of care for the first-line treatment of ALK-positive non-small-cell lung cancer. The dose of alectinib (300 mg twice daily) used in this study is lower than the approved dose in countries other than Japan; however, this limitation is being addressed in the ongoing ALEX study.\nFUNDING: Chugai Pharmaceutical Co, Ltd.","container-title":"Lancet (London, England)","DOI":"10.1016/S0140-6736(17)30565-2","ISSN":"1474-547X","issue":"10089","journalAbbreviation":"Lancet","language":"en","note":"PMID: 28501140","page":"29-39","source":"PubMed","title":"Alectinib versus crizotinib in patients with ALK-positive non-small-cell lung cancer (J-ALEX): an open-label, randomised phase 3 trial","title-short":"Alectinib versus crizotinib in patients with ALK-positive non-small-cell lung cancer (J-ALEX)","volume":"390","author":[{"family":"Hida","given":"Toyoaki"},{"family":"Nokihara","given":"Hiroshi"},{"family":"Kondo","given":"Masashi"},{"family":"Kim","given":"Young Hak"},{"family":"Azuma","given":"Koichi"},{"family":"Seto","given":"Takashi"},{"family":"Takiguchi","given":"Yuichi"},{"family":"Nishio","given":"Makoto"},{"family":"Yoshioka","given":"Hiroshige"},{"family":"Imamura","given":"Fumio"},{"family":"Hotta","given":"Katsuyuki"},{"family":"Watanabe","given":"Satoshi"},{"family":"Goto","given":"Koichi"},{"family":"Satouchi","given":"Miyako"},{"family":"Kozuki","given":"Toshiyuki"},{"family":"Shukuya","given":"Takehito"},{"family":"Nakagawa","given":"Kazuhiko"},{"family":"Mitsudomi","given":"Tetsuya"},{"family":"Yamamoto","given":"Nobuyuki"},{"family":"Asakawa","given":"Takashi"},{"family":"Asabe","given":"Ryoichi"},{"family":"Tanaka","given":"Tomohiro"},{"family":"Tamura","given":"Tomohide"}],"issued":{"date-parts":[["2017",7,1]]}}}],"schema":"https://github.com/citation-style-language/schema/raw/master/csl-citation.json"} </w:instrText>
            </w:r>
            <w:r>
              <w:rPr>
                <w:b w:val="0"/>
                <w:bCs w:val="0"/>
                <w:sz w:val="18"/>
                <w:szCs w:val="18"/>
              </w:rPr>
              <w:fldChar w:fldCharType="separate"/>
            </w:r>
            <w:r>
              <w:rPr>
                <w:b w:val="0"/>
                <w:bCs w:val="0"/>
                <w:sz w:val="18"/>
              </w:rPr>
              <w:t>[21]</w:t>
            </w:r>
            <w:r>
              <w:rPr>
                <w:b w:val="0"/>
                <w:bCs w:val="0"/>
                <w:sz w:val="18"/>
                <w:szCs w:val="18"/>
              </w:rPr>
              <w:fldChar w:fldCharType="end"/>
            </w:r>
          </w:p>
        </w:tc>
        <w:tc>
          <w:tcPr>
            <w:tcW w:w="714" w:type="pct"/>
            <w:vMerge w:val="restart"/>
            <w:tcBorders>
              <w:top w:val="nil"/>
              <w:left w:val="nil"/>
              <w:bottom w:val="nil"/>
              <w:right w:val="nil"/>
            </w:tcBorders>
            <w:noWrap/>
            <w:vAlign w:val="center"/>
          </w:tcPr>
          <w:p w14:paraId="26BDF38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 xml:space="preserve">Low-dose </w:t>
            </w:r>
            <w:proofErr w:type="spellStart"/>
            <w:r>
              <w:rPr>
                <w:rFonts w:cstheme="minorBidi" w:hint="eastAsia"/>
                <w:b w:val="0"/>
                <w:bCs w:val="0"/>
                <w:sz w:val="18"/>
                <w:szCs w:val="18"/>
              </w:rPr>
              <w:t>alectinib</w:t>
            </w:r>
            <w:proofErr w:type="spellEnd"/>
            <w:r>
              <w:rPr>
                <w:rFonts w:cstheme="minorBidi" w:hint="eastAsia"/>
                <w:b w:val="0"/>
                <w:bCs w:val="0"/>
                <w:sz w:val="18"/>
                <w:szCs w:val="18"/>
              </w:rPr>
              <w:t xml:space="preserve"> (300 mg twice daily) VS Crizotinib</w:t>
            </w:r>
          </w:p>
        </w:tc>
        <w:tc>
          <w:tcPr>
            <w:tcW w:w="711" w:type="pct"/>
            <w:vMerge w:val="restart"/>
            <w:tcBorders>
              <w:top w:val="nil"/>
              <w:left w:val="nil"/>
              <w:bottom w:val="nil"/>
              <w:right w:val="nil"/>
            </w:tcBorders>
            <w:noWrap/>
            <w:vAlign w:val="center"/>
          </w:tcPr>
          <w:p w14:paraId="6033937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103 VS 104</w:t>
            </w:r>
          </w:p>
        </w:tc>
        <w:tc>
          <w:tcPr>
            <w:tcW w:w="401" w:type="pct"/>
            <w:vMerge w:val="restart"/>
            <w:tcBorders>
              <w:top w:val="nil"/>
              <w:left w:val="nil"/>
              <w:bottom w:val="nil"/>
              <w:right w:val="nil"/>
            </w:tcBorders>
            <w:noWrap/>
            <w:vAlign w:val="center"/>
          </w:tcPr>
          <w:p w14:paraId="35AC78B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vMerge w:val="restart"/>
            <w:tcBorders>
              <w:top w:val="nil"/>
              <w:left w:val="nil"/>
              <w:bottom w:val="nil"/>
              <w:right w:val="nil"/>
            </w:tcBorders>
            <w:noWrap/>
            <w:vAlign w:val="center"/>
          </w:tcPr>
          <w:p w14:paraId="34A011C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1.03 (0.67-1.58)</w:t>
            </w:r>
          </w:p>
        </w:tc>
        <w:tc>
          <w:tcPr>
            <w:tcW w:w="523" w:type="pct"/>
            <w:tcBorders>
              <w:top w:val="nil"/>
              <w:left w:val="nil"/>
              <w:bottom w:val="nil"/>
              <w:right w:val="nil"/>
            </w:tcBorders>
            <w:vAlign w:val="center"/>
          </w:tcPr>
          <w:p w14:paraId="7BD7889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0.34 (0.17-0.</w:t>
            </w:r>
            <w:proofErr w:type="gramStart"/>
            <w:r>
              <w:rPr>
                <w:rFonts w:hint="eastAsia"/>
                <w:b w:val="0"/>
                <w:bCs w:val="0"/>
                <w:color w:val="000000"/>
                <w:kern w:val="0"/>
                <w:sz w:val="18"/>
                <w:szCs w:val="18"/>
                <w:lang w:bidi="ar"/>
              </w:rPr>
              <w:t>71)#</w:t>
            </w:r>
            <w:proofErr w:type="gramEnd"/>
          </w:p>
        </w:tc>
        <w:tc>
          <w:tcPr>
            <w:tcW w:w="718" w:type="pct"/>
            <w:vMerge w:val="restart"/>
            <w:tcBorders>
              <w:top w:val="nil"/>
              <w:left w:val="nil"/>
              <w:bottom w:val="nil"/>
              <w:right w:val="nil"/>
            </w:tcBorders>
            <w:noWrap/>
            <w:vAlign w:val="center"/>
          </w:tcPr>
          <w:p w14:paraId="16A0D02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92 (86-98) VS 79 (71-87)</w:t>
            </w:r>
          </w:p>
        </w:tc>
        <w:tc>
          <w:tcPr>
            <w:tcW w:w="486" w:type="pct"/>
            <w:vMerge w:val="restart"/>
            <w:tcBorders>
              <w:top w:val="nil"/>
              <w:left w:val="nil"/>
              <w:bottom w:val="nil"/>
              <w:right w:val="nil"/>
            </w:tcBorders>
            <w:noWrap/>
            <w:vAlign w:val="center"/>
          </w:tcPr>
          <w:p w14:paraId="325DDE8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26 VS 52</w:t>
            </w:r>
          </w:p>
        </w:tc>
        <w:tc>
          <w:tcPr>
            <w:tcW w:w="484" w:type="pct"/>
            <w:vMerge w:val="restart"/>
            <w:tcBorders>
              <w:top w:val="nil"/>
              <w:left w:val="nil"/>
              <w:right w:val="nil"/>
            </w:tcBorders>
            <w:vAlign w:val="center"/>
          </w:tcPr>
          <w:p w14:paraId="562DC42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68.6(range: 6-81) VS 68(range: 2-79)</w:t>
            </w:r>
          </w:p>
        </w:tc>
      </w:tr>
      <w:tr w:rsidR="006D1C3F" w14:paraId="4C072509" w14:textId="77777777">
        <w:trPr>
          <w:trHeight w:val="23"/>
        </w:trPr>
        <w:tc>
          <w:tcPr>
            <w:tcW w:w="454" w:type="pct"/>
            <w:vMerge/>
            <w:tcBorders>
              <w:top w:val="nil"/>
              <w:left w:val="nil"/>
              <w:bottom w:val="nil"/>
              <w:right w:val="nil"/>
            </w:tcBorders>
            <w:noWrap/>
            <w:vAlign w:val="center"/>
          </w:tcPr>
          <w:p w14:paraId="595C085D" w14:textId="77777777" w:rsidR="006D1C3F" w:rsidRDefault="006D1C3F">
            <w:pPr>
              <w:ind w:firstLine="360"/>
              <w:jc w:val="center"/>
              <w:rPr>
                <w:b w:val="0"/>
                <w:bCs w:val="0"/>
                <w:sz w:val="18"/>
                <w:szCs w:val="18"/>
              </w:rPr>
            </w:pPr>
          </w:p>
        </w:tc>
        <w:tc>
          <w:tcPr>
            <w:tcW w:w="714" w:type="pct"/>
            <w:vMerge/>
            <w:tcBorders>
              <w:top w:val="nil"/>
              <w:left w:val="nil"/>
              <w:bottom w:val="nil"/>
              <w:right w:val="nil"/>
            </w:tcBorders>
            <w:noWrap/>
            <w:vAlign w:val="center"/>
          </w:tcPr>
          <w:p w14:paraId="3AB9C64E" w14:textId="77777777" w:rsidR="006D1C3F" w:rsidRDefault="006D1C3F">
            <w:pPr>
              <w:ind w:firstLine="360"/>
              <w:jc w:val="center"/>
              <w:rPr>
                <w:rFonts w:cstheme="minorBidi"/>
                <w:b w:val="0"/>
                <w:bCs w:val="0"/>
                <w:sz w:val="18"/>
                <w:szCs w:val="18"/>
              </w:rPr>
            </w:pPr>
          </w:p>
        </w:tc>
        <w:tc>
          <w:tcPr>
            <w:tcW w:w="711" w:type="pct"/>
            <w:vMerge/>
            <w:tcBorders>
              <w:top w:val="nil"/>
              <w:left w:val="nil"/>
              <w:bottom w:val="nil"/>
              <w:right w:val="nil"/>
            </w:tcBorders>
            <w:noWrap/>
            <w:vAlign w:val="center"/>
          </w:tcPr>
          <w:p w14:paraId="03F9751B" w14:textId="77777777" w:rsidR="006D1C3F" w:rsidRDefault="006D1C3F">
            <w:pPr>
              <w:ind w:firstLine="360"/>
              <w:jc w:val="center"/>
              <w:rPr>
                <w:rFonts w:cstheme="minorBidi"/>
                <w:b w:val="0"/>
                <w:bCs w:val="0"/>
                <w:sz w:val="18"/>
                <w:szCs w:val="18"/>
              </w:rPr>
            </w:pPr>
          </w:p>
        </w:tc>
        <w:tc>
          <w:tcPr>
            <w:tcW w:w="401" w:type="pct"/>
            <w:vMerge/>
            <w:tcBorders>
              <w:top w:val="nil"/>
              <w:left w:val="nil"/>
              <w:bottom w:val="nil"/>
              <w:right w:val="nil"/>
            </w:tcBorders>
            <w:noWrap/>
            <w:vAlign w:val="center"/>
          </w:tcPr>
          <w:p w14:paraId="140E4D53" w14:textId="77777777" w:rsidR="006D1C3F" w:rsidRDefault="006D1C3F">
            <w:pPr>
              <w:ind w:firstLine="360"/>
              <w:jc w:val="center"/>
              <w:rPr>
                <w:rFonts w:cstheme="minorBidi"/>
                <w:b w:val="0"/>
                <w:bCs w:val="0"/>
                <w:sz w:val="18"/>
                <w:szCs w:val="18"/>
              </w:rPr>
            </w:pPr>
          </w:p>
        </w:tc>
        <w:tc>
          <w:tcPr>
            <w:tcW w:w="509" w:type="pct"/>
            <w:vMerge/>
            <w:tcBorders>
              <w:top w:val="nil"/>
              <w:left w:val="nil"/>
              <w:bottom w:val="nil"/>
              <w:right w:val="nil"/>
            </w:tcBorders>
            <w:noWrap/>
            <w:vAlign w:val="center"/>
          </w:tcPr>
          <w:p w14:paraId="03B92BB1" w14:textId="77777777" w:rsidR="006D1C3F" w:rsidRDefault="006D1C3F">
            <w:pPr>
              <w:spacing w:line="240" w:lineRule="auto"/>
              <w:ind w:firstLineChars="0" w:firstLine="0"/>
              <w:jc w:val="center"/>
              <w:rPr>
                <w:rFonts w:eastAsiaTheme="minorEastAsia" w:cstheme="minorBidi"/>
                <w:b w:val="0"/>
                <w:bCs w:val="0"/>
                <w:sz w:val="18"/>
                <w:szCs w:val="18"/>
              </w:rPr>
            </w:pPr>
          </w:p>
        </w:tc>
        <w:tc>
          <w:tcPr>
            <w:tcW w:w="523" w:type="pct"/>
            <w:tcBorders>
              <w:top w:val="nil"/>
              <w:left w:val="nil"/>
              <w:bottom w:val="nil"/>
              <w:right w:val="nil"/>
            </w:tcBorders>
            <w:noWrap/>
            <w:vAlign w:val="center"/>
          </w:tcPr>
          <w:p w14:paraId="71CDE42A"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0.34 (0.21 -0.</w:t>
            </w:r>
            <w:proofErr w:type="gramStart"/>
            <w:r>
              <w:rPr>
                <w:rFonts w:hint="eastAsia"/>
                <w:b w:val="0"/>
                <w:bCs w:val="0"/>
                <w:color w:val="000000"/>
                <w:kern w:val="0"/>
                <w:sz w:val="18"/>
                <w:szCs w:val="18"/>
                <w:lang w:bidi="ar"/>
              </w:rPr>
              <w:t>54)*</w:t>
            </w:r>
            <w:proofErr w:type="gramEnd"/>
          </w:p>
        </w:tc>
        <w:tc>
          <w:tcPr>
            <w:tcW w:w="718" w:type="pct"/>
            <w:vMerge/>
            <w:tcBorders>
              <w:top w:val="nil"/>
              <w:left w:val="nil"/>
              <w:bottom w:val="nil"/>
              <w:right w:val="nil"/>
            </w:tcBorders>
            <w:noWrap/>
            <w:vAlign w:val="center"/>
          </w:tcPr>
          <w:p w14:paraId="02B70850" w14:textId="77777777" w:rsidR="006D1C3F" w:rsidRDefault="006D1C3F">
            <w:pPr>
              <w:ind w:firstLine="360"/>
              <w:jc w:val="center"/>
              <w:rPr>
                <w:rFonts w:cstheme="minorBidi"/>
                <w:b w:val="0"/>
                <w:bCs w:val="0"/>
                <w:sz w:val="18"/>
                <w:szCs w:val="18"/>
              </w:rPr>
            </w:pPr>
          </w:p>
        </w:tc>
        <w:tc>
          <w:tcPr>
            <w:tcW w:w="486" w:type="pct"/>
            <w:vMerge/>
            <w:tcBorders>
              <w:top w:val="nil"/>
              <w:left w:val="nil"/>
              <w:bottom w:val="nil"/>
              <w:right w:val="nil"/>
            </w:tcBorders>
            <w:noWrap/>
            <w:vAlign w:val="center"/>
          </w:tcPr>
          <w:p w14:paraId="42C68BA7" w14:textId="77777777" w:rsidR="006D1C3F" w:rsidRDefault="006D1C3F">
            <w:pPr>
              <w:ind w:firstLine="360"/>
              <w:jc w:val="center"/>
              <w:rPr>
                <w:rFonts w:cstheme="minorBidi"/>
                <w:b w:val="0"/>
                <w:bCs w:val="0"/>
                <w:sz w:val="18"/>
                <w:szCs w:val="18"/>
              </w:rPr>
            </w:pPr>
          </w:p>
        </w:tc>
        <w:tc>
          <w:tcPr>
            <w:tcW w:w="484" w:type="pct"/>
            <w:vMerge/>
            <w:tcBorders>
              <w:left w:val="nil"/>
              <w:bottom w:val="nil"/>
              <w:right w:val="nil"/>
            </w:tcBorders>
            <w:vAlign w:val="center"/>
          </w:tcPr>
          <w:p w14:paraId="55E84E0D" w14:textId="77777777" w:rsidR="006D1C3F" w:rsidRDefault="006D1C3F">
            <w:pPr>
              <w:ind w:firstLine="360"/>
              <w:jc w:val="center"/>
              <w:rPr>
                <w:rFonts w:cstheme="minorBidi"/>
                <w:b w:val="0"/>
                <w:bCs w:val="0"/>
                <w:sz w:val="18"/>
                <w:szCs w:val="18"/>
              </w:rPr>
            </w:pPr>
          </w:p>
        </w:tc>
      </w:tr>
      <w:tr w:rsidR="006D1C3F" w14:paraId="42C40AFE" w14:textId="77777777">
        <w:trPr>
          <w:trHeight w:val="23"/>
        </w:trPr>
        <w:tc>
          <w:tcPr>
            <w:tcW w:w="454" w:type="pct"/>
            <w:vMerge w:val="restart"/>
            <w:tcBorders>
              <w:top w:val="nil"/>
              <w:left w:val="nil"/>
              <w:bottom w:val="nil"/>
              <w:right w:val="nil"/>
            </w:tcBorders>
            <w:noWrap/>
            <w:vAlign w:val="center"/>
          </w:tcPr>
          <w:p w14:paraId="49249BB7" w14:textId="77777777" w:rsidR="006D1C3F" w:rsidRDefault="00000000">
            <w:pPr>
              <w:ind w:firstLineChars="0" w:firstLine="0"/>
              <w:rPr>
                <w:b w:val="0"/>
                <w:bCs w:val="0"/>
                <w:sz w:val="18"/>
                <w:szCs w:val="18"/>
              </w:rPr>
            </w:pPr>
            <w:r>
              <w:rPr>
                <w:b w:val="0"/>
                <w:bCs w:val="0"/>
                <w:sz w:val="18"/>
                <w:szCs w:val="18"/>
              </w:rPr>
              <w:t>ALESIA</w:t>
            </w:r>
            <w:r>
              <w:rPr>
                <w:b w:val="0"/>
                <w:bCs w:val="0"/>
                <w:sz w:val="18"/>
                <w:szCs w:val="18"/>
              </w:rPr>
              <w:fldChar w:fldCharType="begin"/>
            </w:r>
            <w:r>
              <w:rPr>
                <w:b w:val="0"/>
                <w:bCs w:val="0"/>
                <w:sz w:val="18"/>
                <w:szCs w:val="18"/>
              </w:rPr>
              <w:instrText xml:space="preserve"> ADDIN ZOTERO_ITEM CSL_CITATION {"citationID":"tVPUwNXK","properties":{"formattedCitation":"(22)","plainCitation":"(22)","noteIndex":0},"citationItems":[{"id":395,"uris":["http://zotero.org/users/local/eBJtW3GH/items/86MFI2KE"],"itemData":{"id":395,"type":"article-journal","abstract":"BACKGROUND: Anaplastic lymphoma kinase-positive (ALK-positive) disease occurs in approximately 5% of all patients with non-small-cell lung cancer, with a similar incidence reported in Asian patients. This study is the first phase 3 randomised trial recruiting only Asian patients to compare alectinib with crizotinib as a first-line treatment for ALK-positive non-small-cell lung cancer with 600 mg of alectinib twice per day. This study assessed consistency of the progression-free survival benefit with the global phase 3 ALEX study.\nMETHODS: In this randomised, open-label, phase 3 study done at 21 investigational sites in China, South Korea, and Thailand, Asian patients, aged 18 years or older, with ALK-positive non-small-cell lung cancer were randomly assigned (2:1) to twice-daily oral alectinib (600 mg) or crizotinib (250 mg). Patients were randomly assigned via a block-stratified (block size three) randomisation procedure, done centrally via an interactive voice or web response system, with stratification by Eastern Cooperative Oncology Group performance status and baseline CNS metastases. Clinical staff and the funder's drug safety and medical monitoring staff had access to treatment assignments. The independent review committee was masked to treatment assignment, and funder personnel did not have access to efficacy and safety summaries by treatment group, before the formal reporting of study results. Patients with asymptomatic CNS metastases were permitted. The primary endpoint was investigator-assessed progression-free survival. The primary analysis population for efficacy was the intention-to-treat population, defined as all randomly assigned patients. The primary analysis population for safety was defined as all patients who received at least one dose of study medication. This trial is registered with ClinicalTrials.gov, number NCT02838420.\nFINDINGS: Between Aug 3, 2016, and May 16, 2017, 187 patients were randomly assigned to treatment: 125 to alectinib and 62 to crizotinib. Median follow-up was 16·2 months (IQR 13·7-17·6) in the alectinib group, and 15·0 months (12·5-17·3) in the crizotinib group. Investigator-assessed progression-free survival was significantly prolonged with alectinib versus crizotinib (hazard ratio [HR] 0·22, 95% CI 0·13-0·38; p&lt;0·0001; median progression-free survival not estimable vs 11·1 months). Independent review committee-assessed progression-free survival was also significantly longer in the alectinib group compared with the crizotinib group (HR 0·37, 0·22-0·61; p&lt;0·0001). The proportion of patients who achieved an objective response was 114 (91%) of 125 with alectinib, and 48 (77%) of 62 with crizotinib, with a longer duration of response for alectinib than crizotinib (HR 0·22, 95% CI 0·12-0·40; p&lt;0·0001). Time to CNS progression (cause-specific HR 0·14) and the percentage of patients who achieved a CNS objective response with measurable or non-measurable baseline CNS lesions were improved (32 [73%] of 44 patients treated with alectinib vs five [22%] of 23 patients treated with crizotinib). Despite longer treatment duration with alectinib than crizotinib (14·7 months vs 12·6 months, respectively), fewer patients had grade 3-5 adverse events (36 [29%] of 125 vs 30 [48%] of 62, respectively) or serious adverse events (19 [15%] of 125 vs 16 [26%] of 62, respectively).\nINTERPRETATION: Our results align with ALEX, confirming the clinical benefit of 600 mg of alectinib twice per day as a first-line treatment for ALK-positive non-small-cell lung cancer.\nFUNDING: F Hoffmann-La Roche.","container-title":"The Lancet. Respiratory Medicine","DOI":"10.1016/S2213-2600(19)30053-0","ISSN":"2213-2619","issue":"5","journalAbbreviation":"Lancet Respir Med","language":"en","note":"PMID: 30981696","page":"437-446","source":"PubMed","title":"Alectinib versus crizotinib in untreated Asian patients with anaplastic lymphoma kinase-positive non-small-cell lung cancer (ALESIA): a randomised phase 3 study","title-short":"Alectinib versus crizotinib in untreated Asian patients with anaplastic lymphoma kinase-positive non-small-cell lung cancer (ALESIA)","volume":"7","author":[{"family":"Zhou","given":"Caicun"},{"family":"Kim","given":"Sang-We"},{"family":"Reungwetwattana","given":"Thanyanan"},{"family":"Zhou","given":"Jianying"},{"family":"Zhang","given":"Yiping"},{"family":"He","given":"Jianxing"},{"family":"Yang","given":"Jin-Ji"},{"family":"Cheng","given":"Ying"},{"family":"Lee","given":"Se-Hoon"},{"family":"Bu","given":"Lilian"},{"family":"Xu","given":"Tingting"},{"family":"Yang","given":"Li"},{"family":"Wang","given":"Chao"},{"family":"Liu","given":"Ting"},{"family":"Morcos","given":"Peter N."},{"family":"Lu","given":"You"},{"family":"Zhang","given":"Li"}],"issued":{"date-parts":[["2019",5]]}}}],"schema":"https://github.com/citation-style-language/schema/raw/master/csl-citation.json"} </w:instrText>
            </w:r>
            <w:r>
              <w:rPr>
                <w:b w:val="0"/>
                <w:bCs w:val="0"/>
                <w:sz w:val="18"/>
                <w:szCs w:val="18"/>
              </w:rPr>
              <w:fldChar w:fldCharType="separate"/>
            </w:r>
            <w:r>
              <w:rPr>
                <w:b w:val="0"/>
                <w:bCs w:val="0"/>
                <w:sz w:val="18"/>
              </w:rPr>
              <w:t>[22]</w:t>
            </w:r>
            <w:r>
              <w:rPr>
                <w:b w:val="0"/>
                <w:bCs w:val="0"/>
                <w:sz w:val="18"/>
                <w:szCs w:val="18"/>
              </w:rPr>
              <w:fldChar w:fldCharType="end"/>
            </w:r>
          </w:p>
        </w:tc>
        <w:tc>
          <w:tcPr>
            <w:tcW w:w="714" w:type="pct"/>
            <w:vMerge w:val="restart"/>
            <w:tcBorders>
              <w:top w:val="nil"/>
              <w:left w:val="nil"/>
              <w:bottom w:val="nil"/>
              <w:right w:val="nil"/>
            </w:tcBorders>
            <w:noWrap/>
            <w:vAlign w:val="center"/>
          </w:tcPr>
          <w:p w14:paraId="1C76A655"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Alectinib</w:t>
            </w:r>
            <w:proofErr w:type="spellEnd"/>
            <w:r>
              <w:rPr>
                <w:rFonts w:cstheme="minorBidi" w:hint="eastAsia"/>
                <w:b w:val="0"/>
                <w:bCs w:val="0"/>
                <w:sz w:val="18"/>
                <w:szCs w:val="18"/>
              </w:rPr>
              <w:t xml:space="preserve"> (600 mg </w:t>
            </w:r>
            <w:r>
              <w:rPr>
                <w:rFonts w:cstheme="minorBidi" w:hint="eastAsia"/>
                <w:b w:val="0"/>
                <w:bCs w:val="0"/>
                <w:sz w:val="18"/>
                <w:szCs w:val="18"/>
              </w:rPr>
              <w:lastRenderedPageBreak/>
              <w:t>twice daily) VS Crizotinib</w:t>
            </w:r>
          </w:p>
        </w:tc>
        <w:tc>
          <w:tcPr>
            <w:tcW w:w="711" w:type="pct"/>
            <w:vMerge w:val="restart"/>
            <w:tcBorders>
              <w:top w:val="nil"/>
              <w:left w:val="nil"/>
              <w:bottom w:val="nil"/>
              <w:right w:val="nil"/>
            </w:tcBorders>
            <w:noWrap/>
            <w:vAlign w:val="center"/>
          </w:tcPr>
          <w:p w14:paraId="0ED7BF1B" w14:textId="77777777" w:rsidR="006D1C3F" w:rsidRDefault="00000000">
            <w:pPr>
              <w:ind w:firstLine="360"/>
              <w:jc w:val="center"/>
              <w:rPr>
                <w:rFonts w:cstheme="minorBidi"/>
                <w:b w:val="0"/>
                <w:bCs w:val="0"/>
                <w:sz w:val="18"/>
                <w:szCs w:val="18"/>
              </w:rPr>
            </w:pPr>
            <w:r>
              <w:rPr>
                <w:rFonts w:cstheme="minorBidi" w:hint="eastAsia"/>
                <w:b w:val="0"/>
                <w:bCs w:val="0"/>
                <w:sz w:val="18"/>
                <w:szCs w:val="18"/>
              </w:rPr>
              <w:lastRenderedPageBreak/>
              <w:t>125 VS 62</w:t>
            </w:r>
          </w:p>
        </w:tc>
        <w:tc>
          <w:tcPr>
            <w:tcW w:w="401" w:type="pct"/>
            <w:vMerge w:val="restart"/>
            <w:tcBorders>
              <w:top w:val="nil"/>
              <w:left w:val="nil"/>
              <w:bottom w:val="nil"/>
              <w:right w:val="nil"/>
            </w:tcBorders>
            <w:noWrap/>
            <w:vAlign w:val="center"/>
          </w:tcPr>
          <w:p w14:paraId="05CB397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vMerge w:val="restart"/>
            <w:tcBorders>
              <w:top w:val="nil"/>
              <w:left w:val="nil"/>
              <w:bottom w:val="nil"/>
              <w:right w:val="nil"/>
            </w:tcBorders>
            <w:noWrap/>
            <w:vAlign w:val="center"/>
          </w:tcPr>
          <w:p w14:paraId="6067543A"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0.60 (0.37</w:t>
            </w:r>
            <w:r>
              <w:rPr>
                <w:rFonts w:hint="eastAsia"/>
                <w:b w:val="0"/>
                <w:bCs w:val="0"/>
                <w:color w:val="000000"/>
                <w:kern w:val="0"/>
                <w:sz w:val="18"/>
                <w:szCs w:val="18"/>
                <w:lang w:bidi="ar"/>
              </w:rPr>
              <w:t>–</w:t>
            </w:r>
            <w:r>
              <w:rPr>
                <w:rFonts w:hint="eastAsia"/>
                <w:b w:val="0"/>
                <w:bCs w:val="0"/>
                <w:color w:val="000000"/>
                <w:kern w:val="0"/>
                <w:sz w:val="18"/>
                <w:szCs w:val="18"/>
                <w:lang w:bidi="ar"/>
              </w:rPr>
              <w:t>0.99)</w:t>
            </w:r>
          </w:p>
        </w:tc>
        <w:tc>
          <w:tcPr>
            <w:tcW w:w="523" w:type="pct"/>
            <w:tcBorders>
              <w:top w:val="nil"/>
              <w:left w:val="nil"/>
              <w:bottom w:val="nil"/>
              <w:right w:val="nil"/>
            </w:tcBorders>
            <w:vAlign w:val="center"/>
          </w:tcPr>
          <w:p w14:paraId="77172D67"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0.37 (0.22-0.</w:t>
            </w:r>
            <w:proofErr w:type="gramStart"/>
            <w:r>
              <w:rPr>
                <w:rFonts w:hint="eastAsia"/>
                <w:b w:val="0"/>
                <w:bCs w:val="0"/>
                <w:color w:val="000000"/>
                <w:kern w:val="0"/>
                <w:sz w:val="18"/>
                <w:szCs w:val="18"/>
                <w:lang w:bidi="ar"/>
              </w:rPr>
              <w:t>61)#</w:t>
            </w:r>
            <w:proofErr w:type="gramEnd"/>
          </w:p>
        </w:tc>
        <w:tc>
          <w:tcPr>
            <w:tcW w:w="718" w:type="pct"/>
            <w:vMerge w:val="restart"/>
            <w:tcBorders>
              <w:top w:val="nil"/>
              <w:left w:val="nil"/>
              <w:bottom w:val="nil"/>
              <w:right w:val="nil"/>
            </w:tcBorders>
            <w:noWrap/>
            <w:vAlign w:val="center"/>
          </w:tcPr>
          <w:p w14:paraId="4F35BDA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91 VS 77</w:t>
            </w:r>
          </w:p>
        </w:tc>
        <w:tc>
          <w:tcPr>
            <w:tcW w:w="486" w:type="pct"/>
            <w:vMerge w:val="restart"/>
            <w:tcBorders>
              <w:top w:val="nil"/>
              <w:left w:val="nil"/>
              <w:bottom w:val="nil"/>
              <w:right w:val="nil"/>
            </w:tcBorders>
            <w:noWrap/>
            <w:vAlign w:val="center"/>
          </w:tcPr>
          <w:p w14:paraId="5BBAA06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 xml:space="preserve">48 VS </w:t>
            </w:r>
            <w:r>
              <w:rPr>
                <w:rFonts w:cstheme="minorBidi" w:hint="eastAsia"/>
                <w:b w:val="0"/>
                <w:bCs w:val="0"/>
                <w:sz w:val="18"/>
                <w:szCs w:val="18"/>
              </w:rPr>
              <w:lastRenderedPageBreak/>
              <w:t>54.8</w:t>
            </w:r>
          </w:p>
        </w:tc>
        <w:tc>
          <w:tcPr>
            <w:tcW w:w="484" w:type="pct"/>
            <w:vMerge w:val="restart"/>
            <w:tcBorders>
              <w:top w:val="nil"/>
              <w:left w:val="nil"/>
              <w:bottom w:val="nil"/>
              <w:right w:val="nil"/>
            </w:tcBorders>
            <w:vAlign w:val="center"/>
          </w:tcPr>
          <w:p w14:paraId="21A7F08D" w14:textId="77777777" w:rsidR="006D1C3F" w:rsidRDefault="00000000">
            <w:pPr>
              <w:ind w:firstLine="360"/>
              <w:jc w:val="center"/>
              <w:rPr>
                <w:rFonts w:cstheme="minorBidi"/>
                <w:b w:val="0"/>
                <w:bCs w:val="0"/>
                <w:sz w:val="18"/>
                <w:szCs w:val="18"/>
              </w:rPr>
            </w:pPr>
            <w:r>
              <w:rPr>
                <w:rFonts w:cstheme="minorBidi" w:hint="eastAsia"/>
                <w:b w:val="0"/>
                <w:bCs w:val="0"/>
                <w:sz w:val="18"/>
                <w:szCs w:val="18"/>
              </w:rPr>
              <w:lastRenderedPageBreak/>
              <w:t xml:space="preserve">16.2(IQR </w:t>
            </w:r>
            <w:r>
              <w:rPr>
                <w:rFonts w:cstheme="minorBidi" w:hint="eastAsia"/>
                <w:b w:val="0"/>
                <w:bCs w:val="0"/>
                <w:sz w:val="18"/>
                <w:szCs w:val="18"/>
              </w:rPr>
              <w:lastRenderedPageBreak/>
              <w:t>13.7-17.6) VS 15(IQR12.5-17.3)</w:t>
            </w:r>
          </w:p>
        </w:tc>
      </w:tr>
      <w:tr w:rsidR="006D1C3F" w14:paraId="2B91ECDD" w14:textId="77777777">
        <w:trPr>
          <w:trHeight w:val="23"/>
        </w:trPr>
        <w:tc>
          <w:tcPr>
            <w:tcW w:w="454" w:type="pct"/>
            <w:vMerge/>
            <w:tcBorders>
              <w:top w:val="nil"/>
              <w:left w:val="nil"/>
              <w:bottom w:val="nil"/>
              <w:right w:val="nil"/>
            </w:tcBorders>
            <w:noWrap/>
            <w:vAlign w:val="center"/>
          </w:tcPr>
          <w:p w14:paraId="75E68DD5" w14:textId="77777777" w:rsidR="006D1C3F" w:rsidRDefault="006D1C3F">
            <w:pPr>
              <w:ind w:firstLine="360"/>
              <w:jc w:val="center"/>
              <w:rPr>
                <w:b w:val="0"/>
                <w:bCs w:val="0"/>
                <w:sz w:val="18"/>
                <w:szCs w:val="18"/>
              </w:rPr>
            </w:pPr>
          </w:p>
        </w:tc>
        <w:tc>
          <w:tcPr>
            <w:tcW w:w="714" w:type="pct"/>
            <w:vMerge/>
            <w:tcBorders>
              <w:top w:val="nil"/>
              <w:left w:val="nil"/>
              <w:bottom w:val="nil"/>
              <w:right w:val="nil"/>
            </w:tcBorders>
            <w:noWrap/>
            <w:vAlign w:val="center"/>
          </w:tcPr>
          <w:p w14:paraId="28DC233C" w14:textId="77777777" w:rsidR="006D1C3F" w:rsidRDefault="006D1C3F">
            <w:pPr>
              <w:ind w:firstLine="360"/>
              <w:jc w:val="center"/>
              <w:rPr>
                <w:rFonts w:cstheme="minorBidi"/>
                <w:b w:val="0"/>
                <w:bCs w:val="0"/>
                <w:sz w:val="18"/>
                <w:szCs w:val="18"/>
              </w:rPr>
            </w:pPr>
          </w:p>
        </w:tc>
        <w:tc>
          <w:tcPr>
            <w:tcW w:w="711" w:type="pct"/>
            <w:vMerge/>
            <w:tcBorders>
              <w:top w:val="nil"/>
              <w:left w:val="nil"/>
              <w:bottom w:val="nil"/>
              <w:right w:val="nil"/>
            </w:tcBorders>
            <w:noWrap/>
            <w:vAlign w:val="center"/>
          </w:tcPr>
          <w:p w14:paraId="20407C35" w14:textId="77777777" w:rsidR="006D1C3F" w:rsidRDefault="006D1C3F">
            <w:pPr>
              <w:ind w:firstLine="360"/>
              <w:jc w:val="center"/>
              <w:rPr>
                <w:rFonts w:cstheme="minorBidi"/>
                <w:b w:val="0"/>
                <w:bCs w:val="0"/>
                <w:sz w:val="18"/>
                <w:szCs w:val="18"/>
              </w:rPr>
            </w:pPr>
          </w:p>
        </w:tc>
        <w:tc>
          <w:tcPr>
            <w:tcW w:w="401" w:type="pct"/>
            <w:vMerge/>
            <w:tcBorders>
              <w:top w:val="nil"/>
              <w:left w:val="nil"/>
              <w:bottom w:val="nil"/>
              <w:right w:val="nil"/>
            </w:tcBorders>
            <w:noWrap/>
            <w:vAlign w:val="center"/>
          </w:tcPr>
          <w:p w14:paraId="64E9B4B3" w14:textId="77777777" w:rsidR="006D1C3F" w:rsidRDefault="006D1C3F">
            <w:pPr>
              <w:ind w:firstLine="360"/>
              <w:jc w:val="center"/>
              <w:rPr>
                <w:rFonts w:cstheme="minorBidi"/>
                <w:b w:val="0"/>
                <w:bCs w:val="0"/>
                <w:sz w:val="18"/>
                <w:szCs w:val="18"/>
              </w:rPr>
            </w:pPr>
          </w:p>
        </w:tc>
        <w:tc>
          <w:tcPr>
            <w:tcW w:w="509" w:type="pct"/>
            <w:vMerge/>
            <w:tcBorders>
              <w:top w:val="nil"/>
              <w:left w:val="nil"/>
              <w:bottom w:val="nil"/>
              <w:right w:val="nil"/>
            </w:tcBorders>
            <w:noWrap/>
            <w:vAlign w:val="center"/>
          </w:tcPr>
          <w:p w14:paraId="74C620C0" w14:textId="77777777" w:rsidR="006D1C3F" w:rsidRDefault="006D1C3F">
            <w:pPr>
              <w:spacing w:line="240" w:lineRule="auto"/>
              <w:ind w:firstLineChars="0" w:firstLine="0"/>
              <w:jc w:val="center"/>
              <w:rPr>
                <w:rFonts w:eastAsiaTheme="minorEastAsia" w:cstheme="minorBidi"/>
                <w:b w:val="0"/>
                <w:bCs w:val="0"/>
                <w:sz w:val="18"/>
                <w:szCs w:val="18"/>
              </w:rPr>
            </w:pPr>
          </w:p>
        </w:tc>
        <w:tc>
          <w:tcPr>
            <w:tcW w:w="523" w:type="pct"/>
            <w:tcBorders>
              <w:top w:val="nil"/>
              <w:left w:val="nil"/>
              <w:bottom w:val="nil"/>
              <w:right w:val="nil"/>
            </w:tcBorders>
            <w:vAlign w:val="center"/>
          </w:tcPr>
          <w:p w14:paraId="6FE34AE7"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0.33 (0.23-0.</w:t>
            </w:r>
            <w:proofErr w:type="gramStart"/>
            <w:r>
              <w:rPr>
                <w:rFonts w:hint="eastAsia"/>
                <w:b w:val="0"/>
                <w:bCs w:val="0"/>
                <w:color w:val="000000"/>
                <w:kern w:val="0"/>
                <w:sz w:val="18"/>
                <w:szCs w:val="18"/>
                <w:lang w:bidi="ar"/>
              </w:rPr>
              <w:t>49)*</w:t>
            </w:r>
            <w:proofErr w:type="gramEnd"/>
          </w:p>
        </w:tc>
        <w:tc>
          <w:tcPr>
            <w:tcW w:w="718" w:type="pct"/>
            <w:vMerge/>
            <w:tcBorders>
              <w:top w:val="nil"/>
              <w:left w:val="nil"/>
              <w:bottom w:val="nil"/>
              <w:right w:val="nil"/>
            </w:tcBorders>
            <w:noWrap/>
            <w:vAlign w:val="center"/>
          </w:tcPr>
          <w:p w14:paraId="7DBD6225" w14:textId="77777777" w:rsidR="006D1C3F" w:rsidRDefault="006D1C3F">
            <w:pPr>
              <w:ind w:firstLine="360"/>
              <w:jc w:val="center"/>
              <w:rPr>
                <w:rFonts w:cstheme="minorBidi"/>
                <w:b w:val="0"/>
                <w:bCs w:val="0"/>
                <w:sz w:val="18"/>
                <w:szCs w:val="18"/>
              </w:rPr>
            </w:pPr>
          </w:p>
        </w:tc>
        <w:tc>
          <w:tcPr>
            <w:tcW w:w="486" w:type="pct"/>
            <w:vMerge/>
            <w:tcBorders>
              <w:top w:val="nil"/>
              <w:left w:val="nil"/>
              <w:bottom w:val="nil"/>
              <w:right w:val="nil"/>
            </w:tcBorders>
            <w:noWrap/>
            <w:vAlign w:val="center"/>
          </w:tcPr>
          <w:p w14:paraId="656B2ABD" w14:textId="77777777" w:rsidR="006D1C3F" w:rsidRDefault="006D1C3F">
            <w:pPr>
              <w:ind w:firstLine="360"/>
              <w:jc w:val="center"/>
              <w:rPr>
                <w:rFonts w:cstheme="minorBidi"/>
                <w:b w:val="0"/>
                <w:bCs w:val="0"/>
                <w:sz w:val="18"/>
                <w:szCs w:val="18"/>
              </w:rPr>
            </w:pPr>
          </w:p>
        </w:tc>
        <w:tc>
          <w:tcPr>
            <w:tcW w:w="484" w:type="pct"/>
            <w:vMerge/>
            <w:tcBorders>
              <w:left w:val="nil"/>
              <w:bottom w:val="nil"/>
              <w:right w:val="nil"/>
            </w:tcBorders>
            <w:vAlign w:val="center"/>
          </w:tcPr>
          <w:p w14:paraId="5B5373E5" w14:textId="77777777" w:rsidR="006D1C3F" w:rsidRDefault="006D1C3F">
            <w:pPr>
              <w:ind w:firstLine="360"/>
              <w:jc w:val="center"/>
              <w:rPr>
                <w:rFonts w:cstheme="minorBidi"/>
                <w:b w:val="0"/>
                <w:bCs w:val="0"/>
                <w:sz w:val="18"/>
                <w:szCs w:val="18"/>
              </w:rPr>
            </w:pPr>
          </w:p>
        </w:tc>
      </w:tr>
      <w:tr w:rsidR="006D1C3F" w14:paraId="0E6C9497" w14:textId="77777777">
        <w:trPr>
          <w:trHeight w:val="652"/>
        </w:trPr>
        <w:tc>
          <w:tcPr>
            <w:tcW w:w="454" w:type="pct"/>
            <w:tcBorders>
              <w:top w:val="nil"/>
              <w:left w:val="nil"/>
              <w:bottom w:val="nil"/>
              <w:right w:val="nil"/>
            </w:tcBorders>
            <w:noWrap/>
            <w:vAlign w:val="center"/>
          </w:tcPr>
          <w:p w14:paraId="18389781" w14:textId="77777777" w:rsidR="006D1C3F" w:rsidRDefault="00000000">
            <w:pPr>
              <w:ind w:firstLineChars="0" w:firstLine="0"/>
              <w:rPr>
                <w:b w:val="0"/>
                <w:bCs w:val="0"/>
                <w:sz w:val="18"/>
                <w:szCs w:val="18"/>
              </w:rPr>
            </w:pPr>
            <w:r>
              <w:rPr>
                <w:b w:val="0"/>
                <w:bCs w:val="0"/>
                <w:sz w:val="18"/>
                <w:szCs w:val="18"/>
              </w:rPr>
              <w:t>TQ-B3139</w:t>
            </w:r>
            <w:r>
              <w:rPr>
                <w:b w:val="0"/>
                <w:bCs w:val="0"/>
                <w:sz w:val="18"/>
                <w:szCs w:val="18"/>
              </w:rPr>
              <w:fldChar w:fldCharType="begin"/>
            </w:r>
            <w:r>
              <w:rPr>
                <w:b w:val="0"/>
                <w:bCs w:val="0"/>
                <w:sz w:val="18"/>
                <w:szCs w:val="18"/>
              </w:rPr>
              <w:instrText xml:space="preserve"> ADDIN ZOTERO_ITEM CSL_CITATION {"citationID":"0uZPg97p","properties":{"formattedCitation":"(23)","plainCitation":"(23)","noteIndex":0},"citationItems":[{"id":398,"uris":["http://zotero.org/users/local/eBJtW3GH/items/NEHGYT5Q"],"itemData":{"id":398,"type":"article-journal","abstract":"Anaplastic lymphoma kinase (ALK) rearrangements are present in about 5-6% of non-small cell lung cancer (NSCLC) cases and associated with increased risks of central nervous system (CNS) involvement. Envonalkib, a novel ALK inhibitor, demonstrated promising anti-tumor activity and safety in advanced ALK-positive NSCLC in the first-in-human phase I study. This phase III trial (ClinicalTrials.gov NCT04009317) investigated the efficacy and safety of first-line envonalkib in advanced ALK-positive NSCLC cases. Totally 264 participants were randomized 1:1 to receive envonalkib (n = 131) or crizotinib (n = 133). Median independent review committee (IRC)-assessed progression-free survival (PFS) times were 24.87 (95% confidence interval [CI]: 15.64-30.36) and 11.60 (95% CI: 8.28-13.73) months in the envonalkib and crizotinib groups, respectively (hazard ratio [HR] = 0.47, 95% CI: 0.34-0.64, p &lt; 0.0001). IRC-assessed confirmed objective response rate (ORR) was higher (81.68% vs. 70.68%, p = 0.056) and duration of response was longer (median, 25.79 [95% CI, 16.53-29.47] vs. 11.14 [95% CI, 9.23-16.59] months, p = 0.0003) in the envonalkib group compared with the crizotinib group. In participants with baseline brain target lesions, IRC-assessed CNS-ORR was improved with envonalkib compared with crizotinib (78.95% vs. 23.81%). Overall survival (OS) data were immature, and median OS was not reached in either group (HR = 0.84, 95% CI: 0.48-1.47, p = 0.5741). The 12-month OS rates were 90.6% </w:instrText>
            </w:r>
            <w:r>
              <w:rPr>
                <w:rFonts w:hint="eastAsia"/>
                <w:b w:val="0"/>
                <w:bCs w:val="0"/>
                <w:sz w:val="18"/>
                <w:szCs w:val="18"/>
              </w:rPr>
              <w:instrText xml:space="preserve">(95% CI, 84.0%-94.5%) and 89.4% (95% CI, 82.8%-93.6%) in the envonalkib and crizotinib groups, respectively. Grade </w:instrText>
            </w:r>
            <w:r>
              <w:rPr>
                <w:rFonts w:hint="eastAsia"/>
                <w:b w:val="0"/>
                <w:bCs w:val="0"/>
                <w:sz w:val="18"/>
                <w:szCs w:val="18"/>
              </w:rPr>
              <w:instrText>≥</w:instrText>
            </w:r>
            <w:r>
              <w:rPr>
                <w:rFonts w:hint="eastAsia"/>
                <w:b w:val="0"/>
                <w:bCs w:val="0"/>
                <w:sz w:val="18"/>
                <w:szCs w:val="18"/>
              </w:rPr>
              <w:instrText>3 treatment-related adverse events were observed in 55.73% and 42.86% of participants in the envonalkib and crizotinib groups, respectively</w:instrText>
            </w:r>
            <w:r>
              <w:rPr>
                <w:b w:val="0"/>
                <w:bCs w:val="0"/>
                <w:sz w:val="18"/>
                <w:szCs w:val="18"/>
              </w:rPr>
              <w:instrText xml:space="preserve">. Envonalkib significantly improved PFS and delayed brain metastasis progression in advanced ALK-positive NSCLC.","container-title":"Signal Transduction and Targeted Therapy","DOI":"10.1038/s41392-023-01538-w","ISSN":"2059-3635","issue":"1","journalAbbreviation":"Signal Transduct Target Ther","language":"en","note":"PMID: 37574511\nPMCID: PMC10423717","page":"301","source":"PubMed","title":"Envonalkib versus crizotinib for treatment-naive ALK-positive non-small cell lung cancer: a randomized, multicenter, open-label, phase III trial","title-short":"Envonalkib versus crizotinib for treatment-naive ALK-positive non-small cell lung cancer","volume":"8","author":[{"family":"Yang","given":"Yunpeng"},{"family":"Min","given":"Jie"},{"family":"Yang","given":"Nong"},{"family":"Yu","given":"Qitao"},{"family":"Cheng","given":"Ying"},{"family":"Zhao","given":"Yanqiu"},{"family":"Li","given":"Manxiang"},{"family":"Chen","given":"Hong"},{"family":"Ren","given":"Shou'an"},{"family":"Zhou","given":"Jianying"},{"family":"Zhuang","given":"Wu"},{"family":"Qin","given":"Xintian"},{"family":"Cao","given":"Lejie"},{"family":"Yu","given":"Yan"},{"family":"Zhang","given":"Jian"},{"family":"He","given":"Jianxing"},{"family":"Feng","given":"Jifeng"},{"family":"Yu","given":"Hao"},{"family":"Zhang","given":"Li"},{"family":"Fang","given":"Wenfeng"}],"issued":{"date-parts":[["2023",8,14]]}}}],"schema":"https://github.com/citation-style-language/schema/raw/master/csl-citation.json"} </w:instrText>
            </w:r>
            <w:r>
              <w:rPr>
                <w:b w:val="0"/>
                <w:bCs w:val="0"/>
                <w:sz w:val="18"/>
                <w:szCs w:val="18"/>
              </w:rPr>
              <w:fldChar w:fldCharType="separate"/>
            </w:r>
            <w:r>
              <w:rPr>
                <w:b w:val="0"/>
                <w:bCs w:val="0"/>
                <w:sz w:val="18"/>
              </w:rPr>
              <w:t>[23]</w:t>
            </w:r>
            <w:r>
              <w:rPr>
                <w:b w:val="0"/>
                <w:bCs w:val="0"/>
                <w:sz w:val="18"/>
                <w:szCs w:val="18"/>
              </w:rPr>
              <w:fldChar w:fldCharType="end"/>
            </w:r>
          </w:p>
        </w:tc>
        <w:tc>
          <w:tcPr>
            <w:tcW w:w="714" w:type="pct"/>
            <w:tcBorders>
              <w:top w:val="nil"/>
              <w:left w:val="nil"/>
              <w:bottom w:val="nil"/>
              <w:right w:val="nil"/>
            </w:tcBorders>
            <w:noWrap/>
            <w:vAlign w:val="center"/>
          </w:tcPr>
          <w:p w14:paraId="4E18F2B3"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Envonalkib</w:t>
            </w:r>
            <w:proofErr w:type="spellEnd"/>
            <w:r>
              <w:rPr>
                <w:rFonts w:cstheme="minorBidi" w:hint="eastAsia"/>
                <w:b w:val="0"/>
                <w:bCs w:val="0"/>
                <w:sz w:val="18"/>
                <w:szCs w:val="18"/>
              </w:rPr>
              <w:t xml:space="preserve"> VS Crizotinib</w:t>
            </w:r>
          </w:p>
        </w:tc>
        <w:tc>
          <w:tcPr>
            <w:tcW w:w="711" w:type="pct"/>
            <w:tcBorders>
              <w:top w:val="nil"/>
              <w:left w:val="nil"/>
              <w:bottom w:val="nil"/>
              <w:right w:val="nil"/>
            </w:tcBorders>
            <w:noWrap/>
            <w:vAlign w:val="center"/>
          </w:tcPr>
          <w:p w14:paraId="2E2397C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131 VS 133</w:t>
            </w:r>
          </w:p>
        </w:tc>
        <w:tc>
          <w:tcPr>
            <w:tcW w:w="401" w:type="pct"/>
            <w:tcBorders>
              <w:top w:val="nil"/>
              <w:left w:val="nil"/>
              <w:bottom w:val="nil"/>
              <w:right w:val="nil"/>
            </w:tcBorders>
            <w:noWrap/>
            <w:vAlign w:val="center"/>
          </w:tcPr>
          <w:p w14:paraId="268212C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Asia</w:t>
            </w:r>
          </w:p>
        </w:tc>
        <w:tc>
          <w:tcPr>
            <w:tcW w:w="509" w:type="pct"/>
            <w:tcBorders>
              <w:top w:val="nil"/>
              <w:left w:val="nil"/>
              <w:bottom w:val="nil"/>
              <w:right w:val="nil"/>
            </w:tcBorders>
            <w:noWrap/>
            <w:vAlign w:val="center"/>
          </w:tcPr>
          <w:p w14:paraId="6716DDDD"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734A605E"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0.47 (0.34-0.</w:t>
            </w:r>
            <w:proofErr w:type="gramStart"/>
            <w:r>
              <w:rPr>
                <w:rFonts w:hint="eastAsia"/>
                <w:b w:val="0"/>
                <w:bCs w:val="0"/>
                <w:color w:val="000000"/>
                <w:kern w:val="0"/>
                <w:sz w:val="18"/>
                <w:szCs w:val="18"/>
                <w:lang w:bidi="ar"/>
              </w:rPr>
              <w:t>64)#</w:t>
            </w:r>
            <w:proofErr w:type="gramEnd"/>
          </w:p>
        </w:tc>
        <w:tc>
          <w:tcPr>
            <w:tcW w:w="718" w:type="pct"/>
            <w:tcBorders>
              <w:top w:val="nil"/>
              <w:left w:val="nil"/>
              <w:bottom w:val="nil"/>
              <w:right w:val="nil"/>
            </w:tcBorders>
            <w:noWrap/>
            <w:vAlign w:val="center"/>
          </w:tcPr>
          <w:p w14:paraId="075FE45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82 VS 71</w:t>
            </w:r>
          </w:p>
        </w:tc>
        <w:tc>
          <w:tcPr>
            <w:tcW w:w="486" w:type="pct"/>
            <w:tcBorders>
              <w:top w:val="nil"/>
              <w:left w:val="nil"/>
              <w:bottom w:val="nil"/>
              <w:right w:val="nil"/>
            </w:tcBorders>
            <w:noWrap/>
            <w:vAlign w:val="center"/>
          </w:tcPr>
          <w:p w14:paraId="04C8CB7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63 VS 55</w:t>
            </w:r>
          </w:p>
        </w:tc>
        <w:tc>
          <w:tcPr>
            <w:tcW w:w="484" w:type="pct"/>
            <w:tcBorders>
              <w:top w:val="nil"/>
              <w:left w:val="nil"/>
              <w:right w:val="nil"/>
            </w:tcBorders>
            <w:vAlign w:val="center"/>
          </w:tcPr>
          <w:p w14:paraId="263305A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28.48 (95% CI 26.58</w:t>
            </w:r>
            <w:r>
              <w:rPr>
                <w:rFonts w:cstheme="minorBidi" w:hint="eastAsia"/>
                <w:b w:val="0"/>
                <w:bCs w:val="0"/>
                <w:sz w:val="18"/>
                <w:szCs w:val="18"/>
              </w:rPr>
              <w:t>–</w:t>
            </w:r>
            <w:r>
              <w:rPr>
                <w:rFonts w:cstheme="minorBidi" w:hint="eastAsia"/>
                <w:b w:val="0"/>
                <w:bCs w:val="0"/>
                <w:sz w:val="18"/>
                <w:szCs w:val="18"/>
              </w:rPr>
              <w:t>30.32) VS 28.55 (95% CI 26.64</w:t>
            </w:r>
            <w:r>
              <w:rPr>
                <w:rFonts w:cstheme="minorBidi" w:hint="eastAsia"/>
                <w:b w:val="0"/>
                <w:bCs w:val="0"/>
                <w:sz w:val="18"/>
                <w:szCs w:val="18"/>
              </w:rPr>
              <w:t>–</w:t>
            </w:r>
            <w:r>
              <w:rPr>
                <w:rFonts w:cstheme="minorBidi" w:hint="eastAsia"/>
                <w:b w:val="0"/>
                <w:bCs w:val="0"/>
                <w:sz w:val="18"/>
                <w:szCs w:val="18"/>
              </w:rPr>
              <w:t>32.13)</w:t>
            </w:r>
          </w:p>
        </w:tc>
      </w:tr>
      <w:tr w:rsidR="006D1C3F" w14:paraId="0DEF1DEE" w14:textId="77777777">
        <w:trPr>
          <w:trHeight w:val="23"/>
        </w:trPr>
        <w:tc>
          <w:tcPr>
            <w:tcW w:w="454" w:type="pct"/>
            <w:vMerge w:val="restart"/>
            <w:tcBorders>
              <w:top w:val="nil"/>
              <w:left w:val="nil"/>
              <w:bottom w:val="nil"/>
              <w:right w:val="nil"/>
            </w:tcBorders>
            <w:noWrap/>
            <w:vAlign w:val="center"/>
          </w:tcPr>
          <w:p w14:paraId="768D0BD1" w14:textId="77777777" w:rsidR="006D1C3F" w:rsidRDefault="00000000">
            <w:pPr>
              <w:ind w:firstLineChars="0" w:firstLine="0"/>
              <w:rPr>
                <w:b w:val="0"/>
                <w:bCs w:val="0"/>
                <w:sz w:val="18"/>
                <w:szCs w:val="18"/>
              </w:rPr>
            </w:pPr>
            <w:r>
              <w:rPr>
                <w:b w:val="0"/>
                <w:bCs w:val="0"/>
                <w:sz w:val="18"/>
                <w:szCs w:val="18"/>
              </w:rPr>
              <w:t>ALUR</w:t>
            </w:r>
            <w:r>
              <w:rPr>
                <w:b w:val="0"/>
                <w:bCs w:val="0"/>
                <w:sz w:val="18"/>
                <w:szCs w:val="18"/>
              </w:rPr>
              <w:fldChar w:fldCharType="begin"/>
            </w:r>
            <w:r>
              <w:rPr>
                <w:b w:val="0"/>
                <w:bCs w:val="0"/>
                <w:sz w:val="18"/>
                <w:szCs w:val="18"/>
              </w:rPr>
              <w:instrText xml:space="preserve"> ADDIN ZOTERO_ITEM CSL_CITATION {"citationID":"CIe9frhU","properties":{"formattedCitation":"(24)","plainCitation":"(24)","noteIndex":0},"citationItems":[{"id":401,"uris":["http://zotero.org/users/local/eBJtW3GH/items/6HDAQ78B"],"itemData":{"id":401,"type":"article-journal","abstract":"BACKGROUND: At the primary data cut-off, the ALUR study demonstrated significantly improved progression-free survival (PFS) and central nervous system (CNS) objective response rate (ORR) with alectinib versus chemotherapy in pretreated, advanced anaplastic lymphoma kinase (ALK)-positive non-small-cell lung cancer. We report final efficacy and safety data, and exploratory molecular profiling.\nPATIENTS AND METHODS: Patients who received prior platinum-doublet chemotherapy and crizotinib were randomized 2 : 1 to receive alectinib 600 mg twice daily (n = 79) or chemotherapy (pemetrexed 500 mg/m2 or docetaxel 75 mg/m2, every 3 weeks; n = 40) until progressive disease, death or withdrawal. The primary endpoint was investigator-assessed PFS. Secondary endpoints included ORR, CNS ORR and safety. Plasma samples were collected at baseline, then every 6 weeks until progressive disease; molecular factors detected by next-generation sequencing were correlated with outcomes.\nRESULTS: Investigator-assessed PFS was significantly longer with alectinib than chemotherapy (median 10.9 versus 1.4 months; hazard ratio 0.20, 95% confidence interval 0.12-0.33; P &lt; 0.001). ORR was 50.6% with alectinib versus 2.5% with chemotherapy (P &lt; 0.001). In patients with measurable CNS metastases at baseline, CNS ORR was 66.7% with alectinib versus 0% with chemotherapy (P &lt; 0.001). No new safety signals were seen. ALK rearrangement was identified in 69.5% (n = 41/59) of baseline plasma samples. Confirmed partial responses were observed with alectinib in 6/11 patients with a secondary ALK mutation and 4/6 patients with a non-EML4-ALK (where EML4 is echinoderm microtubule-associated protein-like 4) fusion. Detection of mutant TP53 in baseline plasma resulted in numerically shorter PFS with alectinib (hazard ratio 1.88, 95% confidence interval 0.9-3.93).\nCONCLUSIONS: Final efficacy data from ALUR confirmed the superior PFS, ORR and CNS ORR of alectinib versus chemotherapy in pretreated, advanced ALK-positive non-small-cell lung cancer. Alectinib prolonged PFS versus chemotherapy in patients with wild-type or mutant TP53; however, alectinib activity was considerably decreased in patients with mutant TP53.","container-title":"ESMO open","DOI":"10.1016/j.esmoop.2021.100333","ISSN":"2059-7029","issue":"1","journalAbbreviation":"ESMO Open","language":"en","note":"PMID: 35042152\nPMCID: PMC8777286","page":"100333","source":"PubMed","title":"Final efficacy and safety data, and exploratory molecular profiling from the phase III ALUR study of alectinib versus chemotherapy in crizotinib-pretreated ALK-positive non-small-cell lung cancer","volume":"7","author":[{"family":"Wolf","given":"J."},{"family":"Helland","given":"Å"},{"family":"Oh","given":"I.-J."},{"family":"Migliorino","given":"M. R."},{"family":"Dziadziuszko","given":"R."},{"family":"Wrona","given":"A."},{"family":"Castro","given":"J.","non-dropping-particle":"de"},{"family":"Mazieres","given":"J."},{"family":"Griesinger","given":"F."},{"family":"Chlistalla","given":"M."},{"family":"Cardona","given":"A."},{"family":"Ruf","given":"T."},{"family":"Trunzer","given":"K."},{"family":"Smoljanovic","given":"V."},{"family":"Novello","given":"S."}],"issued":{"date-parts":[["2022",2]]}}}],"schema":"https://github.com/citation-style-language/schema/raw/master/csl-citation.json"} </w:instrText>
            </w:r>
            <w:r>
              <w:rPr>
                <w:b w:val="0"/>
                <w:bCs w:val="0"/>
                <w:sz w:val="18"/>
                <w:szCs w:val="18"/>
              </w:rPr>
              <w:fldChar w:fldCharType="separate"/>
            </w:r>
            <w:r>
              <w:rPr>
                <w:b w:val="0"/>
                <w:bCs w:val="0"/>
                <w:sz w:val="18"/>
              </w:rPr>
              <w:t>[24]</w:t>
            </w:r>
            <w:r>
              <w:rPr>
                <w:b w:val="0"/>
                <w:bCs w:val="0"/>
                <w:sz w:val="18"/>
                <w:szCs w:val="18"/>
              </w:rPr>
              <w:fldChar w:fldCharType="end"/>
            </w:r>
          </w:p>
        </w:tc>
        <w:tc>
          <w:tcPr>
            <w:tcW w:w="714" w:type="pct"/>
            <w:vMerge w:val="restart"/>
            <w:tcBorders>
              <w:top w:val="nil"/>
              <w:left w:val="nil"/>
              <w:bottom w:val="nil"/>
              <w:right w:val="nil"/>
            </w:tcBorders>
            <w:noWrap/>
            <w:vAlign w:val="center"/>
          </w:tcPr>
          <w:p w14:paraId="1C0B3C27"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Alectinib</w:t>
            </w:r>
            <w:proofErr w:type="spellEnd"/>
            <w:r>
              <w:rPr>
                <w:rFonts w:cstheme="minorBidi" w:hint="eastAsia"/>
                <w:b w:val="0"/>
                <w:bCs w:val="0"/>
                <w:sz w:val="18"/>
                <w:szCs w:val="18"/>
              </w:rPr>
              <w:t xml:space="preserve"> (600 mg twice daily) VS </w:t>
            </w:r>
            <w:proofErr w:type="spellStart"/>
            <w:r>
              <w:rPr>
                <w:rFonts w:cstheme="minorBidi" w:hint="eastAsia"/>
                <w:b w:val="0"/>
                <w:bCs w:val="0"/>
                <w:sz w:val="18"/>
                <w:szCs w:val="18"/>
              </w:rPr>
              <w:t>Pemetrexeor</w:t>
            </w:r>
            <w:proofErr w:type="spellEnd"/>
            <w:r>
              <w:rPr>
                <w:rFonts w:cstheme="minorBidi" w:hint="eastAsia"/>
                <w:b w:val="0"/>
                <w:bCs w:val="0"/>
                <w:sz w:val="18"/>
                <w:szCs w:val="18"/>
              </w:rPr>
              <w:t xml:space="preserve"> Docetaxel</w:t>
            </w:r>
          </w:p>
        </w:tc>
        <w:tc>
          <w:tcPr>
            <w:tcW w:w="711" w:type="pct"/>
            <w:vMerge w:val="restart"/>
            <w:tcBorders>
              <w:top w:val="nil"/>
              <w:left w:val="nil"/>
              <w:bottom w:val="nil"/>
              <w:right w:val="nil"/>
            </w:tcBorders>
            <w:noWrap/>
            <w:vAlign w:val="center"/>
          </w:tcPr>
          <w:p w14:paraId="760F54F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72 VS 35</w:t>
            </w:r>
          </w:p>
        </w:tc>
        <w:tc>
          <w:tcPr>
            <w:tcW w:w="401" w:type="pct"/>
            <w:vMerge w:val="restart"/>
            <w:tcBorders>
              <w:top w:val="nil"/>
              <w:left w:val="nil"/>
              <w:bottom w:val="nil"/>
              <w:right w:val="nil"/>
            </w:tcBorders>
            <w:noWrap/>
            <w:vAlign w:val="center"/>
          </w:tcPr>
          <w:p w14:paraId="453AAB4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vMerge w:val="restart"/>
            <w:tcBorders>
              <w:top w:val="nil"/>
              <w:left w:val="nil"/>
              <w:bottom w:val="nil"/>
              <w:right w:val="nil"/>
            </w:tcBorders>
            <w:noWrap/>
            <w:vAlign w:val="center"/>
          </w:tcPr>
          <w:p w14:paraId="76C94A82"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0.91 (0.49-1.70)</w:t>
            </w:r>
          </w:p>
        </w:tc>
        <w:tc>
          <w:tcPr>
            <w:tcW w:w="523" w:type="pct"/>
            <w:tcBorders>
              <w:top w:val="nil"/>
              <w:left w:val="nil"/>
              <w:bottom w:val="nil"/>
              <w:right w:val="nil"/>
            </w:tcBorders>
            <w:vAlign w:val="center"/>
          </w:tcPr>
          <w:p w14:paraId="233C5244"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0.32 (0.17-0.</w:t>
            </w:r>
            <w:proofErr w:type="gramStart"/>
            <w:r>
              <w:rPr>
                <w:rFonts w:hint="eastAsia"/>
                <w:b w:val="0"/>
                <w:bCs w:val="0"/>
                <w:color w:val="000000"/>
                <w:kern w:val="0"/>
                <w:sz w:val="18"/>
                <w:szCs w:val="18"/>
                <w:lang w:bidi="ar"/>
              </w:rPr>
              <w:t>59)#</w:t>
            </w:r>
            <w:proofErr w:type="gramEnd"/>
          </w:p>
        </w:tc>
        <w:tc>
          <w:tcPr>
            <w:tcW w:w="718" w:type="pct"/>
            <w:vMerge w:val="restart"/>
            <w:tcBorders>
              <w:top w:val="nil"/>
              <w:left w:val="nil"/>
              <w:bottom w:val="nil"/>
              <w:right w:val="nil"/>
            </w:tcBorders>
            <w:noWrap/>
            <w:vAlign w:val="center"/>
          </w:tcPr>
          <w:p w14:paraId="5C2CCA0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 (26-50) VS 1 (0-15)</w:t>
            </w:r>
          </w:p>
        </w:tc>
        <w:tc>
          <w:tcPr>
            <w:tcW w:w="486" w:type="pct"/>
            <w:vMerge w:val="restart"/>
            <w:tcBorders>
              <w:top w:val="nil"/>
              <w:left w:val="nil"/>
              <w:bottom w:val="nil"/>
              <w:right w:val="nil"/>
            </w:tcBorders>
            <w:noWrap/>
            <w:vAlign w:val="center"/>
          </w:tcPr>
          <w:p w14:paraId="3D503C4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37.7 VS 43.2</w:t>
            </w:r>
          </w:p>
        </w:tc>
        <w:tc>
          <w:tcPr>
            <w:tcW w:w="484" w:type="pct"/>
            <w:vMerge w:val="restart"/>
            <w:tcBorders>
              <w:top w:val="nil"/>
              <w:left w:val="nil"/>
              <w:right w:val="nil"/>
            </w:tcBorders>
            <w:vAlign w:val="center"/>
          </w:tcPr>
          <w:p w14:paraId="4A25245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22.7 VS 22.4</w:t>
            </w:r>
          </w:p>
        </w:tc>
      </w:tr>
      <w:tr w:rsidR="006D1C3F" w14:paraId="3E5AADC4" w14:textId="77777777">
        <w:trPr>
          <w:trHeight w:val="23"/>
        </w:trPr>
        <w:tc>
          <w:tcPr>
            <w:tcW w:w="454" w:type="pct"/>
            <w:vMerge/>
            <w:tcBorders>
              <w:top w:val="nil"/>
              <w:left w:val="nil"/>
              <w:bottom w:val="nil"/>
              <w:right w:val="nil"/>
            </w:tcBorders>
            <w:noWrap/>
            <w:vAlign w:val="center"/>
          </w:tcPr>
          <w:p w14:paraId="295BF985" w14:textId="77777777" w:rsidR="006D1C3F" w:rsidRDefault="006D1C3F">
            <w:pPr>
              <w:ind w:firstLine="360"/>
              <w:jc w:val="center"/>
              <w:rPr>
                <w:b w:val="0"/>
                <w:bCs w:val="0"/>
                <w:sz w:val="18"/>
                <w:szCs w:val="18"/>
              </w:rPr>
            </w:pPr>
          </w:p>
        </w:tc>
        <w:tc>
          <w:tcPr>
            <w:tcW w:w="714" w:type="pct"/>
            <w:vMerge/>
            <w:tcBorders>
              <w:top w:val="nil"/>
              <w:left w:val="nil"/>
              <w:bottom w:val="nil"/>
              <w:right w:val="nil"/>
            </w:tcBorders>
            <w:noWrap/>
            <w:vAlign w:val="center"/>
          </w:tcPr>
          <w:p w14:paraId="488036C9" w14:textId="77777777" w:rsidR="006D1C3F" w:rsidRDefault="006D1C3F">
            <w:pPr>
              <w:ind w:firstLine="360"/>
              <w:jc w:val="center"/>
              <w:rPr>
                <w:rFonts w:cstheme="minorBidi"/>
                <w:b w:val="0"/>
                <w:bCs w:val="0"/>
                <w:sz w:val="18"/>
                <w:szCs w:val="18"/>
              </w:rPr>
            </w:pPr>
          </w:p>
        </w:tc>
        <w:tc>
          <w:tcPr>
            <w:tcW w:w="711" w:type="pct"/>
            <w:vMerge/>
            <w:tcBorders>
              <w:top w:val="nil"/>
              <w:left w:val="nil"/>
              <w:bottom w:val="nil"/>
              <w:right w:val="nil"/>
            </w:tcBorders>
            <w:noWrap/>
            <w:vAlign w:val="center"/>
          </w:tcPr>
          <w:p w14:paraId="79C2A431" w14:textId="77777777" w:rsidR="006D1C3F" w:rsidRDefault="006D1C3F">
            <w:pPr>
              <w:ind w:firstLine="360"/>
              <w:jc w:val="center"/>
              <w:rPr>
                <w:rFonts w:cstheme="minorBidi"/>
                <w:b w:val="0"/>
                <w:bCs w:val="0"/>
                <w:sz w:val="18"/>
                <w:szCs w:val="18"/>
              </w:rPr>
            </w:pPr>
          </w:p>
        </w:tc>
        <w:tc>
          <w:tcPr>
            <w:tcW w:w="401" w:type="pct"/>
            <w:vMerge/>
            <w:tcBorders>
              <w:top w:val="nil"/>
              <w:left w:val="nil"/>
              <w:bottom w:val="nil"/>
              <w:right w:val="nil"/>
            </w:tcBorders>
            <w:noWrap/>
            <w:vAlign w:val="center"/>
          </w:tcPr>
          <w:p w14:paraId="3B21F093" w14:textId="77777777" w:rsidR="006D1C3F" w:rsidRDefault="006D1C3F">
            <w:pPr>
              <w:ind w:firstLine="360"/>
              <w:jc w:val="center"/>
              <w:rPr>
                <w:rFonts w:cstheme="minorBidi"/>
                <w:b w:val="0"/>
                <w:bCs w:val="0"/>
                <w:sz w:val="18"/>
                <w:szCs w:val="18"/>
              </w:rPr>
            </w:pPr>
          </w:p>
        </w:tc>
        <w:tc>
          <w:tcPr>
            <w:tcW w:w="509" w:type="pct"/>
            <w:vMerge/>
            <w:tcBorders>
              <w:top w:val="nil"/>
              <w:left w:val="nil"/>
              <w:bottom w:val="nil"/>
              <w:right w:val="nil"/>
            </w:tcBorders>
            <w:noWrap/>
            <w:vAlign w:val="center"/>
          </w:tcPr>
          <w:p w14:paraId="20170C26" w14:textId="77777777" w:rsidR="006D1C3F" w:rsidRDefault="006D1C3F">
            <w:pPr>
              <w:spacing w:line="240" w:lineRule="auto"/>
              <w:ind w:firstLineChars="0" w:firstLine="0"/>
              <w:jc w:val="center"/>
              <w:rPr>
                <w:rFonts w:eastAsiaTheme="minorEastAsia" w:cstheme="minorBidi"/>
                <w:b w:val="0"/>
                <w:bCs w:val="0"/>
                <w:sz w:val="18"/>
                <w:szCs w:val="18"/>
              </w:rPr>
            </w:pPr>
          </w:p>
        </w:tc>
        <w:tc>
          <w:tcPr>
            <w:tcW w:w="523" w:type="pct"/>
            <w:tcBorders>
              <w:top w:val="nil"/>
              <w:left w:val="nil"/>
              <w:bottom w:val="nil"/>
              <w:right w:val="nil"/>
            </w:tcBorders>
            <w:noWrap/>
            <w:vAlign w:val="center"/>
          </w:tcPr>
          <w:p w14:paraId="2F39D1FE"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0.20 (0.12-0.</w:t>
            </w:r>
            <w:proofErr w:type="gramStart"/>
            <w:r>
              <w:rPr>
                <w:rFonts w:hint="eastAsia"/>
                <w:b w:val="0"/>
                <w:bCs w:val="0"/>
                <w:color w:val="000000"/>
                <w:kern w:val="0"/>
                <w:sz w:val="18"/>
                <w:szCs w:val="18"/>
                <w:lang w:bidi="ar"/>
              </w:rPr>
              <w:t>33)*</w:t>
            </w:r>
            <w:proofErr w:type="gramEnd"/>
          </w:p>
        </w:tc>
        <w:tc>
          <w:tcPr>
            <w:tcW w:w="718" w:type="pct"/>
            <w:vMerge/>
            <w:tcBorders>
              <w:top w:val="nil"/>
              <w:left w:val="nil"/>
              <w:bottom w:val="nil"/>
              <w:right w:val="nil"/>
            </w:tcBorders>
            <w:noWrap/>
            <w:vAlign w:val="center"/>
          </w:tcPr>
          <w:p w14:paraId="5839BBFD" w14:textId="77777777" w:rsidR="006D1C3F" w:rsidRDefault="006D1C3F">
            <w:pPr>
              <w:ind w:firstLine="360"/>
              <w:jc w:val="center"/>
              <w:rPr>
                <w:rFonts w:cstheme="minorBidi"/>
                <w:b w:val="0"/>
                <w:bCs w:val="0"/>
                <w:sz w:val="18"/>
                <w:szCs w:val="18"/>
              </w:rPr>
            </w:pPr>
          </w:p>
        </w:tc>
        <w:tc>
          <w:tcPr>
            <w:tcW w:w="486" w:type="pct"/>
            <w:vMerge/>
            <w:tcBorders>
              <w:top w:val="nil"/>
              <w:left w:val="nil"/>
              <w:bottom w:val="nil"/>
              <w:right w:val="nil"/>
            </w:tcBorders>
            <w:noWrap/>
            <w:vAlign w:val="center"/>
          </w:tcPr>
          <w:p w14:paraId="39EDB406" w14:textId="77777777" w:rsidR="006D1C3F" w:rsidRDefault="006D1C3F">
            <w:pPr>
              <w:ind w:firstLine="360"/>
              <w:jc w:val="center"/>
              <w:rPr>
                <w:rFonts w:cstheme="minorBidi"/>
                <w:b w:val="0"/>
                <w:bCs w:val="0"/>
                <w:sz w:val="18"/>
                <w:szCs w:val="18"/>
              </w:rPr>
            </w:pPr>
          </w:p>
        </w:tc>
        <w:tc>
          <w:tcPr>
            <w:tcW w:w="484" w:type="pct"/>
            <w:vMerge/>
            <w:tcBorders>
              <w:left w:val="nil"/>
              <w:bottom w:val="nil"/>
              <w:right w:val="nil"/>
            </w:tcBorders>
            <w:vAlign w:val="center"/>
          </w:tcPr>
          <w:p w14:paraId="6F201F39" w14:textId="77777777" w:rsidR="006D1C3F" w:rsidRDefault="006D1C3F">
            <w:pPr>
              <w:ind w:firstLine="360"/>
              <w:jc w:val="center"/>
              <w:rPr>
                <w:rFonts w:cstheme="minorBidi"/>
                <w:b w:val="0"/>
                <w:bCs w:val="0"/>
                <w:sz w:val="18"/>
                <w:szCs w:val="18"/>
              </w:rPr>
            </w:pPr>
          </w:p>
        </w:tc>
      </w:tr>
      <w:tr w:rsidR="006D1C3F" w14:paraId="77A2A57A" w14:textId="77777777">
        <w:trPr>
          <w:trHeight w:val="652"/>
        </w:trPr>
        <w:tc>
          <w:tcPr>
            <w:tcW w:w="454" w:type="pct"/>
            <w:tcBorders>
              <w:top w:val="nil"/>
              <w:left w:val="nil"/>
              <w:bottom w:val="nil"/>
              <w:right w:val="nil"/>
            </w:tcBorders>
            <w:noWrap/>
            <w:vAlign w:val="center"/>
          </w:tcPr>
          <w:p w14:paraId="37C90CF3" w14:textId="77777777" w:rsidR="006D1C3F" w:rsidRDefault="00000000">
            <w:pPr>
              <w:ind w:firstLineChars="0" w:firstLine="0"/>
              <w:rPr>
                <w:b w:val="0"/>
                <w:bCs w:val="0"/>
                <w:sz w:val="18"/>
                <w:szCs w:val="18"/>
              </w:rPr>
            </w:pPr>
            <w:r>
              <w:rPr>
                <w:b w:val="0"/>
                <w:bCs w:val="0"/>
                <w:sz w:val="18"/>
                <w:szCs w:val="18"/>
              </w:rPr>
              <w:t>ASCEND-5</w:t>
            </w:r>
            <w:r>
              <w:rPr>
                <w:b w:val="0"/>
                <w:bCs w:val="0"/>
                <w:sz w:val="18"/>
                <w:szCs w:val="18"/>
              </w:rPr>
              <w:fldChar w:fldCharType="begin"/>
            </w:r>
            <w:r>
              <w:rPr>
                <w:b w:val="0"/>
                <w:bCs w:val="0"/>
                <w:sz w:val="18"/>
                <w:szCs w:val="18"/>
              </w:rPr>
              <w:instrText xml:space="preserve"> ADDIN ZOTERO_ITEM CSL_CITATION {"citationID":"OQnftxNt","properties":{"formattedCitation":"(25)","plainCitation":"(25)","noteIndex":0},"citationItems":[{"id":404,"uris":["http://zotero.org/users/local/eBJtW3GH/items/HVVFM3IW"],"itemData":{"id":404,"type":"article-journal","abstract":"BACKGROUND: Ceritinib is a next-generation anaplastic lymphoma kinase (ALK) inhibitor, which has shown robust anti-tumour efficacy, along with intracranial activity, in patients with ALK-rearranged non-small-cell lung cancer. In phase 1 and 2 studies, ceritinib has been shown to be highly active in both ALK inhibitor-naive and ALK inhibitor-pretreated patients who had progressed after chemotherapy (mostly multiple lines). In this study, we compared the efficacy and safety of ceritinib versus single-agent chemotherapy in patients with advanced ALK-rearranged non-small-cell lung cancer who had previously progressed following crizotinib and platinum-based doublet chemotherapy.\nMETHODS: In this randomised, controlled, open-label, phase 3 trial, we recruited patients aged at least 18 years with ALK-rearranged stage IIIB or IV non-small-cell lung cancer (with at least one measurable lesion) who had received previous chemotherapy (one or two lines, including a platinum doublet) and crizotinib and had subsequent disease progression, from 99 centres across 20 countries. Other inclusion criteria were a WHO performance status of 0-2, adequate organ function and laboratory test results, a life expectancy of at least 12 weeks, and having recovered from previous anticancer treatment-related toxicities. We randomly allocated patients (1:1; with blocking [block size of four]; stratified by WHO performance status [0 vs 1-2] and presence or absence of brain metastases) to oral ceritinib 750 mg per day fasted (in 21 day treatment cycles) or chemotherapy (intravenous pemetrexed 500 mg/m2 or docetaxel 75 mg/m2 [investigator choice], every 21 days). Patients who discontinued chemotherapy because of progressive disease could cross over to the ceritinib group. The primary endpoint was progression-free survival, assessed by a masked independent review committee using Response Evaluation Criteria in Solid Tumors 1.1 in the intention-to-treat population, assessed every 6 weeks until month 18 and every 9 weeks thereafter. This trial is registered with ClinicalTrials.gov, number NCT01828112, and is ongoing but no longer recruiting patients.\nFINDINGS: Between June 28, 2013, and Nov 2, 2015, we randomly allocated 231 patients; 115 (50%) to ceritinib and 116 (50%) to chemotherapy (40 [34%] to pemetrexed, 73 [63%] to docetaxel, and three [3%] discontinued before receiving treatment). Median follow-up was 16·5 months (IQR 11·5-21·4). Ceritinib showed a significant improvement in median progression-free survival compared with chemotherapy (5·4 months [95% CI 4·1-6·9] for ceritinib vs 1·6 months [1·4-2·8] for chemotherapy; hazard ratio 0·49 [0·36-0·67]; p&lt;0·0001). Serious adverse events were reported in 49 (43%) of 115 patients in the ceritinib group and 36 (32%) of 113 in the chemotherapy group. Treatment-related serious adverse events were similar between groups (13 [11%] in the ceritinib group vs 12 [11%] in the chemotherapy group). The most frequent grade 3-4 adverse events in the ceritinib group were increased alanine aminotransferase concentration (24 [21%] of 115 vs two [2%] of 113 in the chemotherapy group), increased γ glutamyltransferase concentration (24 [21%] vs one [1%]), and increased aspartate aminotransferase concentration (16 [14%] vs one [1%] in the chemotherapy group). Six (5%) of 115 patients in the ceritinib group discontinued because of adverse events compared with eight (7%) of 116 in the chemotherapy group. 15 (13%) of 115 patients in the ceritinib group and five (4%) of 113 in the chemotherapy group died during the treatment period (from the day of the first dose of study treatment to 30 days after the final dose). 13 (87%) of the 15 patients who died in the ceritinib group died because of disease progression and two (13%) died because of an adverse event (one [7%] cerebrovascular accident and one [7%] respiratory failure); neither of these deaths were considered by the investigator to be treatment related. The five (4%) deaths in the chemotherapy group were all due to disease progression.\nINTERPRETATION: These findings show that patients derive significant clinical benefit from a more potent ALK inhibitor after failure of crizotinib, and establish ceritinib as a more efficacious treatment option compared with chemotherapy in this patient population.\nFUNDING: Novartis Pharmaceuticals Corporation.","container-title":"The Lancet. Oncology","DOI":"10.1016/S1470-2045(17)30339-X","ISSN":"1474-5488","issue":"7","journalAbbreviation":"Lancet Oncol","language":"en","note":"PMID: 28602779","page":"874-886","source":"PubMed","title":"Ceritinib versus chemotherapy in patients with ALK-rearranged non-small-cell lung cancer previously given chemotherapy and crizotinib (ASCEND-5): a randomised, controlled, open-label, phase 3 trial","title-short":"Ceritinib versus chemotherapy in patients with ALK-rearranged non-small-cell lung cancer previously given chemotherapy and crizotinib (ASCEND-5)","volume":"18","author":[{"family":"Shaw","given":"Alice T."},{"family":"Kim","given":"Tae Min"},{"family":"Crinò","given":"Lucio"},{"family":"Gridelli","given":"Cesare"},{"family":"Kiura","given":"Katsuyuki"},{"family":"Liu","given":"Geoffrey"},{"family":"Novello","given":"Silvia"},{"family":"Bearz","given":"Alessandra"},{"family":"Gautschi","given":"Oliver"},{"family":"Mok","given":"Tony"},{"family":"Nishio","given":"Makoto"},{"family":"Scagliotti","given":"Giorgio"},{"family":"Spigel","given":"David R."},{"family":"Deudon","given":"Stéphanie"},{"family":"Zheng","given":"Cheng"},{"family":"Pantano","given":"Serafino"},{"family":"Urban","given":"Patrick"},{"family":"Massacesi","given":"Cristian"},{"family":"Viraswami-Appanna","given":"Kalyanee"},{"family":"Felip","given":"Enriqueta"}],"issued":{"date-parts":[["2017",7]]}}}],"schema":"https://github.com/citation-style-language/schema/raw/master/csl-citation.json"} </w:instrText>
            </w:r>
            <w:r>
              <w:rPr>
                <w:b w:val="0"/>
                <w:bCs w:val="0"/>
                <w:sz w:val="18"/>
                <w:szCs w:val="18"/>
              </w:rPr>
              <w:fldChar w:fldCharType="separate"/>
            </w:r>
            <w:r>
              <w:rPr>
                <w:b w:val="0"/>
                <w:bCs w:val="0"/>
                <w:sz w:val="18"/>
              </w:rPr>
              <w:t>[25]</w:t>
            </w:r>
            <w:r>
              <w:rPr>
                <w:b w:val="0"/>
                <w:bCs w:val="0"/>
                <w:sz w:val="18"/>
                <w:szCs w:val="18"/>
              </w:rPr>
              <w:fldChar w:fldCharType="end"/>
            </w:r>
          </w:p>
        </w:tc>
        <w:tc>
          <w:tcPr>
            <w:tcW w:w="714" w:type="pct"/>
            <w:tcBorders>
              <w:top w:val="nil"/>
              <w:left w:val="nil"/>
              <w:bottom w:val="nil"/>
              <w:right w:val="nil"/>
            </w:tcBorders>
            <w:noWrap/>
            <w:vAlign w:val="center"/>
          </w:tcPr>
          <w:p w14:paraId="37028A77"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Ceritinib</w:t>
            </w:r>
            <w:proofErr w:type="spellEnd"/>
            <w:r>
              <w:rPr>
                <w:rFonts w:cstheme="minorBidi" w:hint="eastAsia"/>
                <w:b w:val="0"/>
                <w:bCs w:val="0"/>
                <w:sz w:val="18"/>
                <w:szCs w:val="18"/>
              </w:rPr>
              <w:t xml:space="preserve"> VS Pemetrexed or Docetaxel</w:t>
            </w:r>
          </w:p>
        </w:tc>
        <w:tc>
          <w:tcPr>
            <w:tcW w:w="711" w:type="pct"/>
            <w:tcBorders>
              <w:top w:val="nil"/>
              <w:left w:val="nil"/>
              <w:bottom w:val="nil"/>
              <w:right w:val="nil"/>
            </w:tcBorders>
            <w:noWrap/>
            <w:vAlign w:val="center"/>
          </w:tcPr>
          <w:p w14:paraId="7786B5F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115 VS 116</w:t>
            </w:r>
          </w:p>
        </w:tc>
        <w:tc>
          <w:tcPr>
            <w:tcW w:w="401" w:type="pct"/>
            <w:tcBorders>
              <w:top w:val="nil"/>
              <w:left w:val="nil"/>
              <w:bottom w:val="nil"/>
              <w:right w:val="nil"/>
            </w:tcBorders>
            <w:noWrap/>
            <w:vAlign w:val="center"/>
          </w:tcPr>
          <w:p w14:paraId="05FEE00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1DE54197"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1.0 (0.67</w:t>
            </w:r>
            <w:r>
              <w:rPr>
                <w:rFonts w:hint="eastAsia"/>
                <w:b w:val="0"/>
                <w:bCs w:val="0"/>
                <w:color w:val="000000"/>
                <w:kern w:val="0"/>
                <w:sz w:val="18"/>
                <w:szCs w:val="18"/>
                <w:lang w:bidi="ar"/>
              </w:rPr>
              <w:t>–</w:t>
            </w:r>
            <w:r>
              <w:rPr>
                <w:rFonts w:hint="eastAsia"/>
                <w:b w:val="0"/>
                <w:bCs w:val="0"/>
                <w:color w:val="000000"/>
                <w:kern w:val="0"/>
                <w:sz w:val="18"/>
                <w:szCs w:val="18"/>
                <w:lang w:bidi="ar"/>
              </w:rPr>
              <w:t>1.49)</w:t>
            </w:r>
          </w:p>
        </w:tc>
        <w:tc>
          <w:tcPr>
            <w:tcW w:w="523" w:type="pct"/>
            <w:tcBorders>
              <w:top w:val="nil"/>
              <w:left w:val="nil"/>
              <w:bottom w:val="nil"/>
              <w:right w:val="nil"/>
            </w:tcBorders>
            <w:noWrap/>
            <w:vAlign w:val="center"/>
          </w:tcPr>
          <w:p w14:paraId="7F11F78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0.49 (0.36-0.</w:t>
            </w:r>
            <w:proofErr w:type="gramStart"/>
            <w:r>
              <w:rPr>
                <w:rFonts w:hint="eastAsia"/>
                <w:b w:val="0"/>
                <w:bCs w:val="0"/>
                <w:color w:val="000000"/>
                <w:kern w:val="0"/>
                <w:sz w:val="18"/>
                <w:szCs w:val="18"/>
                <w:lang w:bidi="ar"/>
              </w:rPr>
              <w:t>67)#</w:t>
            </w:r>
            <w:proofErr w:type="gramEnd"/>
          </w:p>
        </w:tc>
        <w:tc>
          <w:tcPr>
            <w:tcW w:w="718" w:type="pct"/>
            <w:tcBorders>
              <w:top w:val="nil"/>
              <w:left w:val="nil"/>
              <w:bottom w:val="nil"/>
              <w:right w:val="nil"/>
            </w:tcBorders>
            <w:noWrap/>
            <w:vAlign w:val="center"/>
          </w:tcPr>
          <w:p w14:paraId="6F52B0D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39 (30-49) VS 7 (3-13)</w:t>
            </w:r>
          </w:p>
        </w:tc>
        <w:tc>
          <w:tcPr>
            <w:tcW w:w="486" w:type="pct"/>
            <w:tcBorders>
              <w:top w:val="nil"/>
              <w:left w:val="nil"/>
              <w:bottom w:val="nil"/>
              <w:right w:val="nil"/>
            </w:tcBorders>
            <w:noWrap/>
            <w:vAlign w:val="center"/>
          </w:tcPr>
          <w:p w14:paraId="52561E9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NA</w:t>
            </w:r>
          </w:p>
        </w:tc>
        <w:tc>
          <w:tcPr>
            <w:tcW w:w="484" w:type="pct"/>
            <w:tcBorders>
              <w:top w:val="nil"/>
              <w:left w:val="nil"/>
              <w:bottom w:val="nil"/>
              <w:right w:val="nil"/>
            </w:tcBorders>
            <w:vAlign w:val="center"/>
          </w:tcPr>
          <w:p w14:paraId="4CE13B0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16.5 (IQR 11.5-21.4) VS 16.6(IRQ 11.4-21.4)</w:t>
            </w:r>
          </w:p>
        </w:tc>
      </w:tr>
      <w:tr w:rsidR="006D1C3F" w14:paraId="0F3BE766" w14:textId="77777777">
        <w:trPr>
          <w:trHeight w:val="23"/>
        </w:trPr>
        <w:tc>
          <w:tcPr>
            <w:tcW w:w="454" w:type="pct"/>
            <w:vMerge w:val="restart"/>
            <w:tcBorders>
              <w:top w:val="nil"/>
              <w:left w:val="nil"/>
              <w:bottom w:val="nil"/>
              <w:right w:val="nil"/>
            </w:tcBorders>
            <w:noWrap/>
            <w:vAlign w:val="center"/>
          </w:tcPr>
          <w:p w14:paraId="35B33806" w14:textId="77777777" w:rsidR="006D1C3F" w:rsidRDefault="00000000">
            <w:pPr>
              <w:ind w:firstLineChars="0" w:firstLine="0"/>
              <w:rPr>
                <w:b w:val="0"/>
                <w:bCs w:val="0"/>
                <w:sz w:val="18"/>
                <w:szCs w:val="18"/>
              </w:rPr>
            </w:pPr>
            <w:r>
              <w:rPr>
                <w:b w:val="0"/>
                <w:bCs w:val="0"/>
                <w:sz w:val="18"/>
                <w:szCs w:val="18"/>
              </w:rPr>
              <w:t>ALTA-3</w:t>
            </w:r>
            <w:r>
              <w:rPr>
                <w:b w:val="0"/>
                <w:bCs w:val="0"/>
                <w:sz w:val="18"/>
                <w:szCs w:val="18"/>
              </w:rPr>
              <w:fldChar w:fldCharType="begin"/>
            </w:r>
            <w:r>
              <w:rPr>
                <w:b w:val="0"/>
                <w:bCs w:val="0"/>
                <w:sz w:val="18"/>
                <w:szCs w:val="18"/>
              </w:rPr>
              <w:instrText xml:space="preserve"> ADDIN ZOTERO_ITEM CSL_CITATION {"citationID":"hY0t38CN","properties":{"formattedCitation":"(26)","plainCitation":"(26)","noteIndex":0},"citationItems":[{"id":406,"uris":["http://zotero.org/users/local/eBJtW3GH/items/LMR2WBAC"],"itemData":{"id":406,"type":"article-journal","abstract":"INTRODUCTION: This open-label, phase 3 trial (ALTA-3; NCT03596866) compared efficacy and safety of brigatinib versus alectinib for ALK+ NSCLC after disease progression on crizotinib.\nMETHODS: Patients with advanced ALK+ NSCLC that progressed on crizotinib were randomized 1:1 to brigatinib 180 mg once daily (7-d lead-in, 90 mg) or alectinib 600 mg twice daily, aiming to test superiority. The primary end point was blinded independent review committee-assessed progression-free survival (PFS). Interim analysis for efficacy and futility was planned at approximately 70% of 164 expected PFS events.\nRESULTS: The population (N = 248; brigatinib, n = 125; alectinib, n = 123) was notable for long median duration of prior crizotinib (16.0-16.8 mo) and low rate of ALK fusion in baseline circulating tumor DNA (ctDNA; 78 of 232 [34%]). Median blinded independent review committee-assessed PFS was 19.3 months with brigatinib and 19.2 months with alectinib (hazard ratio = 0.97 [95% confidence interval: 0.66-1.42], p = 0.8672]). The study met futility criterion. Overall survival was immature (41 events [17%]). Exploratory analyses pooled across the treatment groups revealed median PFS of 11.1 versus 22.5 months in patients with versus without ctDNA-detectable ALK fusion at baseline (hazard ratio: 0.48 [95% confidence interval: 0.32-0.71]). Treatment-related adverse events in more than 30% of patients (brigatinib, alectinib) were elevated levels of blood creatine phosphokinase (70%, 29%), aspartate aminotransferase (53%, 38%), and alanine aminotransferase (40%, 36%).\nCONCLUSIONS: Brigatinib was not superior to alectinib for PFS in crizotinib-pretreated ALK+ NSCLC. Safety was consistent with the well-established and unique profiles of each drug. The low proportion of patients with ctDNA-detectable ALK fusion may account for prolonged PFS with both drugs in ALTA-3.","container-title":"Journal of Thoracic Oncology: Official Publication of the International Association for the Study of Lung Cancer","DOI":"10.1016/j.jtho.2023.08.010","ISSN":"1556-1380","issue":"12","journalAbbreviation":"J Thorac Oncol","language":"en","note":"PMID: 37574132","page":"1743-1755","source":"PubMed","title":"Brigatinib Versus Alectinib in ALK-Positive NSCLC After Disease Progression on Crizotinib: Results of Phase 3 ALTA-3 Trial","title-short":"Brigatinib Versus Alectinib in ALK-Positive NSCLC After Disease Progression on Crizotinib","volume":"18","author":[{"family":"Yang","given":"James Chih-Hsin"},{"family":"Liu","given":"Geoffrey"},{"family":"Lu","given":"Shun"},{"family":"He","given":"Jianxing"},{"family":"Burotto","given":"Mauricio"},{"family":"Ahn","given":"Myung-Ju"},{"family":"Kim","given":"Dong-Wan"},{"family":"Liu","given":"XiaoQing"},{"family":"Zhao","given":"Yanqiu"},{"family":"Vincent","given":"Sylvie"},{"family":"Yin","given":"Jiani"},{"family":"Ma","given":"Xin"},{"family":"Lin","given":"Huamao M."},{"family":"Popat","given":"Sanjay"}],"issued":{"date-parts":[["2023",12]]}}}],"schema":"https://github.com/citation-style-language/schema/raw/master/csl-citation.json"} </w:instrText>
            </w:r>
            <w:r>
              <w:rPr>
                <w:b w:val="0"/>
                <w:bCs w:val="0"/>
                <w:sz w:val="18"/>
                <w:szCs w:val="18"/>
              </w:rPr>
              <w:fldChar w:fldCharType="separate"/>
            </w:r>
            <w:r>
              <w:rPr>
                <w:b w:val="0"/>
                <w:bCs w:val="0"/>
                <w:sz w:val="18"/>
              </w:rPr>
              <w:t>[26]</w:t>
            </w:r>
            <w:r>
              <w:rPr>
                <w:b w:val="0"/>
                <w:bCs w:val="0"/>
                <w:sz w:val="18"/>
                <w:szCs w:val="18"/>
              </w:rPr>
              <w:fldChar w:fldCharType="end"/>
            </w:r>
          </w:p>
        </w:tc>
        <w:tc>
          <w:tcPr>
            <w:tcW w:w="714" w:type="pct"/>
            <w:vMerge w:val="restart"/>
            <w:tcBorders>
              <w:top w:val="nil"/>
              <w:left w:val="nil"/>
              <w:bottom w:val="nil"/>
              <w:right w:val="nil"/>
            </w:tcBorders>
            <w:noWrap/>
            <w:vAlign w:val="center"/>
          </w:tcPr>
          <w:p w14:paraId="37791E04"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Brigatinib</w:t>
            </w:r>
            <w:proofErr w:type="spellEnd"/>
            <w:r>
              <w:rPr>
                <w:rFonts w:cstheme="minorBidi" w:hint="eastAsia"/>
                <w:b w:val="0"/>
                <w:bCs w:val="0"/>
                <w:sz w:val="18"/>
                <w:szCs w:val="18"/>
              </w:rPr>
              <w:t xml:space="preserve"> VS </w:t>
            </w:r>
            <w:proofErr w:type="spellStart"/>
            <w:r>
              <w:rPr>
                <w:rFonts w:cstheme="minorBidi" w:hint="eastAsia"/>
                <w:b w:val="0"/>
                <w:bCs w:val="0"/>
                <w:sz w:val="18"/>
                <w:szCs w:val="18"/>
              </w:rPr>
              <w:t>Alectinib</w:t>
            </w:r>
            <w:proofErr w:type="spellEnd"/>
            <w:r>
              <w:rPr>
                <w:rFonts w:cstheme="minorBidi" w:hint="eastAsia"/>
                <w:b w:val="0"/>
                <w:bCs w:val="0"/>
                <w:sz w:val="18"/>
                <w:szCs w:val="18"/>
              </w:rPr>
              <w:t xml:space="preserve"> (600 mg twice daily)</w:t>
            </w:r>
          </w:p>
        </w:tc>
        <w:tc>
          <w:tcPr>
            <w:tcW w:w="711" w:type="pct"/>
            <w:vMerge w:val="restart"/>
            <w:tcBorders>
              <w:top w:val="nil"/>
              <w:left w:val="nil"/>
              <w:bottom w:val="nil"/>
              <w:right w:val="nil"/>
            </w:tcBorders>
            <w:noWrap/>
            <w:vAlign w:val="center"/>
          </w:tcPr>
          <w:p w14:paraId="3C813F2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125 VS 123</w:t>
            </w:r>
          </w:p>
        </w:tc>
        <w:tc>
          <w:tcPr>
            <w:tcW w:w="401" w:type="pct"/>
            <w:vMerge w:val="restart"/>
            <w:tcBorders>
              <w:top w:val="nil"/>
              <w:left w:val="nil"/>
              <w:bottom w:val="nil"/>
              <w:right w:val="nil"/>
            </w:tcBorders>
            <w:noWrap/>
            <w:vAlign w:val="center"/>
          </w:tcPr>
          <w:p w14:paraId="4560310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vMerge w:val="restart"/>
            <w:tcBorders>
              <w:top w:val="nil"/>
              <w:left w:val="nil"/>
              <w:bottom w:val="nil"/>
              <w:right w:val="nil"/>
            </w:tcBorders>
            <w:noWrap/>
            <w:vAlign w:val="center"/>
          </w:tcPr>
          <w:p w14:paraId="1646ABE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NA</w:t>
            </w:r>
          </w:p>
        </w:tc>
        <w:tc>
          <w:tcPr>
            <w:tcW w:w="523" w:type="pct"/>
            <w:tcBorders>
              <w:top w:val="nil"/>
              <w:left w:val="nil"/>
              <w:bottom w:val="nil"/>
              <w:right w:val="nil"/>
            </w:tcBorders>
            <w:noWrap/>
            <w:vAlign w:val="center"/>
          </w:tcPr>
          <w:p w14:paraId="303E3B4D"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0.97 (0.66-1.</w:t>
            </w:r>
            <w:proofErr w:type="gramStart"/>
            <w:r>
              <w:rPr>
                <w:rFonts w:hint="eastAsia"/>
                <w:b w:val="0"/>
                <w:bCs w:val="0"/>
                <w:color w:val="000000"/>
                <w:kern w:val="0"/>
                <w:sz w:val="18"/>
                <w:szCs w:val="18"/>
                <w:lang w:bidi="ar"/>
              </w:rPr>
              <w:t>42)</w:t>
            </w:r>
            <w:r>
              <w:rPr>
                <w:rFonts w:hint="eastAsia"/>
                <w:b w:val="0"/>
                <w:bCs w:val="0"/>
                <w:color w:val="000000"/>
                <w:kern w:val="0"/>
                <w:sz w:val="18"/>
                <w:szCs w:val="18"/>
                <w:vertAlign w:val="superscript"/>
                <w:lang w:bidi="ar"/>
              </w:rPr>
              <w:t>#</w:t>
            </w:r>
            <w:proofErr w:type="gramEnd"/>
          </w:p>
        </w:tc>
        <w:tc>
          <w:tcPr>
            <w:tcW w:w="718" w:type="pct"/>
            <w:vMerge w:val="restart"/>
            <w:tcBorders>
              <w:top w:val="nil"/>
              <w:left w:val="nil"/>
              <w:bottom w:val="nil"/>
              <w:right w:val="nil"/>
            </w:tcBorders>
            <w:noWrap/>
            <w:vAlign w:val="center"/>
          </w:tcPr>
          <w:p w14:paraId="5E75C62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52 (43-61) VS 61 (52-70)</w:t>
            </w:r>
          </w:p>
        </w:tc>
        <w:tc>
          <w:tcPr>
            <w:tcW w:w="486" w:type="pct"/>
            <w:vMerge w:val="restart"/>
            <w:tcBorders>
              <w:top w:val="nil"/>
              <w:left w:val="nil"/>
              <w:bottom w:val="nil"/>
              <w:right w:val="nil"/>
            </w:tcBorders>
            <w:noWrap/>
            <w:vAlign w:val="center"/>
          </w:tcPr>
          <w:p w14:paraId="673F7D1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44 VS 18</w:t>
            </w:r>
          </w:p>
        </w:tc>
        <w:tc>
          <w:tcPr>
            <w:tcW w:w="484" w:type="pct"/>
            <w:vMerge w:val="restart"/>
            <w:tcBorders>
              <w:top w:val="nil"/>
              <w:left w:val="nil"/>
              <w:right w:val="nil"/>
            </w:tcBorders>
            <w:vAlign w:val="center"/>
          </w:tcPr>
          <w:p w14:paraId="09AEBAA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15.9(range: 1.1-33.2) VS 16.9(range: 0.2-32.7)</w:t>
            </w:r>
          </w:p>
        </w:tc>
      </w:tr>
      <w:tr w:rsidR="006D1C3F" w14:paraId="55CFE99C" w14:textId="77777777">
        <w:trPr>
          <w:trHeight w:val="23"/>
        </w:trPr>
        <w:tc>
          <w:tcPr>
            <w:tcW w:w="454" w:type="pct"/>
            <w:vMerge/>
            <w:tcBorders>
              <w:top w:val="nil"/>
              <w:left w:val="nil"/>
              <w:bottom w:val="nil"/>
              <w:right w:val="nil"/>
            </w:tcBorders>
            <w:noWrap/>
            <w:vAlign w:val="center"/>
          </w:tcPr>
          <w:p w14:paraId="0828ED27" w14:textId="77777777" w:rsidR="006D1C3F" w:rsidRDefault="006D1C3F">
            <w:pPr>
              <w:ind w:firstLine="360"/>
              <w:jc w:val="center"/>
              <w:rPr>
                <w:b w:val="0"/>
                <w:bCs w:val="0"/>
                <w:sz w:val="18"/>
                <w:szCs w:val="18"/>
              </w:rPr>
            </w:pPr>
          </w:p>
        </w:tc>
        <w:tc>
          <w:tcPr>
            <w:tcW w:w="714" w:type="pct"/>
            <w:vMerge/>
            <w:tcBorders>
              <w:top w:val="nil"/>
              <w:left w:val="nil"/>
              <w:bottom w:val="nil"/>
              <w:right w:val="nil"/>
            </w:tcBorders>
            <w:noWrap/>
            <w:vAlign w:val="center"/>
          </w:tcPr>
          <w:p w14:paraId="251EB461" w14:textId="77777777" w:rsidR="006D1C3F" w:rsidRDefault="006D1C3F">
            <w:pPr>
              <w:ind w:firstLine="360"/>
              <w:jc w:val="center"/>
              <w:rPr>
                <w:rFonts w:cstheme="minorBidi"/>
                <w:b w:val="0"/>
                <w:bCs w:val="0"/>
                <w:sz w:val="18"/>
                <w:szCs w:val="18"/>
              </w:rPr>
            </w:pPr>
          </w:p>
        </w:tc>
        <w:tc>
          <w:tcPr>
            <w:tcW w:w="711" w:type="pct"/>
            <w:vMerge/>
            <w:tcBorders>
              <w:top w:val="nil"/>
              <w:left w:val="nil"/>
              <w:bottom w:val="nil"/>
              <w:right w:val="nil"/>
            </w:tcBorders>
            <w:noWrap/>
            <w:vAlign w:val="center"/>
          </w:tcPr>
          <w:p w14:paraId="25FAC475" w14:textId="77777777" w:rsidR="006D1C3F" w:rsidRDefault="006D1C3F">
            <w:pPr>
              <w:ind w:firstLine="360"/>
              <w:jc w:val="center"/>
              <w:rPr>
                <w:rFonts w:cstheme="minorBidi"/>
                <w:b w:val="0"/>
                <w:bCs w:val="0"/>
                <w:sz w:val="18"/>
                <w:szCs w:val="18"/>
              </w:rPr>
            </w:pPr>
          </w:p>
        </w:tc>
        <w:tc>
          <w:tcPr>
            <w:tcW w:w="401" w:type="pct"/>
            <w:vMerge/>
            <w:tcBorders>
              <w:top w:val="nil"/>
              <w:left w:val="nil"/>
              <w:bottom w:val="nil"/>
              <w:right w:val="nil"/>
            </w:tcBorders>
            <w:noWrap/>
            <w:vAlign w:val="center"/>
          </w:tcPr>
          <w:p w14:paraId="204F8077" w14:textId="77777777" w:rsidR="006D1C3F" w:rsidRDefault="006D1C3F">
            <w:pPr>
              <w:ind w:firstLine="360"/>
              <w:jc w:val="center"/>
              <w:rPr>
                <w:rFonts w:cstheme="minorBidi"/>
                <w:b w:val="0"/>
                <w:bCs w:val="0"/>
                <w:sz w:val="18"/>
                <w:szCs w:val="18"/>
              </w:rPr>
            </w:pPr>
          </w:p>
        </w:tc>
        <w:tc>
          <w:tcPr>
            <w:tcW w:w="509" w:type="pct"/>
            <w:vMerge/>
            <w:tcBorders>
              <w:top w:val="nil"/>
              <w:left w:val="nil"/>
              <w:bottom w:val="nil"/>
              <w:right w:val="nil"/>
            </w:tcBorders>
            <w:noWrap/>
            <w:vAlign w:val="center"/>
          </w:tcPr>
          <w:p w14:paraId="25002568" w14:textId="77777777" w:rsidR="006D1C3F" w:rsidRDefault="006D1C3F">
            <w:pPr>
              <w:spacing w:line="240" w:lineRule="auto"/>
              <w:ind w:firstLineChars="0" w:firstLine="0"/>
              <w:jc w:val="center"/>
              <w:rPr>
                <w:rFonts w:eastAsiaTheme="minorEastAsia" w:cstheme="minorBidi"/>
                <w:b w:val="0"/>
                <w:bCs w:val="0"/>
                <w:sz w:val="18"/>
                <w:szCs w:val="18"/>
              </w:rPr>
            </w:pPr>
          </w:p>
        </w:tc>
        <w:tc>
          <w:tcPr>
            <w:tcW w:w="523" w:type="pct"/>
            <w:tcBorders>
              <w:top w:val="nil"/>
              <w:left w:val="nil"/>
              <w:bottom w:val="nil"/>
              <w:right w:val="nil"/>
            </w:tcBorders>
            <w:noWrap/>
            <w:vAlign w:val="center"/>
          </w:tcPr>
          <w:p w14:paraId="11A7C7E6"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1.23 (0.86-1.</w:t>
            </w:r>
            <w:proofErr w:type="gramStart"/>
            <w:r>
              <w:rPr>
                <w:rFonts w:hint="eastAsia"/>
                <w:b w:val="0"/>
                <w:bCs w:val="0"/>
                <w:color w:val="000000"/>
                <w:kern w:val="0"/>
                <w:sz w:val="18"/>
                <w:szCs w:val="18"/>
                <w:lang w:bidi="ar"/>
              </w:rPr>
              <w:t>76)*</w:t>
            </w:r>
            <w:proofErr w:type="gramEnd"/>
          </w:p>
        </w:tc>
        <w:tc>
          <w:tcPr>
            <w:tcW w:w="718" w:type="pct"/>
            <w:vMerge/>
            <w:tcBorders>
              <w:top w:val="nil"/>
              <w:left w:val="nil"/>
              <w:bottom w:val="nil"/>
              <w:right w:val="nil"/>
            </w:tcBorders>
            <w:noWrap/>
            <w:vAlign w:val="center"/>
          </w:tcPr>
          <w:p w14:paraId="6CAC701C" w14:textId="77777777" w:rsidR="006D1C3F" w:rsidRDefault="006D1C3F">
            <w:pPr>
              <w:ind w:firstLine="360"/>
              <w:jc w:val="center"/>
              <w:rPr>
                <w:rFonts w:cstheme="minorBidi"/>
                <w:b w:val="0"/>
                <w:bCs w:val="0"/>
                <w:sz w:val="18"/>
                <w:szCs w:val="18"/>
              </w:rPr>
            </w:pPr>
          </w:p>
        </w:tc>
        <w:tc>
          <w:tcPr>
            <w:tcW w:w="486" w:type="pct"/>
            <w:vMerge/>
            <w:tcBorders>
              <w:top w:val="nil"/>
              <w:left w:val="nil"/>
              <w:bottom w:val="nil"/>
              <w:right w:val="nil"/>
            </w:tcBorders>
            <w:noWrap/>
            <w:vAlign w:val="center"/>
          </w:tcPr>
          <w:p w14:paraId="2E55CCCC" w14:textId="77777777" w:rsidR="006D1C3F" w:rsidRDefault="006D1C3F">
            <w:pPr>
              <w:ind w:firstLine="360"/>
              <w:jc w:val="center"/>
              <w:rPr>
                <w:rFonts w:cstheme="minorBidi"/>
                <w:b w:val="0"/>
                <w:bCs w:val="0"/>
                <w:sz w:val="18"/>
                <w:szCs w:val="18"/>
              </w:rPr>
            </w:pPr>
          </w:p>
        </w:tc>
        <w:tc>
          <w:tcPr>
            <w:tcW w:w="484" w:type="pct"/>
            <w:vMerge/>
            <w:tcBorders>
              <w:left w:val="nil"/>
              <w:bottom w:val="nil"/>
              <w:right w:val="nil"/>
            </w:tcBorders>
            <w:vAlign w:val="center"/>
          </w:tcPr>
          <w:p w14:paraId="2C9E73DE" w14:textId="77777777" w:rsidR="006D1C3F" w:rsidRDefault="006D1C3F">
            <w:pPr>
              <w:ind w:firstLine="360"/>
              <w:jc w:val="center"/>
              <w:rPr>
                <w:rFonts w:cstheme="minorBidi"/>
                <w:b w:val="0"/>
                <w:bCs w:val="0"/>
                <w:sz w:val="18"/>
                <w:szCs w:val="18"/>
              </w:rPr>
            </w:pPr>
          </w:p>
        </w:tc>
      </w:tr>
      <w:tr w:rsidR="006D1C3F" w14:paraId="6F03F142" w14:textId="77777777">
        <w:trPr>
          <w:trHeight w:val="652"/>
        </w:trPr>
        <w:tc>
          <w:tcPr>
            <w:tcW w:w="454" w:type="pct"/>
            <w:tcBorders>
              <w:top w:val="nil"/>
              <w:left w:val="nil"/>
              <w:bottom w:val="nil"/>
              <w:right w:val="nil"/>
            </w:tcBorders>
            <w:noWrap/>
            <w:vAlign w:val="center"/>
          </w:tcPr>
          <w:p w14:paraId="2441D6F9" w14:textId="77777777" w:rsidR="006D1C3F" w:rsidRDefault="00000000">
            <w:pPr>
              <w:ind w:firstLineChars="0" w:firstLine="0"/>
              <w:rPr>
                <w:b w:val="0"/>
                <w:bCs w:val="0"/>
                <w:sz w:val="18"/>
                <w:szCs w:val="18"/>
              </w:rPr>
            </w:pPr>
            <w:r>
              <w:rPr>
                <w:b w:val="0"/>
                <w:bCs w:val="0"/>
                <w:sz w:val="18"/>
                <w:szCs w:val="18"/>
              </w:rPr>
              <w:t>Profile 1007</w:t>
            </w:r>
            <w:r>
              <w:rPr>
                <w:b w:val="0"/>
                <w:bCs w:val="0"/>
                <w:sz w:val="18"/>
                <w:szCs w:val="18"/>
              </w:rPr>
              <w:fldChar w:fldCharType="begin"/>
            </w:r>
            <w:r>
              <w:rPr>
                <w:b w:val="0"/>
                <w:bCs w:val="0"/>
                <w:sz w:val="18"/>
                <w:szCs w:val="18"/>
              </w:rPr>
              <w:instrText xml:space="preserve"> ADDIN ZOTERO_ITEM CSL_CITATION {"citationID":"WrijB7F0","properties":{"formattedCitation":"(27)","plainCitation":"(27)","noteIndex":0},"citationItems":[{"id":409,"uris":["http://zotero.org/users/local/eBJtW3GH/items/RG2X7R54"],"itemData":{"id":409,"type":"article-journal","abstract":"BACKGROUND: In single-group studies, chromosomal rearrangements of the anaplastic lymphoma kinase gene (ALK) have been associated with marked clinical responses to crizotinib, an oral tyrosine kinase inhibitor targeting ALK. Whether crizotinib is superior to standard chemotherapy with respect to efficacy is unknown.\nMETHODS: We conducted a phase 3, open-label trial comparing crizotinib with chemotherapy in 347 patients with locally advanced or metastatic ALK-positive lung cancer who had received one prior platinum-based regimen. Patients were randomly assigned to receive oral treatment with crizotinib (250 mg) twice daily or intravenous chemotherapy with either pemetrexed (500 mg per square meter of body-surface area) or docetaxel (75 mg per square meter) every 3 weeks. Patients in the chemotherapy group who had disease progression were permitted to cross over to crizotinib as part of a separate study. The primary end point was progression-free survival.\nRESULTS: The median progression-free survival was 7.7 months in the crizotinib group and 3.0 months in the chemotherapy group (hazard ratio for progression or death with crizotinib, 0.49; 95% confidence interval [CI], 0.37 to 0.64; P&lt;0.001). The response rates were 65% (95% CI, 58 to 72) with crizotinib, as compared with 20% (95% CI, 14 to 26) with chemotherapy (P&lt;0.001). An interim analysis of overall survival showed no significant improvement with crizotinib as compared with chemotherapy (hazard ratio for death in the crizotinib group, 1.02; 95% CI, 0.68 to 1.54; P=0.54). Common adverse events associated with crizotinib were visual disorder, gastrointestinal side effects, and elevated liver aminotransferase levels, whereas common adverse events with chemotherapy were fatigue, alopecia, and dyspnea. Patients reported greater reductions in symptoms of lung cancer and greater improvement in global quality of life with crizotinib than with chemotherapy.\nCONCLUSIONS: Crizotinib is superior to standard chemotherapy in patients with previously treated, advanced non-small-cell lung cancer with ALK rearrangement. (Funded by Pfizer; ClinicalTrials.gov number, NCT00932893.).","container-title":"The New England Journal of Medicine","DOI":"10.1056/NEJMoa1214886","ISSN":"1533-4406","issue":"25","journalAbbreviation":"N Engl J Med","language":"en","note":"PMID: 23724913","page":"2385-2394","source":"PubMed","title":"Crizotinib versus chemotherapy in advanced ALK-positive lung cancer","volume":"368","author":[{"family":"Shaw","given":"Alice T."},{"family":"Kim","given":"Dong-Wan"},{"family":"Nakagawa","given":"Kazuhiko"},{"family":"Seto","given":"Takashi"},{"family":"Crinó","given":"Lucio"},{"family":"Ahn","given":"Myung-Ju"},{"family":"De Pas","given":"Tommaso"},{"family":"Besse","given":"Benjamin"},{"family":"Solomon","given":"Benjamin J."},{"family":"Blackhall","given":"Fiona"},{"family":"Wu","given":"Yi-Long"},{"family":"Thomas","given":"Michael"},{"family":"O'Byrne","given":"Kenneth J."},{"family":"Moro-Sibilot","given":"Denis"},{"family":"Camidge","given":"D. Ross"},{"family":"Mok","given":"Tony"},{"family":"Hirsh","given":"Vera"},{"family":"Riely","given":"Gregory J."},{"family":"Iyer","given":"Shrividya"},{"family":"Tassell","given":"Vanessa"},{"family":"Polli","given":"Anna"},{"family":"Wilner","given":"Keith D."},{"family":"Jänne","given":"Pasi A."}],"issued":{"date-parts":[["2013",6,20]]}}}],"schema":"https://github.com/citation-style-language/schema/raw/master/csl-citation.json"} </w:instrText>
            </w:r>
            <w:r>
              <w:rPr>
                <w:b w:val="0"/>
                <w:bCs w:val="0"/>
                <w:sz w:val="18"/>
                <w:szCs w:val="18"/>
              </w:rPr>
              <w:fldChar w:fldCharType="separate"/>
            </w:r>
            <w:r>
              <w:rPr>
                <w:b w:val="0"/>
                <w:bCs w:val="0"/>
                <w:sz w:val="18"/>
              </w:rPr>
              <w:t>[27]</w:t>
            </w:r>
            <w:r>
              <w:rPr>
                <w:b w:val="0"/>
                <w:bCs w:val="0"/>
                <w:sz w:val="18"/>
                <w:szCs w:val="18"/>
              </w:rPr>
              <w:fldChar w:fldCharType="end"/>
            </w:r>
          </w:p>
        </w:tc>
        <w:tc>
          <w:tcPr>
            <w:tcW w:w="714" w:type="pct"/>
            <w:tcBorders>
              <w:top w:val="nil"/>
              <w:left w:val="nil"/>
              <w:bottom w:val="nil"/>
              <w:right w:val="nil"/>
            </w:tcBorders>
            <w:noWrap/>
            <w:vAlign w:val="center"/>
          </w:tcPr>
          <w:p w14:paraId="0CE0C50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Crizotinib VS Pemetrexed or Docetaxel</w:t>
            </w:r>
          </w:p>
        </w:tc>
        <w:tc>
          <w:tcPr>
            <w:tcW w:w="711" w:type="pct"/>
            <w:tcBorders>
              <w:top w:val="nil"/>
              <w:left w:val="nil"/>
              <w:bottom w:val="nil"/>
              <w:right w:val="nil"/>
            </w:tcBorders>
            <w:noWrap/>
            <w:vAlign w:val="center"/>
          </w:tcPr>
          <w:p w14:paraId="25F29A3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173 VS 174</w:t>
            </w:r>
          </w:p>
        </w:tc>
        <w:tc>
          <w:tcPr>
            <w:tcW w:w="401" w:type="pct"/>
            <w:tcBorders>
              <w:top w:val="nil"/>
              <w:left w:val="nil"/>
              <w:bottom w:val="nil"/>
              <w:right w:val="nil"/>
            </w:tcBorders>
            <w:noWrap/>
            <w:vAlign w:val="center"/>
          </w:tcPr>
          <w:p w14:paraId="67123A0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tcBorders>
              <w:top w:val="nil"/>
              <w:left w:val="nil"/>
              <w:bottom w:val="nil"/>
              <w:right w:val="nil"/>
            </w:tcBorders>
            <w:noWrap/>
            <w:vAlign w:val="center"/>
          </w:tcPr>
          <w:p w14:paraId="41499595"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1.02 (0.68</w:t>
            </w:r>
            <w:r>
              <w:rPr>
                <w:rFonts w:hint="eastAsia"/>
                <w:b w:val="0"/>
                <w:bCs w:val="0"/>
                <w:color w:val="000000"/>
                <w:kern w:val="0"/>
                <w:sz w:val="18"/>
                <w:szCs w:val="18"/>
                <w:lang w:bidi="ar"/>
              </w:rPr>
              <w:t>–</w:t>
            </w:r>
            <w:r>
              <w:rPr>
                <w:rFonts w:hint="eastAsia"/>
                <w:b w:val="0"/>
                <w:bCs w:val="0"/>
                <w:color w:val="000000"/>
                <w:kern w:val="0"/>
                <w:sz w:val="18"/>
                <w:szCs w:val="18"/>
                <w:lang w:bidi="ar"/>
              </w:rPr>
              <w:t>1.54)</w:t>
            </w:r>
          </w:p>
        </w:tc>
        <w:tc>
          <w:tcPr>
            <w:tcW w:w="523" w:type="pct"/>
            <w:tcBorders>
              <w:top w:val="nil"/>
              <w:left w:val="nil"/>
              <w:bottom w:val="nil"/>
              <w:right w:val="nil"/>
            </w:tcBorders>
            <w:noWrap/>
            <w:vAlign w:val="center"/>
          </w:tcPr>
          <w:p w14:paraId="3EFC49F3"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0.49 (0.37-0.</w:t>
            </w:r>
            <w:proofErr w:type="gramStart"/>
            <w:r>
              <w:rPr>
                <w:rFonts w:hint="eastAsia"/>
                <w:b w:val="0"/>
                <w:bCs w:val="0"/>
                <w:color w:val="000000"/>
                <w:kern w:val="0"/>
                <w:sz w:val="18"/>
                <w:szCs w:val="18"/>
                <w:lang w:bidi="ar"/>
              </w:rPr>
              <w:t>64)#</w:t>
            </w:r>
            <w:proofErr w:type="gramEnd"/>
          </w:p>
        </w:tc>
        <w:tc>
          <w:tcPr>
            <w:tcW w:w="718" w:type="pct"/>
            <w:tcBorders>
              <w:top w:val="nil"/>
              <w:left w:val="nil"/>
              <w:bottom w:val="nil"/>
              <w:right w:val="nil"/>
            </w:tcBorders>
            <w:noWrap/>
            <w:vAlign w:val="center"/>
          </w:tcPr>
          <w:p w14:paraId="6FADBA6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65 (58</w:t>
            </w:r>
            <w:r>
              <w:rPr>
                <w:rFonts w:cstheme="minorBidi" w:hint="eastAsia"/>
                <w:b w:val="0"/>
                <w:bCs w:val="0"/>
                <w:sz w:val="18"/>
                <w:szCs w:val="18"/>
              </w:rPr>
              <w:t>−</w:t>
            </w:r>
            <w:r>
              <w:rPr>
                <w:rFonts w:cstheme="minorBidi" w:hint="eastAsia"/>
                <w:b w:val="0"/>
                <w:bCs w:val="0"/>
                <w:sz w:val="18"/>
                <w:szCs w:val="18"/>
              </w:rPr>
              <w:t>72) VS 20 (14</w:t>
            </w:r>
            <w:r>
              <w:rPr>
                <w:rFonts w:cstheme="minorBidi" w:hint="eastAsia"/>
                <w:b w:val="0"/>
                <w:bCs w:val="0"/>
                <w:sz w:val="18"/>
                <w:szCs w:val="18"/>
              </w:rPr>
              <w:t>−</w:t>
            </w:r>
            <w:r>
              <w:rPr>
                <w:rFonts w:cstheme="minorBidi" w:hint="eastAsia"/>
                <w:b w:val="0"/>
                <w:bCs w:val="0"/>
                <w:sz w:val="18"/>
                <w:szCs w:val="18"/>
              </w:rPr>
              <w:t>26)</w:t>
            </w:r>
          </w:p>
        </w:tc>
        <w:tc>
          <w:tcPr>
            <w:tcW w:w="486" w:type="pct"/>
            <w:tcBorders>
              <w:top w:val="nil"/>
              <w:left w:val="nil"/>
              <w:bottom w:val="nil"/>
              <w:right w:val="nil"/>
            </w:tcBorders>
            <w:noWrap/>
            <w:vAlign w:val="center"/>
          </w:tcPr>
          <w:p w14:paraId="76D5EEE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56 VS 46</w:t>
            </w:r>
          </w:p>
        </w:tc>
        <w:tc>
          <w:tcPr>
            <w:tcW w:w="484" w:type="pct"/>
            <w:tcBorders>
              <w:top w:val="nil"/>
              <w:left w:val="nil"/>
              <w:right w:val="nil"/>
            </w:tcBorders>
            <w:vAlign w:val="center"/>
          </w:tcPr>
          <w:p w14:paraId="083B890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12.2 VS 12.1</w:t>
            </w:r>
          </w:p>
        </w:tc>
      </w:tr>
      <w:tr w:rsidR="006D1C3F" w14:paraId="76F7A366" w14:textId="77777777">
        <w:trPr>
          <w:trHeight w:val="23"/>
        </w:trPr>
        <w:tc>
          <w:tcPr>
            <w:tcW w:w="454" w:type="pct"/>
            <w:vMerge w:val="restart"/>
            <w:tcBorders>
              <w:top w:val="nil"/>
              <w:left w:val="nil"/>
              <w:bottom w:val="nil"/>
              <w:right w:val="nil"/>
            </w:tcBorders>
            <w:noWrap/>
            <w:vAlign w:val="center"/>
          </w:tcPr>
          <w:p w14:paraId="054B6186" w14:textId="77777777" w:rsidR="006D1C3F" w:rsidRDefault="00000000">
            <w:pPr>
              <w:ind w:firstLineChars="0" w:firstLine="0"/>
              <w:rPr>
                <w:b w:val="0"/>
                <w:bCs w:val="0"/>
                <w:sz w:val="18"/>
                <w:szCs w:val="18"/>
              </w:rPr>
            </w:pPr>
            <w:r>
              <w:rPr>
                <w:b w:val="0"/>
                <w:bCs w:val="0"/>
                <w:sz w:val="18"/>
                <w:szCs w:val="18"/>
              </w:rPr>
              <w:t>ALTA-1L</w:t>
            </w:r>
            <w:r>
              <w:rPr>
                <w:b w:val="0"/>
                <w:bCs w:val="0"/>
                <w:sz w:val="18"/>
                <w:szCs w:val="18"/>
              </w:rPr>
              <w:fldChar w:fldCharType="begin"/>
            </w:r>
            <w:r>
              <w:rPr>
                <w:b w:val="0"/>
                <w:bCs w:val="0"/>
                <w:sz w:val="18"/>
                <w:szCs w:val="18"/>
              </w:rPr>
              <w:instrText xml:space="preserve"> ADDIN ZOTERO_ITEM CSL_CITATION {"citationID":"nBlHIphz","properties":{"formattedCitation":"(28)","plainCitation":"(28)","dontUpdate":true,"noteIndex":0},"citationItems":[{"id":411,"uris":["http://zotero.org/users/local/eBJtW3GH/items/2QYXWXS4"],"itemData":{"id":411,"type":"article-journal","abstract":"INTRODUCTION: In the phase 3 study entitled ALK in Lung cancer Trial of brigAtinib in 1st Line (ALTA-1L), which is a study of brigatinib in ALK inhibitor-naive advanced ALK-positive NSCLC, brigatinib exhibited superior progression-free survival (PFS) versus crizotinib in the two planned interim analyses. Here, we report the final efficacy, safety, and exploratory results.\nMETHODS: Patients were randomized to brigatinib 180 mg once daily (7-d lead-in at 90 mg once daily) or crizotinib 250 mg twice daily. The primary end point was a blinded independent review committee-assessed PFS. Genetic alterations in plasma cell-free DNA were assessed in relation to clinical efficacy.\nRESULTS: A total of 275 patients were enrolled (brigatinib, n = 137; crizotinib, n = 138). At study end, (brigatinib median follow-up = 40.4 mo), the 3-year PFS by blinded independent review committee was 43% (brigatinib) versus 19% (crizotinib; median = 24.0 versus 11.1 mo, hazard ratio [HR] = 0.48, 95% confidence interval [CI]: 0.35-0.66). The median overall survival was not reached in either group (HR = 0.81, 95% CI: 0.53-1.22). Posthoc analyses suggested an overall survival benefit for brigatinib in patients with baseline brain metastases (HR = 0.43, 95% CI: 0.21-0.89). Detectable baseline EML4-ALK fusion variant 3 and TP53 mutation in plasma were associated with poor PFS. Brigatinib exhibited superior efficacy compared with crizotinib regardless of EML4-ALK variant and TP53 mutation. Emerging secondary ALK mutations were rare in patients progressing on brigatinib. No new safety signals were observed.\nCONCLUSIONS: In the ALTA-1L final analysis, with longer follow-up, brigatinib continued to exhibit superior efficacy and tolerability versus crizotinib in patients with or without poor prognostic biomarkers. The suggested survival benefit with brigatinib in patients with brain metastases warrants future study.","container-title":"Journal of Thoracic Oncology: Official Publication of the International Association for the Study of Lung Cancer","DOI":"10.1016/j.jtho.2021.07.035","ISSN":"1556-1380","issue":"12","journalAbbreviation":"J Thorac Oncol","language":"en","note":"PMID: 34537440","page":"2091-2108","source":"PubMed","title":"Brigatinib Versus Crizotinib in ALK Inhibitor-Naive Advanced ALK-Positive NSCLC: Final Results of Phase 3 ALTA-1L Trial","title-short":"Brigatinib Versus Crizotinib in ALK Inhibitor-Naive Advanced ALK-Positive NSCLC","volume":"16","author":[{"family":"Camidge","given":"D. Ross"},{"family":"Kim","given":"Hye Ryun"},{"family":"Ahn","given":"Myung-Ju"},{"family":"Yang","given":"James C. H."},{"family":"Han","given":"Ji-Youn"},{"family":"Hochmair","given":"Maximilian J."},{"family":"Lee","given":"Ki Hyeong"},{"family":"Delmonte","given":"Angelo"},{"family":"Garcia Campelo","given":"Maria Rosario"},{"family":"Kim","given":"Dong-Wan"},{"family":"Griesinger","given":"Frank"},{"family":"Felip","given":"Enriqueta"},{"family":"Califano","given":"Raffaele"},{"family":"Spira","given":"Alexander I."},{"family":"Gettinger","given":"Scott N."},{"family":"Tiseo","given":"Marcello"},{"family":"Lin","given":"Huamao M."},{"family":"Liu","given":"Yuyin"},{"family":"Vranceanu","given":"Florin"},{"family":"Niu","given":"Huifeng"},{"family":"Zhang","given":"Pingkuan"},{"family":"Popat","given":"Sanjay"}],"issued":{"date-parts":[["2021",12]]}}}],"schema":"https://github.com/citation-style-language/schema/raw/master/csl-citation.json"} </w:instrText>
            </w:r>
            <w:r>
              <w:rPr>
                <w:b w:val="0"/>
                <w:bCs w:val="0"/>
                <w:sz w:val="18"/>
                <w:szCs w:val="18"/>
              </w:rPr>
              <w:fldChar w:fldCharType="separate"/>
            </w:r>
            <w:r>
              <w:rPr>
                <w:b w:val="0"/>
                <w:bCs w:val="0"/>
                <w:sz w:val="18"/>
              </w:rPr>
              <w:t>[28]</w:t>
            </w:r>
            <w:r>
              <w:rPr>
                <w:b w:val="0"/>
                <w:bCs w:val="0"/>
                <w:sz w:val="18"/>
                <w:szCs w:val="18"/>
              </w:rPr>
              <w:fldChar w:fldCharType="end"/>
            </w:r>
          </w:p>
        </w:tc>
        <w:tc>
          <w:tcPr>
            <w:tcW w:w="714" w:type="pct"/>
            <w:vMerge w:val="restart"/>
            <w:tcBorders>
              <w:top w:val="nil"/>
              <w:left w:val="nil"/>
              <w:bottom w:val="nil"/>
              <w:right w:val="nil"/>
            </w:tcBorders>
            <w:noWrap/>
            <w:vAlign w:val="center"/>
          </w:tcPr>
          <w:p w14:paraId="37E8FE90"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Brigatinib</w:t>
            </w:r>
            <w:proofErr w:type="spellEnd"/>
            <w:r>
              <w:rPr>
                <w:rFonts w:cstheme="minorBidi" w:hint="eastAsia"/>
                <w:b w:val="0"/>
                <w:bCs w:val="0"/>
                <w:sz w:val="18"/>
                <w:szCs w:val="18"/>
              </w:rPr>
              <w:t xml:space="preserve"> VS Crizotinib</w:t>
            </w:r>
          </w:p>
        </w:tc>
        <w:tc>
          <w:tcPr>
            <w:tcW w:w="711" w:type="pct"/>
            <w:vMerge w:val="restart"/>
            <w:tcBorders>
              <w:top w:val="nil"/>
              <w:left w:val="nil"/>
              <w:bottom w:val="nil"/>
              <w:right w:val="nil"/>
            </w:tcBorders>
            <w:noWrap/>
            <w:vAlign w:val="center"/>
          </w:tcPr>
          <w:p w14:paraId="007AAC9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137 VS 138</w:t>
            </w:r>
          </w:p>
        </w:tc>
        <w:tc>
          <w:tcPr>
            <w:tcW w:w="401" w:type="pct"/>
            <w:vMerge w:val="restart"/>
            <w:tcBorders>
              <w:top w:val="nil"/>
              <w:left w:val="nil"/>
              <w:bottom w:val="nil"/>
              <w:right w:val="nil"/>
            </w:tcBorders>
            <w:noWrap/>
            <w:vAlign w:val="center"/>
          </w:tcPr>
          <w:p w14:paraId="7D3BBAE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Global</w:t>
            </w:r>
          </w:p>
        </w:tc>
        <w:tc>
          <w:tcPr>
            <w:tcW w:w="509" w:type="pct"/>
            <w:vMerge w:val="restart"/>
            <w:tcBorders>
              <w:top w:val="nil"/>
              <w:left w:val="nil"/>
              <w:bottom w:val="nil"/>
              <w:right w:val="nil"/>
            </w:tcBorders>
            <w:noWrap/>
            <w:vAlign w:val="center"/>
          </w:tcPr>
          <w:p w14:paraId="777E0389"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0.81 (0.53-1.22)</w:t>
            </w:r>
          </w:p>
        </w:tc>
        <w:tc>
          <w:tcPr>
            <w:tcW w:w="523" w:type="pct"/>
            <w:tcBorders>
              <w:top w:val="nil"/>
              <w:left w:val="nil"/>
              <w:bottom w:val="nil"/>
              <w:right w:val="nil"/>
            </w:tcBorders>
            <w:noWrap/>
            <w:vAlign w:val="center"/>
          </w:tcPr>
          <w:p w14:paraId="385A9F6C"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0.48 (0.35-0.</w:t>
            </w:r>
            <w:proofErr w:type="gramStart"/>
            <w:r>
              <w:rPr>
                <w:rFonts w:hint="eastAsia"/>
                <w:b w:val="0"/>
                <w:bCs w:val="0"/>
                <w:color w:val="000000"/>
                <w:kern w:val="0"/>
                <w:sz w:val="18"/>
                <w:szCs w:val="18"/>
                <w:lang w:bidi="ar"/>
              </w:rPr>
              <w:t>66)#</w:t>
            </w:r>
            <w:proofErr w:type="gramEnd"/>
          </w:p>
        </w:tc>
        <w:tc>
          <w:tcPr>
            <w:tcW w:w="718" w:type="pct"/>
            <w:vMerge w:val="restart"/>
            <w:tcBorders>
              <w:top w:val="nil"/>
              <w:left w:val="nil"/>
              <w:bottom w:val="single" w:sz="12" w:space="0" w:color="auto"/>
              <w:right w:val="nil"/>
            </w:tcBorders>
            <w:noWrap/>
            <w:vAlign w:val="center"/>
          </w:tcPr>
          <w:p w14:paraId="07A2C76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71 (62-78) VS 60 (51-68)</w:t>
            </w:r>
          </w:p>
        </w:tc>
        <w:tc>
          <w:tcPr>
            <w:tcW w:w="486" w:type="pct"/>
            <w:vMerge w:val="restart"/>
            <w:tcBorders>
              <w:top w:val="nil"/>
              <w:left w:val="nil"/>
              <w:bottom w:val="single" w:sz="12" w:space="0" w:color="auto"/>
              <w:right w:val="nil"/>
            </w:tcBorders>
            <w:noWrap/>
            <w:vAlign w:val="center"/>
          </w:tcPr>
          <w:p w14:paraId="0AC98E9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70 VS 56</w:t>
            </w:r>
          </w:p>
        </w:tc>
        <w:tc>
          <w:tcPr>
            <w:tcW w:w="484" w:type="pct"/>
            <w:vMerge w:val="restart"/>
            <w:tcBorders>
              <w:top w:val="nil"/>
              <w:left w:val="nil"/>
              <w:bottom w:val="single" w:sz="12" w:space="0" w:color="auto"/>
              <w:right w:val="nil"/>
            </w:tcBorders>
            <w:vAlign w:val="center"/>
          </w:tcPr>
          <w:p w14:paraId="7170299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40.4(range: 0-52.4) VS 15.2(range: 0.1-51.7)</w:t>
            </w:r>
          </w:p>
        </w:tc>
      </w:tr>
      <w:tr w:rsidR="006D1C3F" w14:paraId="6A4F10BD" w14:textId="77777777">
        <w:trPr>
          <w:trHeight w:val="23"/>
        </w:trPr>
        <w:tc>
          <w:tcPr>
            <w:tcW w:w="454" w:type="pct"/>
            <w:vMerge/>
            <w:tcBorders>
              <w:top w:val="nil"/>
              <w:left w:val="nil"/>
              <w:bottom w:val="single" w:sz="12" w:space="0" w:color="auto"/>
              <w:right w:val="nil"/>
            </w:tcBorders>
            <w:noWrap/>
            <w:vAlign w:val="center"/>
          </w:tcPr>
          <w:p w14:paraId="1544667C" w14:textId="77777777" w:rsidR="006D1C3F" w:rsidRDefault="006D1C3F">
            <w:pPr>
              <w:ind w:firstLine="361"/>
              <w:jc w:val="center"/>
              <w:rPr>
                <w:rFonts w:cstheme="minorBidi"/>
                <w:sz w:val="18"/>
                <w:szCs w:val="18"/>
              </w:rPr>
            </w:pPr>
          </w:p>
        </w:tc>
        <w:tc>
          <w:tcPr>
            <w:tcW w:w="714" w:type="pct"/>
            <w:vMerge/>
            <w:tcBorders>
              <w:top w:val="nil"/>
              <w:left w:val="nil"/>
              <w:bottom w:val="single" w:sz="12" w:space="0" w:color="auto"/>
              <w:right w:val="nil"/>
            </w:tcBorders>
            <w:noWrap/>
            <w:vAlign w:val="center"/>
          </w:tcPr>
          <w:p w14:paraId="7C1C6235" w14:textId="77777777" w:rsidR="006D1C3F" w:rsidRDefault="006D1C3F">
            <w:pPr>
              <w:ind w:firstLine="361"/>
              <w:jc w:val="center"/>
              <w:rPr>
                <w:rFonts w:cstheme="minorBidi"/>
                <w:sz w:val="18"/>
                <w:szCs w:val="18"/>
              </w:rPr>
            </w:pPr>
          </w:p>
        </w:tc>
        <w:tc>
          <w:tcPr>
            <w:tcW w:w="711" w:type="pct"/>
            <w:vMerge/>
            <w:tcBorders>
              <w:top w:val="nil"/>
              <w:left w:val="nil"/>
              <w:bottom w:val="single" w:sz="12" w:space="0" w:color="auto"/>
              <w:right w:val="nil"/>
            </w:tcBorders>
            <w:noWrap/>
            <w:vAlign w:val="center"/>
          </w:tcPr>
          <w:p w14:paraId="67F0902D" w14:textId="77777777" w:rsidR="006D1C3F" w:rsidRDefault="006D1C3F">
            <w:pPr>
              <w:ind w:firstLine="361"/>
              <w:jc w:val="center"/>
              <w:rPr>
                <w:rFonts w:cstheme="minorBidi"/>
                <w:sz w:val="18"/>
                <w:szCs w:val="18"/>
              </w:rPr>
            </w:pPr>
          </w:p>
        </w:tc>
        <w:tc>
          <w:tcPr>
            <w:tcW w:w="401" w:type="pct"/>
            <w:vMerge/>
            <w:tcBorders>
              <w:top w:val="nil"/>
              <w:left w:val="nil"/>
              <w:bottom w:val="single" w:sz="12" w:space="0" w:color="auto"/>
              <w:right w:val="nil"/>
            </w:tcBorders>
            <w:noWrap/>
            <w:vAlign w:val="center"/>
          </w:tcPr>
          <w:p w14:paraId="12D7F12E" w14:textId="77777777" w:rsidR="006D1C3F" w:rsidRDefault="006D1C3F">
            <w:pPr>
              <w:ind w:firstLine="361"/>
              <w:jc w:val="center"/>
              <w:rPr>
                <w:rFonts w:cstheme="minorBidi"/>
                <w:sz w:val="18"/>
                <w:szCs w:val="18"/>
              </w:rPr>
            </w:pPr>
          </w:p>
        </w:tc>
        <w:tc>
          <w:tcPr>
            <w:tcW w:w="509" w:type="pct"/>
            <w:vMerge/>
            <w:tcBorders>
              <w:top w:val="nil"/>
              <w:left w:val="nil"/>
              <w:bottom w:val="single" w:sz="12" w:space="0" w:color="auto"/>
              <w:right w:val="nil"/>
            </w:tcBorders>
            <w:noWrap/>
            <w:vAlign w:val="center"/>
          </w:tcPr>
          <w:p w14:paraId="014C3B98" w14:textId="77777777" w:rsidR="006D1C3F" w:rsidRDefault="006D1C3F">
            <w:pPr>
              <w:spacing w:line="240" w:lineRule="auto"/>
              <w:ind w:firstLineChars="0" w:firstLine="0"/>
              <w:jc w:val="center"/>
              <w:rPr>
                <w:rFonts w:eastAsiaTheme="minorEastAsia" w:cstheme="minorBidi"/>
                <w:b w:val="0"/>
                <w:bCs w:val="0"/>
                <w:sz w:val="18"/>
                <w:szCs w:val="18"/>
              </w:rPr>
            </w:pPr>
          </w:p>
        </w:tc>
        <w:tc>
          <w:tcPr>
            <w:tcW w:w="523" w:type="pct"/>
            <w:tcBorders>
              <w:top w:val="nil"/>
              <w:left w:val="nil"/>
              <w:bottom w:val="single" w:sz="12" w:space="0" w:color="auto"/>
              <w:right w:val="nil"/>
            </w:tcBorders>
            <w:noWrap/>
            <w:vAlign w:val="center"/>
          </w:tcPr>
          <w:p w14:paraId="6496ED70" w14:textId="77777777" w:rsidR="006D1C3F" w:rsidRDefault="00000000">
            <w:pPr>
              <w:widowControl/>
              <w:spacing w:line="240" w:lineRule="auto"/>
              <w:ind w:firstLineChars="0" w:firstLine="0"/>
              <w:jc w:val="center"/>
              <w:textAlignment w:val="center"/>
              <w:rPr>
                <w:rFonts w:eastAsiaTheme="minorEastAsia" w:cstheme="minorBidi"/>
                <w:b w:val="0"/>
                <w:bCs w:val="0"/>
                <w:sz w:val="18"/>
                <w:szCs w:val="22"/>
              </w:rPr>
            </w:pPr>
            <w:r>
              <w:rPr>
                <w:rFonts w:hint="eastAsia"/>
                <w:b w:val="0"/>
                <w:bCs w:val="0"/>
                <w:color w:val="000000"/>
                <w:kern w:val="0"/>
                <w:sz w:val="18"/>
                <w:szCs w:val="18"/>
                <w:lang w:bidi="ar"/>
              </w:rPr>
              <w:t>0.43 (0.31-0.</w:t>
            </w:r>
            <w:proofErr w:type="gramStart"/>
            <w:r>
              <w:rPr>
                <w:rFonts w:hint="eastAsia"/>
                <w:b w:val="0"/>
                <w:bCs w:val="0"/>
                <w:color w:val="000000"/>
                <w:kern w:val="0"/>
                <w:sz w:val="18"/>
                <w:szCs w:val="18"/>
                <w:lang w:bidi="ar"/>
              </w:rPr>
              <w:t>58)*</w:t>
            </w:r>
            <w:proofErr w:type="gramEnd"/>
          </w:p>
        </w:tc>
        <w:tc>
          <w:tcPr>
            <w:tcW w:w="718" w:type="pct"/>
            <w:vMerge/>
            <w:tcBorders>
              <w:top w:val="single" w:sz="12" w:space="0" w:color="auto"/>
              <w:left w:val="nil"/>
              <w:bottom w:val="single" w:sz="12" w:space="0" w:color="auto"/>
              <w:right w:val="nil"/>
            </w:tcBorders>
            <w:noWrap/>
            <w:vAlign w:val="center"/>
          </w:tcPr>
          <w:p w14:paraId="0D1FDCE0" w14:textId="77777777" w:rsidR="006D1C3F" w:rsidRDefault="006D1C3F">
            <w:pPr>
              <w:ind w:firstLine="361"/>
              <w:jc w:val="center"/>
              <w:rPr>
                <w:rFonts w:cstheme="minorBidi"/>
                <w:sz w:val="18"/>
                <w:szCs w:val="18"/>
              </w:rPr>
            </w:pPr>
          </w:p>
        </w:tc>
        <w:tc>
          <w:tcPr>
            <w:tcW w:w="486" w:type="pct"/>
            <w:vMerge/>
            <w:tcBorders>
              <w:top w:val="single" w:sz="12" w:space="0" w:color="auto"/>
              <w:left w:val="nil"/>
              <w:bottom w:val="single" w:sz="12" w:space="0" w:color="auto"/>
              <w:right w:val="nil"/>
            </w:tcBorders>
            <w:noWrap/>
            <w:vAlign w:val="center"/>
          </w:tcPr>
          <w:p w14:paraId="1A692DA2" w14:textId="77777777" w:rsidR="006D1C3F" w:rsidRDefault="006D1C3F">
            <w:pPr>
              <w:ind w:firstLine="361"/>
              <w:jc w:val="center"/>
              <w:rPr>
                <w:rFonts w:cstheme="minorBidi"/>
                <w:sz w:val="18"/>
                <w:szCs w:val="18"/>
              </w:rPr>
            </w:pPr>
          </w:p>
        </w:tc>
        <w:tc>
          <w:tcPr>
            <w:tcW w:w="484" w:type="pct"/>
            <w:vMerge/>
            <w:tcBorders>
              <w:top w:val="single" w:sz="12" w:space="0" w:color="auto"/>
              <w:left w:val="nil"/>
              <w:bottom w:val="single" w:sz="12" w:space="0" w:color="auto"/>
              <w:right w:val="nil"/>
            </w:tcBorders>
            <w:vAlign w:val="center"/>
          </w:tcPr>
          <w:p w14:paraId="5008526D" w14:textId="77777777" w:rsidR="006D1C3F" w:rsidRDefault="006D1C3F">
            <w:pPr>
              <w:ind w:firstLine="361"/>
              <w:jc w:val="center"/>
              <w:rPr>
                <w:rFonts w:cstheme="minorBidi"/>
                <w:sz w:val="18"/>
                <w:szCs w:val="18"/>
              </w:rPr>
            </w:pPr>
          </w:p>
        </w:tc>
      </w:tr>
    </w:tbl>
    <w:p w14:paraId="76420723" w14:textId="77777777" w:rsidR="006D1C3F" w:rsidRDefault="00000000">
      <w:pPr>
        <w:tabs>
          <w:tab w:val="right" w:pos="13958"/>
        </w:tabs>
        <w:ind w:firstLineChars="0" w:firstLine="0"/>
        <w:rPr>
          <w:rFonts w:cstheme="minorBidi"/>
          <w:b w:val="0"/>
          <w:bCs w:val="0"/>
          <w:sz w:val="18"/>
          <w:szCs w:val="18"/>
        </w:rPr>
        <w:sectPr w:rsidR="006D1C3F">
          <w:type w:val="continuous"/>
          <w:pgSz w:w="16838" w:h="11906" w:orient="landscape"/>
          <w:pgMar w:top="1800" w:right="1440" w:bottom="1800" w:left="1440" w:header="851" w:footer="992" w:gutter="0"/>
          <w:cols w:space="425"/>
          <w:docGrid w:type="lines" w:linePitch="312"/>
        </w:sectPr>
      </w:pPr>
      <w:r>
        <w:rPr>
          <w:rFonts w:cstheme="minorBidi" w:hint="eastAsia"/>
          <w:b w:val="0"/>
          <w:bCs w:val="0"/>
          <w:sz w:val="18"/>
          <w:szCs w:val="18"/>
        </w:rPr>
        <w:t># Blind Independent Central Review data; *Investigator-assessed data; AE, Adverse event; HR, hazards ratios; OS, overall survival; PFS, progression-free survival.</w:t>
      </w:r>
    </w:p>
    <w:p w14:paraId="5E18B9CE" w14:textId="77777777" w:rsidR="006D1C3F" w:rsidRDefault="006D1C3F">
      <w:pPr>
        <w:keepNext/>
        <w:keepLines/>
        <w:pageBreakBefore/>
        <w:spacing w:before="340" w:after="156" w:line="240" w:lineRule="auto"/>
        <w:ind w:firstLineChars="0" w:firstLine="0"/>
        <w:outlineLvl w:val="0"/>
        <w:rPr>
          <w:rFonts w:eastAsia="Times New Roman" w:cstheme="minorBidi"/>
          <w:b w:val="0"/>
          <w:bCs w:val="0"/>
          <w:kern w:val="44"/>
        </w:rPr>
      </w:pPr>
      <w:hyperlink w:anchor="_Toc31821" w:history="1">
        <w:bookmarkStart w:id="13" w:name="_Hlk211978289"/>
        <w:bookmarkStart w:id="14" w:name="_Toc225844806"/>
        <w:r>
          <w:rPr>
            <w:rFonts w:eastAsia="Times New Roman" w:cstheme="minorBidi" w:hint="eastAsia"/>
            <w:b w:val="0"/>
            <w:bCs w:val="0"/>
            <w:kern w:val="44"/>
          </w:rPr>
          <w:t>Table S2</w:t>
        </w:r>
        <w:bookmarkEnd w:id="13"/>
        <w:r>
          <w:rPr>
            <w:rFonts w:eastAsia="Times New Roman" w:cstheme="minorBidi" w:hint="eastAsia"/>
            <w:b w:val="0"/>
            <w:bCs w:val="0"/>
            <w:kern w:val="44"/>
          </w:rPr>
          <w:t xml:space="preserve"> Baseline characteristics of </w:t>
        </w:r>
        <w:proofErr w:type="gramStart"/>
        <w:r>
          <w:rPr>
            <w:rFonts w:eastAsia="Times New Roman" w:cstheme="minorBidi"/>
            <w:b w:val="0"/>
            <w:bCs w:val="0"/>
            <w:kern w:val="44"/>
          </w:rPr>
          <w:t>Patients</w:t>
        </w:r>
        <w:bookmarkEnd w:id="14"/>
        <w:proofErr w:type="gramEnd"/>
      </w:hyperlink>
    </w:p>
    <w:tbl>
      <w:tblPr>
        <w:tblW w:w="8422" w:type="dxa"/>
        <w:tblInd w:w="100" w:type="dxa"/>
        <w:tblLayout w:type="fixed"/>
        <w:tblLook w:val="04A0" w:firstRow="1" w:lastRow="0" w:firstColumn="1" w:lastColumn="0" w:noHBand="0" w:noVBand="1"/>
      </w:tblPr>
      <w:tblGrid>
        <w:gridCol w:w="2410"/>
        <w:gridCol w:w="3098"/>
        <w:gridCol w:w="1416"/>
        <w:gridCol w:w="355"/>
        <w:gridCol w:w="1143"/>
      </w:tblGrid>
      <w:tr w:rsidR="006D1C3F" w14:paraId="25FC1A76" w14:textId="77777777">
        <w:trPr>
          <w:trHeight w:val="277"/>
        </w:trPr>
        <w:tc>
          <w:tcPr>
            <w:tcW w:w="2410" w:type="dxa"/>
            <w:tcBorders>
              <w:top w:val="single" w:sz="12" w:space="0" w:color="auto"/>
              <w:left w:val="nil"/>
              <w:bottom w:val="single" w:sz="4" w:space="0" w:color="auto"/>
              <w:right w:val="nil"/>
              <w:tl2br w:val="nil"/>
            </w:tcBorders>
            <w:shd w:val="clear" w:color="auto" w:fill="FFFFFF"/>
            <w:noWrap/>
            <w:vAlign w:val="center"/>
          </w:tcPr>
          <w:p w14:paraId="759D09D8" w14:textId="77777777" w:rsidR="006D1C3F" w:rsidRDefault="00000000">
            <w:pPr>
              <w:ind w:firstLine="361"/>
              <w:jc w:val="left"/>
              <w:rPr>
                <w:rFonts w:cstheme="minorBidi"/>
                <w:sz w:val="18"/>
                <w:szCs w:val="18"/>
              </w:rPr>
            </w:pPr>
            <w:r>
              <w:rPr>
                <w:rFonts w:cstheme="minorBidi" w:hint="eastAsia"/>
                <w:sz w:val="18"/>
                <w:szCs w:val="18"/>
              </w:rPr>
              <w:t>Total</w:t>
            </w:r>
          </w:p>
        </w:tc>
        <w:tc>
          <w:tcPr>
            <w:tcW w:w="3098" w:type="dxa"/>
            <w:tcBorders>
              <w:top w:val="single" w:sz="12" w:space="0" w:color="auto"/>
              <w:left w:val="nil"/>
              <w:bottom w:val="single" w:sz="4" w:space="0" w:color="auto"/>
              <w:right w:val="nil"/>
            </w:tcBorders>
            <w:shd w:val="clear" w:color="auto" w:fill="FFFFFF"/>
            <w:noWrap/>
            <w:vAlign w:val="center"/>
          </w:tcPr>
          <w:p w14:paraId="248FA6E5" w14:textId="77777777" w:rsidR="006D1C3F" w:rsidRDefault="00000000">
            <w:pPr>
              <w:ind w:firstLine="361"/>
              <w:jc w:val="center"/>
              <w:rPr>
                <w:rFonts w:cstheme="minorBidi"/>
                <w:sz w:val="18"/>
                <w:szCs w:val="18"/>
              </w:rPr>
            </w:pPr>
            <w:r>
              <w:rPr>
                <w:rFonts w:cstheme="minorBidi" w:hint="eastAsia"/>
                <w:sz w:val="18"/>
                <w:szCs w:val="18"/>
              </w:rPr>
              <w:t>N=215</w:t>
            </w:r>
          </w:p>
        </w:tc>
        <w:tc>
          <w:tcPr>
            <w:tcW w:w="1416" w:type="dxa"/>
            <w:tcBorders>
              <w:top w:val="single" w:sz="12" w:space="0" w:color="auto"/>
              <w:left w:val="nil"/>
              <w:bottom w:val="single" w:sz="4" w:space="0" w:color="auto"/>
              <w:right w:val="nil"/>
            </w:tcBorders>
            <w:shd w:val="clear" w:color="auto" w:fill="FFFFFF"/>
            <w:noWrap/>
            <w:vAlign w:val="center"/>
          </w:tcPr>
          <w:p w14:paraId="360269BF" w14:textId="77777777" w:rsidR="006D1C3F" w:rsidRDefault="006D1C3F">
            <w:pPr>
              <w:ind w:firstLine="360"/>
              <w:jc w:val="center"/>
              <w:rPr>
                <w:rFonts w:cstheme="minorBidi"/>
                <w:b w:val="0"/>
                <w:bCs w:val="0"/>
                <w:sz w:val="18"/>
                <w:szCs w:val="18"/>
              </w:rPr>
            </w:pPr>
          </w:p>
        </w:tc>
        <w:tc>
          <w:tcPr>
            <w:tcW w:w="1498" w:type="dxa"/>
            <w:gridSpan w:val="2"/>
            <w:tcBorders>
              <w:top w:val="single" w:sz="12" w:space="0" w:color="auto"/>
              <w:left w:val="nil"/>
              <w:bottom w:val="single" w:sz="4" w:space="0" w:color="auto"/>
              <w:right w:val="nil"/>
            </w:tcBorders>
            <w:shd w:val="clear" w:color="auto" w:fill="FFFFFF"/>
            <w:noWrap/>
            <w:vAlign w:val="center"/>
          </w:tcPr>
          <w:p w14:paraId="159F93F7" w14:textId="77777777" w:rsidR="006D1C3F" w:rsidRDefault="006D1C3F">
            <w:pPr>
              <w:ind w:firstLine="360"/>
              <w:jc w:val="center"/>
              <w:rPr>
                <w:rFonts w:cstheme="minorBidi"/>
                <w:b w:val="0"/>
                <w:bCs w:val="0"/>
                <w:sz w:val="18"/>
                <w:szCs w:val="18"/>
              </w:rPr>
            </w:pPr>
          </w:p>
        </w:tc>
      </w:tr>
      <w:tr w:rsidR="006D1C3F" w14:paraId="06FFC6C1" w14:textId="77777777">
        <w:trPr>
          <w:trHeight w:val="277"/>
        </w:trPr>
        <w:tc>
          <w:tcPr>
            <w:tcW w:w="2410" w:type="dxa"/>
            <w:tcBorders>
              <w:top w:val="single" w:sz="4" w:space="0" w:color="auto"/>
              <w:left w:val="nil"/>
              <w:bottom w:val="nil"/>
              <w:right w:val="nil"/>
            </w:tcBorders>
            <w:shd w:val="clear" w:color="auto" w:fill="FFFFFF"/>
            <w:noWrap/>
            <w:vAlign w:val="center"/>
          </w:tcPr>
          <w:p w14:paraId="538FEF64" w14:textId="77777777" w:rsidR="006D1C3F" w:rsidRDefault="006D1C3F">
            <w:pPr>
              <w:ind w:firstLine="360"/>
              <w:jc w:val="left"/>
              <w:rPr>
                <w:rFonts w:cstheme="minorBidi"/>
                <w:b w:val="0"/>
                <w:bCs w:val="0"/>
                <w:sz w:val="18"/>
                <w:szCs w:val="18"/>
              </w:rPr>
            </w:pPr>
          </w:p>
        </w:tc>
        <w:tc>
          <w:tcPr>
            <w:tcW w:w="3098" w:type="dxa"/>
            <w:tcBorders>
              <w:top w:val="single" w:sz="4" w:space="0" w:color="auto"/>
              <w:left w:val="nil"/>
              <w:bottom w:val="nil"/>
              <w:right w:val="nil"/>
            </w:tcBorders>
            <w:shd w:val="clear" w:color="auto" w:fill="FFFFFF"/>
            <w:noWrap/>
            <w:vAlign w:val="center"/>
          </w:tcPr>
          <w:p w14:paraId="53DFB6F4" w14:textId="77777777" w:rsidR="006D1C3F" w:rsidRDefault="006D1C3F">
            <w:pPr>
              <w:ind w:firstLine="360"/>
              <w:jc w:val="center"/>
              <w:rPr>
                <w:rFonts w:cstheme="minorBidi"/>
                <w:b w:val="0"/>
                <w:bCs w:val="0"/>
                <w:sz w:val="18"/>
                <w:szCs w:val="18"/>
              </w:rPr>
            </w:pPr>
          </w:p>
        </w:tc>
        <w:tc>
          <w:tcPr>
            <w:tcW w:w="1416" w:type="dxa"/>
            <w:tcBorders>
              <w:top w:val="single" w:sz="4" w:space="0" w:color="auto"/>
              <w:left w:val="nil"/>
              <w:bottom w:val="nil"/>
              <w:right w:val="nil"/>
            </w:tcBorders>
            <w:shd w:val="clear" w:color="auto" w:fill="FFFFFF"/>
            <w:noWrap/>
            <w:vAlign w:val="center"/>
          </w:tcPr>
          <w:p w14:paraId="487A907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Number</w:t>
            </w:r>
          </w:p>
        </w:tc>
        <w:tc>
          <w:tcPr>
            <w:tcW w:w="1498" w:type="dxa"/>
            <w:gridSpan w:val="2"/>
            <w:tcBorders>
              <w:top w:val="single" w:sz="4" w:space="0" w:color="auto"/>
              <w:left w:val="nil"/>
              <w:bottom w:val="nil"/>
              <w:right w:val="nil"/>
            </w:tcBorders>
            <w:shd w:val="clear" w:color="auto" w:fill="FFFFFF"/>
            <w:noWrap/>
            <w:vAlign w:val="center"/>
          </w:tcPr>
          <w:p w14:paraId="21063A8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Proportion</w:t>
            </w:r>
          </w:p>
        </w:tc>
      </w:tr>
      <w:tr w:rsidR="006D1C3F" w14:paraId="6C289B44" w14:textId="77777777">
        <w:trPr>
          <w:trHeight w:val="277"/>
        </w:trPr>
        <w:tc>
          <w:tcPr>
            <w:tcW w:w="2410" w:type="dxa"/>
            <w:tcBorders>
              <w:top w:val="nil"/>
              <w:left w:val="nil"/>
              <w:bottom w:val="nil"/>
              <w:right w:val="nil"/>
            </w:tcBorders>
            <w:shd w:val="clear" w:color="auto" w:fill="FFFFFF"/>
            <w:noWrap/>
            <w:vAlign w:val="center"/>
          </w:tcPr>
          <w:p w14:paraId="1D7883B3"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Gender</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33613C99" w14:textId="77777777" w:rsidR="006D1C3F" w:rsidRDefault="006D1C3F">
            <w:pPr>
              <w:ind w:firstLine="360"/>
              <w:jc w:val="center"/>
              <w:rPr>
                <w:rFonts w:cstheme="minorBidi"/>
                <w:b w:val="0"/>
                <w:bCs w:val="0"/>
                <w:sz w:val="18"/>
                <w:szCs w:val="18"/>
              </w:rPr>
            </w:pPr>
          </w:p>
        </w:tc>
        <w:tc>
          <w:tcPr>
            <w:tcW w:w="1771" w:type="dxa"/>
            <w:gridSpan w:val="2"/>
            <w:tcBorders>
              <w:top w:val="nil"/>
              <w:left w:val="nil"/>
              <w:bottom w:val="nil"/>
              <w:right w:val="nil"/>
            </w:tcBorders>
            <w:shd w:val="clear" w:color="auto" w:fill="FFFFFF"/>
            <w:noWrap/>
            <w:vAlign w:val="center"/>
          </w:tcPr>
          <w:p w14:paraId="345E99DE" w14:textId="77777777" w:rsidR="006D1C3F" w:rsidRDefault="006D1C3F">
            <w:pPr>
              <w:ind w:firstLine="360"/>
              <w:jc w:val="center"/>
              <w:rPr>
                <w:rFonts w:cstheme="minorBidi"/>
                <w:b w:val="0"/>
                <w:bCs w:val="0"/>
                <w:sz w:val="18"/>
                <w:szCs w:val="18"/>
              </w:rPr>
            </w:pPr>
          </w:p>
        </w:tc>
        <w:tc>
          <w:tcPr>
            <w:tcW w:w="1143" w:type="dxa"/>
            <w:tcBorders>
              <w:top w:val="nil"/>
              <w:left w:val="nil"/>
              <w:bottom w:val="nil"/>
              <w:right w:val="nil"/>
            </w:tcBorders>
            <w:shd w:val="clear" w:color="auto" w:fill="FFFFFF"/>
            <w:noWrap/>
            <w:vAlign w:val="center"/>
          </w:tcPr>
          <w:p w14:paraId="2C419CC9" w14:textId="77777777" w:rsidR="006D1C3F" w:rsidRDefault="006D1C3F">
            <w:pPr>
              <w:ind w:firstLine="360"/>
              <w:jc w:val="center"/>
              <w:rPr>
                <w:rFonts w:cstheme="minorBidi"/>
                <w:b w:val="0"/>
                <w:bCs w:val="0"/>
                <w:sz w:val="18"/>
                <w:szCs w:val="18"/>
              </w:rPr>
            </w:pPr>
          </w:p>
        </w:tc>
      </w:tr>
      <w:tr w:rsidR="006D1C3F" w14:paraId="03569AD3" w14:textId="77777777">
        <w:trPr>
          <w:trHeight w:val="277"/>
        </w:trPr>
        <w:tc>
          <w:tcPr>
            <w:tcW w:w="2410" w:type="dxa"/>
            <w:tcBorders>
              <w:top w:val="nil"/>
              <w:left w:val="nil"/>
              <w:bottom w:val="nil"/>
              <w:right w:val="nil"/>
            </w:tcBorders>
            <w:shd w:val="clear" w:color="auto" w:fill="FFFFFF"/>
            <w:noWrap/>
            <w:vAlign w:val="center"/>
          </w:tcPr>
          <w:p w14:paraId="6CD96E25"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6C6377C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Male</w:t>
            </w:r>
          </w:p>
        </w:tc>
        <w:tc>
          <w:tcPr>
            <w:tcW w:w="1771" w:type="dxa"/>
            <w:gridSpan w:val="2"/>
            <w:tcBorders>
              <w:top w:val="nil"/>
              <w:left w:val="nil"/>
              <w:bottom w:val="nil"/>
              <w:right w:val="nil"/>
            </w:tcBorders>
            <w:shd w:val="clear" w:color="auto" w:fill="FFFFFF"/>
            <w:noWrap/>
            <w:vAlign w:val="center"/>
          </w:tcPr>
          <w:p w14:paraId="3EF5F9C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143</w:t>
            </w:r>
          </w:p>
        </w:tc>
        <w:tc>
          <w:tcPr>
            <w:tcW w:w="1143" w:type="dxa"/>
            <w:tcBorders>
              <w:top w:val="nil"/>
              <w:left w:val="nil"/>
              <w:bottom w:val="nil"/>
              <w:right w:val="nil"/>
            </w:tcBorders>
            <w:shd w:val="clear" w:color="auto" w:fill="FFFFFF"/>
            <w:noWrap/>
            <w:vAlign w:val="center"/>
          </w:tcPr>
          <w:p w14:paraId="7D7B6EC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66.51%</w:t>
            </w:r>
          </w:p>
        </w:tc>
      </w:tr>
      <w:tr w:rsidR="006D1C3F" w14:paraId="5EDF2F32" w14:textId="77777777">
        <w:trPr>
          <w:trHeight w:val="277"/>
        </w:trPr>
        <w:tc>
          <w:tcPr>
            <w:tcW w:w="2410" w:type="dxa"/>
            <w:tcBorders>
              <w:top w:val="nil"/>
              <w:left w:val="nil"/>
              <w:bottom w:val="nil"/>
              <w:right w:val="nil"/>
            </w:tcBorders>
            <w:shd w:val="clear" w:color="auto" w:fill="FFFFFF"/>
            <w:noWrap/>
            <w:vAlign w:val="center"/>
          </w:tcPr>
          <w:p w14:paraId="2C7E36F1"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10E8E6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Female</w:t>
            </w:r>
          </w:p>
        </w:tc>
        <w:tc>
          <w:tcPr>
            <w:tcW w:w="1771" w:type="dxa"/>
            <w:gridSpan w:val="2"/>
            <w:tcBorders>
              <w:top w:val="nil"/>
              <w:left w:val="nil"/>
              <w:bottom w:val="nil"/>
              <w:right w:val="nil"/>
            </w:tcBorders>
            <w:shd w:val="clear" w:color="auto" w:fill="FFFFFF"/>
            <w:noWrap/>
            <w:vAlign w:val="center"/>
          </w:tcPr>
          <w:p w14:paraId="267A9B0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72</w:t>
            </w:r>
          </w:p>
        </w:tc>
        <w:tc>
          <w:tcPr>
            <w:tcW w:w="1143" w:type="dxa"/>
            <w:tcBorders>
              <w:top w:val="nil"/>
              <w:left w:val="nil"/>
              <w:bottom w:val="nil"/>
              <w:right w:val="nil"/>
            </w:tcBorders>
            <w:shd w:val="clear" w:color="auto" w:fill="FFFFFF"/>
            <w:noWrap/>
            <w:vAlign w:val="center"/>
          </w:tcPr>
          <w:p w14:paraId="489A348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33.49%</w:t>
            </w:r>
          </w:p>
        </w:tc>
      </w:tr>
      <w:tr w:rsidR="006D1C3F" w14:paraId="04E926F2" w14:textId="77777777">
        <w:trPr>
          <w:trHeight w:val="277"/>
        </w:trPr>
        <w:tc>
          <w:tcPr>
            <w:tcW w:w="2410" w:type="dxa"/>
            <w:tcBorders>
              <w:top w:val="nil"/>
              <w:left w:val="nil"/>
              <w:bottom w:val="nil"/>
              <w:right w:val="nil"/>
            </w:tcBorders>
            <w:shd w:val="clear" w:color="auto" w:fill="FFFFFF"/>
            <w:noWrap/>
            <w:vAlign w:val="center"/>
          </w:tcPr>
          <w:p w14:paraId="33228035"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Age</w:t>
            </w:r>
          </w:p>
        </w:tc>
        <w:tc>
          <w:tcPr>
            <w:tcW w:w="3098" w:type="dxa"/>
            <w:tcBorders>
              <w:top w:val="nil"/>
              <w:left w:val="nil"/>
              <w:bottom w:val="nil"/>
              <w:right w:val="nil"/>
            </w:tcBorders>
            <w:shd w:val="clear" w:color="auto" w:fill="FFFFFF"/>
            <w:noWrap/>
            <w:vAlign w:val="center"/>
          </w:tcPr>
          <w:p w14:paraId="4D9D526F" w14:textId="77777777" w:rsidR="006D1C3F" w:rsidRDefault="006D1C3F">
            <w:pPr>
              <w:ind w:firstLine="360"/>
              <w:jc w:val="center"/>
              <w:rPr>
                <w:rFonts w:cstheme="minorBidi"/>
                <w:b w:val="0"/>
                <w:bCs w:val="0"/>
                <w:sz w:val="18"/>
                <w:szCs w:val="18"/>
              </w:rPr>
            </w:pPr>
          </w:p>
        </w:tc>
        <w:tc>
          <w:tcPr>
            <w:tcW w:w="1771" w:type="dxa"/>
            <w:gridSpan w:val="2"/>
            <w:tcBorders>
              <w:top w:val="nil"/>
              <w:left w:val="nil"/>
              <w:bottom w:val="nil"/>
              <w:right w:val="nil"/>
            </w:tcBorders>
            <w:shd w:val="clear" w:color="auto" w:fill="FFFFFF"/>
            <w:noWrap/>
            <w:vAlign w:val="center"/>
          </w:tcPr>
          <w:p w14:paraId="27705CB8" w14:textId="77777777" w:rsidR="006D1C3F" w:rsidRDefault="006D1C3F">
            <w:pPr>
              <w:ind w:firstLine="360"/>
              <w:jc w:val="center"/>
              <w:rPr>
                <w:rFonts w:cstheme="minorBidi"/>
                <w:b w:val="0"/>
                <w:bCs w:val="0"/>
                <w:sz w:val="18"/>
                <w:szCs w:val="18"/>
              </w:rPr>
            </w:pPr>
          </w:p>
        </w:tc>
        <w:tc>
          <w:tcPr>
            <w:tcW w:w="1143" w:type="dxa"/>
            <w:tcBorders>
              <w:top w:val="nil"/>
              <w:left w:val="nil"/>
              <w:bottom w:val="nil"/>
              <w:right w:val="nil"/>
            </w:tcBorders>
            <w:shd w:val="clear" w:color="auto" w:fill="FFFFFF"/>
            <w:noWrap/>
            <w:vAlign w:val="center"/>
          </w:tcPr>
          <w:p w14:paraId="1CA1C401" w14:textId="77777777" w:rsidR="006D1C3F" w:rsidRDefault="006D1C3F">
            <w:pPr>
              <w:ind w:firstLine="360"/>
              <w:jc w:val="center"/>
              <w:rPr>
                <w:rFonts w:cstheme="minorBidi"/>
                <w:b w:val="0"/>
                <w:bCs w:val="0"/>
                <w:sz w:val="18"/>
                <w:szCs w:val="18"/>
              </w:rPr>
            </w:pPr>
          </w:p>
        </w:tc>
      </w:tr>
      <w:tr w:rsidR="006D1C3F" w14:paraId="4C3B36B4" w14:textId="77777777">
        <w:trPr>
          <w:trHeight w:val="277"/>
        </w:trPr>
        <w:tc>
          <w:tcPr>
            <w:tcW w:w="2410" w:type="dxa"/>
            <w:tcBorders>
              <w:top w:val="nil"/>
              <w:left w:val="nil"/>
              <w:bottom w:val="nil"/>
              <w:right w:val="nil"/>
            </w:tcBorders>
            <w:shd w:val="clear" w:color="auto" w:fill="FFFFFF"/>
            <w:noWrap/>
            <w:vAlign w:val="center"/>
          </w:tcPr>
          <w:p w14:paraId="7F87B773"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495B70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MEAN</w:t>
            </w:r>
            <w:r>
              <w:rPr>
                <w:rFonts w:cstheme="minorBidi" w:hint="eastAsia"/>
                <w:b w:val="0"/>
                <w:bCs w:val="0"/>
                <w:sz w:val="18"/>
                <w:szCs w:val="18"/>
              </w:rPr>
              <w:t>±</w:t>
            </w:r>
            <w:r>
              <w:rPr>
                <w:rFonts w:cstheme="minorBidi" w:hint="eastAsia"/>
                <w:b w:val="0"/>
                <w:bCs w:val="0"/>
                <w:sz w:val="18"/>
                <w:szCs w:val="18"/>
              </w:rPr>
              <w:t>SD</w:t>
            </w:r>
          </w:p>
        </w:tc>
        <w:tc>
          <w:tcPr>
            <w:tcW w:w="1771" w:type="dxa"/>
            <w:gridSpan w:val="2"/>
            <w:tcBorders>
              <w:top w:val="nil"/>
              <w:left w:val="nil"/>
              <w:bottom w:val="nil"/>
              <w:right w:val="nil"/>
            </w:tcBorders>
            <w:shd w:val="clear" w:color="auto" w:fill="FFFFFF"/>
            <w:noWrap/>
            <w:vAlign w:val="center"/>
          </w:tcPr>
          <w:p w14:paraId="4E9C6CB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58.02</w:t>
            </w:r>
          </w:p>
        </w:tc>
        <w:tc>
          <w:tcPr>
            <w:tcW w:w="1143" w:type="dxa"/>
            <w:tcBorders>
              <w:top w:val="nil"/>
              <w:left w:val="nil"/>
              <w:bottom w:val="nil"/>
              <w:right w:val="nil"/>
            </w:tcBorders>
            <w:shd w:val="clear" w:color="auto" w:fill="FFFFFF"/>
            <w:noWrap/>
            <w:vAlign w:val="center"/>
          </w:tcPr>
          <w:p w14:paraId="6203F0D6" w14:textId="77777777" w:rsidR="006D1C3F" w:rsidRDefault="006D1C3F">
            <w:pPr>
              <w:ind w:firstLine="360"/>
              <w:jc w:val="center"/>
              <w:rPr>
                <w:rFonts w:cstheme="minorBidi"/>
                <w:b w:val="0"/>
                <w:bCs w:val="0"/>
                <w:sz w:val="18"/>
                <w:szCs w:val="18"/>
              </w:rPr>
            </w:pPr>
          </w:p>
        </w:tc>
      </w:tr>
      <w:tr w:rsidR="006D1C3F" w14:paraId="4D368614" w14:textId="77777777">
        <w:trPr>
          <w:trHeight w:val="277"/>
        </w:trPr>
        <w:tc>
          <w:tcPr>
            <w:tcW w:w="2410" w:type="dxa"/>
            <w:tcBorders>
              <w:top w:val="nil"/>
              <w:left w:val="nil"/>
              <w:bottom w:val="nil"/>
              <w:right w:val="nil"/>
            </w:tcBorders>
            <w:shd w:val="clear" w:color="auto" w:fill="FFFFFF"/>
            <w:noWrap/>
            <w:vAlign w:val="center"/>
          </w:tcPr>
          <w:p w14:paraId="16AE85FD"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4056F24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18-30</w:t>
            </w:r>
          </w:p>
        </w:tc>
        <w:tc>
          <w:tcPr>
            <w:tcW w:w="1771" w:type="dxa"/>
            <w:gridSpan w:val="2"/>
            <w:tcBorders>
              <w:top w:val="nil"/>
              <w:left w:val="nil"/>
              <w:bottom w:val="nil"/>
              <w:right w:val="nil"/>
            </w:tcBorders>
            <w:shd w:val="clear" w:color="auto" w:fill="FFFFFF"/>
            <w:noWrap/>
            <w:vAlign w:val="center"/>
          </w:tcPr>
          <w:p w14:paraId="629996E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w:t>
            </w:r>
          </w:p>
        </w:tc>
        <w:tc>
          <w:tcPr>
            <w:tcW w:w="1143" w:type="dxa"/>
            <w:tcBorders>
              <w:top w:val="nil"/>
              <w:left w:val="nil"/>
              <w:bottom w:val="nil"/>
              <w:right w:val="nil"/>
            </w:tcBorders>
            <w:shd w:val="clear" w:color="auto" w:fill="FFFFFF"/>
            <w:noWrap/>
            <w:vAlign w:val="center"/>
          </w:tcPr>
          <w:p w14:paraId="393F51E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1.40%</w:t>
            </w:r>
          </w:p>
        </w:tc>
      </w:tr>
      <w:tr w:rsidR="006D1C3F" w14:paraId="0E23E62D" w14:textId="77777777">
        <w:trPr>
          <w:trHeight w:val="277"/>
        </w:trPr>
        <w:tc>
          <w:tcPr>
            <w:tcW w:w="2410" w:type="dxa"/>
            <w:tcBorders>
              <w:top w:val="nil"/>
              <w:left w:val="nil"/>
              <w:bottom w:val="nil"/>
              <w:right w:val="nil"/>
            </w:tcBorders>
            <w:shd w:val="clear" w:color="auto" w:fill="FFFFFF"/>
            <w:noWrap/>
            <w:vAlign w:val="center"/>
          </w:tcPr>
          <w:p w14:paraId="3FC281B6"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3F6F1C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31-45</w:t>
            </w:r>
          </w:p>
        </w:tc>
        <w:tc>
          <w:tcPr>
            <w:tcW w:w="1771" w:type="dxa"/>
            <w:gridSpan w:val="2"/>
            <w:tcBorders>
              <w:top w:val="nil"/>
              <w:left w:val="nil"/>
              <w:bottom w:val="nil"/>
              <w:right w:val="nil"/>
            </w:tcBorders>
            <w:shd w:val="clear" w:color="auto" w:fill="FFFFFF"/>
            <w:noWrap/>
            <w:vAlign w:val="center"/>
          </w:tcPr>
          <w:p w14:paraId="53A6C7F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37</w:t>
            </w:r>
          </w:p>
        </w:tc>
        <w:tc>
          <w:tcPr>
            <w:tcW w:w="1143" w:type="dxa"/>
            <w:tcBorders>
              <w:top w:val="nil"/>
              <w:left w:val="nil"/>
              <w:bottom w:val="nil"/>
              <w:right w:val="nil"/>
            </w:tcBorders>
            <w:shd w:val="clear" w:color="auto" w:fill="FFFFFF"/>
            <w:noWrap/>
            <w:vAlign w:val="center"/>
          </w:tcPr>
          <w:p w14:paraId="4051688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17.21%</w:t>
            </w:r>
          </w:p>
        </w:tc>
      </w:tr>
      <w:tr w:rsidR="006D1C3F" w14:paraId="5FE9D2A1" w14:textId="77777777">
        <w:trPr>
          <w:trHeight w:val="277"/>
        </w:trPr>
        <w:tc>
          <w:tcPr>
            <w:tcW w:w="2410" w:type="dxa"/>
            <w:tcBorders>
              <w:top w:val="nil"/>
              <w:left w:val="nil"/>
              <w:bottom w:val="nil"/>
              <w:right w:val="nil"/>
            </w:tcBorders>
            <w:shd w:val="clear" w:color="auto" w:fill="FFFFFF"/>
            <w:noWrap/>
            <w:vAlign w:val="center"/>
          </w:tcPr>
          <w:p w14:paraId="12420BBD"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AC91EC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46-60</w:t>
            </w:r>
          </w:p>
        </w:tc>
        <w:tc>
          <w:tcPr>
            <w:tcW w:w="1771" w:type="dxa"/>
            <w:gridSpan w:val="2"/>
            <w:tcBorders>
              <w:top w:val="nil"/>
              <w:left w:val="nil"/>
              <w:bottom w:val="nil"/>
              <w:right w:val="nil"/>
            </w:tcBorders>
            <w:shd w:val="clear" w:color="auto" w:fill="FFFFFF"/>
            <w:noWrap/>
            <w:vAlign w:val="center"/>
          </w:tcPr>
          <w:p w14:paraId="60ADF52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72</w:t>
            </w:r>
          </w:p>
        </w:tc>
        <w:tc>
          <w:tcPr>
            <w:tcW w:w="1143" w:type="dxa"/>
            <w:tcBorders>
              <w:top w:val="nil"/>
              <w:left w:val="nil"/>
              <w:bottom w:val="nil"/>
              <w:right w:val="nil"/>
            </w:tcBorders>
            <w:shd w:val="clear" w:color="auto" w:fill="FFFFFF"/>
            <w:noWrap/>
            <w:vAlign w:val="center"/>
          </w:tcPr>
          <w:p w14:paraId="0CA2E2F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33.49%</w:t>
            </w:r>
          </w:p>
        </w:tc>
      </w:tr>
      <w:tr w:rsidR="006D1C3F" w14:paraId="6512864B" w14:textId="77777777">
        <w:trPr>
          <w:trHeight w:val="277"/>
        </w:trPr>
        <w:tc>
          <w:tcPr>
            <w:tcW w:w="2410" w:type="dxa"/>
            <w:tcBorders>
              <w:top w:val="nil"/>
              <w:left w:val="nil"/>
              <w:bottom w:val="nil"/>
              <w:right w:val="nil"/>
            </w:tcBorders>
            <w:shd w:val="clear" w:color="auto" w:fill="FFFFFF"/>
            <w:noWrap/>
            <w:vAlign w:val="center"/>
          </w:tcPr>
          <w:p w14:paraId="28424D78"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2A2CC6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61-75</w:t>
            </w:r>
          </w:p>
        </w:tc>
        <w:tc>
          <w:tcPr>
            <w:tcW w:w="1771" w:type="dxa"/>
            <w:gridSpan w:val="2"/>
            <w:tcBorders>
              <w:top w:val="nil"/>
              <w:left w:val="nil"/>
              <w:bottom w:val="nil"/>
              <w:right w:val="nil"/>
            </w:tcBorders>
            <w:shd w:val="clear" w:color="auto" w:fill="FFFFFF"/>
            <w:noWrap/>
            <w:vAlign w:val="center"/>
          </w:tcPr>
          <w:p w14:paraId="0A88AD7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100</w:t>
            </w:r>
          </w:p>
        </w:tc>
        <w:tc>
          <w:tcPr>
            <w:tcW w:w="1143" w:type="dxa"/>
            <w:tcBorders>
              <w:top w:val="nil"/>
              <w:left w:val="nil"/>
              <w:bottom w:val="nil"/>
              <w:right w:val="nil"/>
            </w:tcBorders>
            <w:shd w:val="clear" w:color="auto" w:fill="FFFFFF"/>
            <w:noWrap/>
            <w:vAlign w:val="center"/>
          </w:tcPr>
          <w:p w14:paraId="387469F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46.51%</w:t>
            </w:r>
          </w:p>
        </w:tc>
      </w:tr>
      <w:tr w:rsidR="006D1C3F" w14:paraId="286703C5" w14:textId="77777777">
        <w:trPr>
          <w:trHeight w:val="277"/>
        </w:trPr>
        <w:tc>
          <w:tcPr>
            <w:tcW w:w="2410" w:type="dxa"/>
            <w:tcBorders>
              <w:top w:val="nil"/>
              <w:left w:val="nil"/>
              <w:bottom w:val="nil"/>
              <w:right w:val="nil"/>
            </w:tcBorders>
            <w:shd w:val="clear" w:color="auto" w:fill="FFFFFF"/>
            <w:noWrap/>
            <w:vAlign w:val="center"/>
          </w:tcPr>
          <w:p w14:paraId="12B6C95C"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957874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76+</w:t>
            </w:r>
          </w:p>
        </w:tc>
        <w:tc>
          <w:tcPr>
            <w:tcW w:w="1771" w:type="dxa"/>
            <w:gridSpan w:val="2"/>
            <w:tcBorders>
              <w:top w:val="nil"/>
              <w:left w:val="nil"/>
              <w:bottom w:val="nil"/>
              <w:right w:val="nil"/>
            </w:tcBorders>
            <w:shd w:val="clear" w:color="auto" w:fill="FFFFFF"/>
            <w:noWrap/>
            <w:vAlign w:val="center"/>
          </w:tcPr>
          <w:p w14:paraId="7DEE1CE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w:t>
            </w:r>
          </w:p>
        </w:tc>
        <w:tc>
          <w:tcPr>
            <w:tcW w:w="1143" w:type="dxa"/>
            <w:tcBorders>
              <w:top w:val="nil"/>
              <w:left w:val="nil"/>
              <w:bottom w:val="nil"/>
              <w:right w:val="nil"/>
            </w:tcBorders>
            <w:shd w:val="clear" w:color="auto" w:fill="FFFFFF"/>
            <w:noWrap/>
            <w:vAlign w:val="center"/>
          </w:tcPr>
          <w:p w14:paraId="32D8209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1.40%</w:t>
            </w:r>
          </w:p>
        </w:tc>
      </w:tr>
      <w:tr w:rsidR="006D1C3F" w14:paraId="492A6A6C" w14:textId="77777777">
        <w:trPr>
          <w:trHeight w:val="277"/>
        </w:trPr>
        <w:tc>
          <w:tcPr>
            <w:tcW w:w="2410" w:type="dxa"/>
            <w:tcBorders>
              <w:top w:val="nil"/>
              <w:left w:val="nil"/>
              <w:bottom w:val="nil"/>
              <w:right w:val="nil"/>
            </w:tcBorders>
            <w:shd w:val="clear" w:color="auto" w:fill="FFFFFF"/>
            <w:noWrap/>
            <w:vAlign w:val="center"/>
          </w:tcPr>
          <w:p w14:paraId="130857EA"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Region</w:t>
            </w:r>
          </w:p>
        </w:tc>
        <w:tc>
          <w:tcPr>
            <w:tcW w:w="3098" w:type="dxa"/>
            <w:tcBorders>
              <w:top w:val="nil"/>
              <w:left w:val="nil"/>
              <w:bottom w:val="nil"/>
              <w:right w:val="nil"/>
            </w:tcBorders>
            <w:shd w:val="clear" w:color="auto" w:fill="FFFFFF"/>
            <w:noWrap/>
            <w:vAlign w:val="center"/>
          </w:tcPr>
          <w:p w14:paraId="42215A17" w14:textId="77777777" w:rsidR="006D1C3F" w:rsidRDefault="006D1C3F">
            <w:pPr>
              <w:ind w:firstLine="360"/>
              <w:jc w:val="center"/>
              <w:rPr>
                <w:rFonts w:cstheme="minorBidi"/>
                <w:b w:val="0"/>
                <w:bCs w:val="0"/>
                <w:sz w:val="18"/>
                <w:szCs w:val="18"/>
              </w:rPr>
            </w:pPr>
          </w:p>
        </w:tc>
        <w:tc>
          <w:tcPr>
            <w:tcW w:w="1771" w:type="dxa"/>
            <w:gridSpan w:val="2"/>
            <w:tcBorders>
              <w:top w:val="nil"/>
              <w:left w:val="nil"/>
              <w:bottom w:val="nil"/>
              <w:right w:val="nil"/>
            </w:tcBorders>
            <w:shd w:val="clear" w:color="auto" w:fill="FFFFFF"/>
            <w:noWrap/>
            <w:vAlign w:val="center"/>
          </w:tcPr>
          <w:p w14:paraId="1489F308" w14:textId="77777777" w:rsidR="006D1C3F" w:rsidRDefault="006D1C3F">
            <w:pPr>
              <w:ind w:firstLine="360"/>
              <w:jc w:val="center"/>
              <w:rPr>
                <w:rFonts w:cstheme="minorBidi"/>
                <w:b w:val="0"/>
                <w:bCs w:val="0"/>
                <w:sz w:val="18"/>
                <w:szCs w:val="18"/>
              </w:rPr>
            </w:pPr>
          </w:p>
        </w:tc>
        <w:tc>
          <w:tcPr>
            <w:tcW w:w="1143" w:type="dxa"/>
            <w:tcBorders>
              <w:top w:val="nil"/>
              <w:left w:val="nil"/>
              <w:bottom w:val="nil"/>
              <w:right w:val="nil"/>
            </w:tcBorders>
            <w:shd w:val="clear" w:color="auto" w:fill="FFFFFF"/>
            <w:noWrap/>
            <w:vAlign w:val="center"/>
          </w:tcPr>
          <w:p w14:paraId="0B3D491C" w14:textId="77777777" w:rsidR="006D1C3F" w:rsidRDefault="006D1C3F">
            <w:pPr>
              <w:ind w:firstLine="360"/>
              <w:jc w:val="center"/>
              <w:rPr>
                <w:rFonts w:cstheme="minorBidi"/>
                <w:b w:val="0"/>
                <w:bCs w:val="0"/>
                <w:sz w:val="18"/>
                <w:szCs w:val="18"/>
              </w:rPr>
            </w:pPr>
          </w:p>
        </w:tc>
      </w:tr>
      <w:tr w:rsidR="006D1C3F" w14:paraId="6620A3BF" w14:textId="77777777">
        <w:trPr>
          <w:trHeight w:val="277"/>
        </w:trPr>
        <w:tc>
          <w:tcPr>
            <w:tcW w:w="2410" w:type="dxa"/>
            <w:tcBorders>
              <w:top w:val="nil"/>
              <w:left w:val="nil"/>
              <w:bottom w:val="nil"/>
              <w:right w:val="nil"/>
            </w:tcBorders>
            <w:shd w:val="clear" w:color="auto" w:fill="FFFFFF"/>
            <w:noWrap/>
            <w:vAlign w:val="center"/>
          </w:tcPr>
          <w:p w14:paraId="7B41945C"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DE5998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Eastern Region</w:t>
            </w:r>
          </w:p>
        </w:tc>
        <w:tc>
          <w:tcPr>
            <w:tcW w:w="1771" w:type="dxa"/>
            <w:gridSpan w:val="2"/>
            <w:tcBorders>
              <w:top w:val="nil"/>
              <w:left w:val="nil"/>
              <w:bottom w:val="nil"/>
              <w:right w:val="nil"/>
            </w:tcBorders>
            <w:shd w:val="clear" w:color="auto" w:fill="FFFFFF"/>
            <w:noWrap/>
            <w:vAlign w:val="center"/>
          </w:tcPr>
          <w:p w14:paraId="0C40106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73</w:t>
            </w:r>
          </w:p>
        </w:tc>
        <w:tc>
          <w:tcPr>
            <w:tcW w:w="1143" w:type="dxa"/>
            <w:tcBorders>
              <w:top w:val="nil"/>
              <w:left w:val="nil"/>
              <w:bottom w:val="nil"/>
              <w:right w:val="nil"/>
            </w:tcBorders>
            <w:shd w:val="clear" w:color="auto" w:fill="FFFFFF"/>
            <w:noWrap/>
            <w:vAlign w:val="center"/>
          </w:tcPr>
          <w:p w14:paraId="10C163D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33.95%</w:t>
            </w:r>
          </w:p>
        </w:tc>
      </w:tr>
      <w:tr w:rsidR="006D1C3F" w14:paraId="3F59E9C0" w14:textId="77777777">
        <w:trPr>
          <w:trHeight w:val="277"/>
        </w:trPr>
        <w:tc>
          <w:tcPr>
            <w:tcW w:w="2410" w:type="dxa"/>
            <w:tcBorders>
              <w:top w:val="nil"/>
              <w:left w:val="nil"/>
              <w:bottom w:val="nil"/>
              <w:right w:val="nil"/>
            </w:tcBorders>
            <w:shd w:val="clear" w:color="auto" w:fill="FFFFFF"/>
            <w:noWrap/>
            <w:vAlign w:val="center"/>
          </w:tcPr>
          <w:p w14:paraId="0D36B267"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666CEF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Central Region</w:t>
            </w:r>
          </w:p>
        </w:tc>
        <w:tc>
          <w:tcPr>
            <w:tcW w:w="1771" w:type="dxa"/>
            <w:gridSpan w:val="2"/>
            <w:tcBorders>
              <w:top w:val="nil"/>
              <w:left w:val="nil"/>
              <w:bottom w:val="nil"/>
              <w:right w:val="nil"/>
            </w:tcBorders>
            <w:shd w:val="clear" w:color="auto" w:fill="FFFFFF"/>
            <w:noWrap/>
            <w:vAlign w:val="center"/>
          </w:tcPr>
          <w:p w14:paraId="311FBB3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67</w:t>
            </w:r>
          </w:p>
        </w:tc>
        <w:tc>
          <w:tcPr>
            <w:tcW w:w="1143" w:type="dxa"/>
            <w:tcBorders>
              <w:top w:val="nil"/>
              <w:left w:val="nil"/>
              <w:bottom w:val="nil"/>
              <w:right w:val="nil"/>
            </w:tcBorders>
            <w:shd w:val="clear" w:color="auto" w:fill="FFFFFF"/>
            <w:noWrap/>
            <w:vAlign w:val="center"/>
          </w:tcPr>
          <w:p w14:paraId="295F129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31.16%</w:t>
            </w:r>
          </w:p>
        </w:tc>
      </w:tr>
      <w:tr w:rsidR="006D1C3F" w14:paraId="2EE5CE91" w14:textId="77777777">
        <w:trPr>
          <w:trHeight w:val="277"/>
        </w:trPr>
        <w:tc>
          <w:tcPr>
            <w:tcW w:w="2410" w:type="dxa"/>
            <w:tcBorders>
              <w:top w:val="nil"/>
              <w:left w:val="nil"/>
              <w:bottom w:val="nil"/>
              <w:right w:val="nil"/>
            </w:tcBorders>
            <w:shd w:val="clear" w:color="auto" w:fill="FFFFFF"/>
            <w:noWrap/>
            <w:vAlign w:val="center"/>
          </w:tcPr>
          <w:p w14:paraId="776946FC"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CD5226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Western Region</w:t>
            </w:r>
          </w:p>
        </w:tc>
        <w:tc>
          <w:tcPr>
            <w:tcW w:w="1771" w:type="dxa"/>
            <w:gridSpan w:val="2"/>
            <w:tcBorders>
              <w:top w:val="nil"/>
              <w:left w:val="nil"/>
              <w:bottom w:val="nil"/>
              <w:right w:val="nil"/>
            </w:tcBorders>
            <w:shd w:val="clear" w:color="auto" w:fill="FFFFFF"/>
            <w:noWrap/>
            <w:vAlign w:val="center"/>
          </w:tcPr>
          <w:p w14:paraId="37951F1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75</w:t>
            </w:r>
          </w:p>
        </w:tc>
        <w:tc>
          <w:tcPr>
            <w:tcW w:w="1143" w:type="dxa"/>
            <w:tcBorders>
              <w:top w:val="nil"/>
              <w:left w:val="nil"/>
              <w:bottom w:val="nil"/>
              <w:right w:val="nil"/>
            </w:tcBorders>
            <w:shd w:val="clear" w:color="auto" w:fill="FFFFFF"/>
            <w:noWrap/>
            <w:vAlign w:val="center"/>
          </w:tcPr>
          <w:p w14:paraId="6ED650C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34.88%</w:t>
            </w:r>
          </w:p>
        </w:tc>
      </w:tr>
      <w:tr w:rsidR="006D1C3F" w14:paraId="18353AFD" w14:textId="77777777">
        <w:trPr>
          <w:trHeight w:val="277"/>
        </w:trPr>
        <w:tc>
          <w:tcPr>
            <w:tcW w:w="2410" w:type="dxa"/>
            <w:tcBorders>
              <w:top w:val="nil"/>
              <w:left w:val="nil"/>
              <w:bottom w:val="nil"/>
              <w:right w:val="nil"/>
            </w:tcBorders>
            <w:shd w:val="clear" w:color="auto" w:fill="FFFFFF"/>
            <w:noWrap/>
            <w:vAlign w:val="center"/>
          </w:tcPr>
          <w:p w14:paraId="41325649"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Education Level</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4324FE8B" w14:textId="77777777" w:rsidR="006D1C3F" w:rsidRDefault="006D1C3F">
            <w:pPr>
              <w:ind w:firstLine="360"/>
              <w:jc w:val="center"/>
              <w:rPr>
                <w:rFonts w:cstheme="minorBidi"/>
                <w:b w:val="0"/>
                <w:bCs w:val="0"/>
                <w:sz w:val="18"/>
                <w:szCs w:val="18"/>
              </w:rPr>
            </w:pPr>
          </w:p>
        </w:tc>
        <w:tc>
          <w:tcPr>
            <w:tcW w:w="1771" w:type="dxa"/>
            <w:gridSpan w:val="2"/>
            <w:tcBorders>
              <w:top w:val="nil"/>
              <w:left w:val="nil"/>
              <w:bottom w:val="nil"/>
              <w:right w:val="nil"/>
            </w:tcBorders>
            <w:shd w:val="clear" w:color="auto" w:fill="FFFFFF"/>
            <w:noWrap/>
            <w:vAlign w:val="center"/>
          </w:tcPr>
          <w:p w14:paraId="7D45F408" w14:textId="77777777" w:rsidR="006D1C3F" w:rsidRDefault="006D1C3F">
            <w:pPr>
              <w:ind w:firstLine="360"/>
              <w:jc w:val="center"/>
              <w:rPr>
                <w:rFonts w:cstheme="minorBidi"/>
                <w:b w:val="0"/>
                <w:bCs w:val="0"/>
                <w:sz w:val="18"/>
                <w:szCs w:val="18"/>
              </w:rPr>
            </w:pPr>
          </w:p>
        </w:tc>
        <w:tc>
          <w:tcPr>
            <w:tcW w:w="1143" w:type="dxa"/>
            <w:tcBorders>
              <w:top w:val="nil"/>
              <w:left w:val="nil"/>
              <w:bottom w:val="nil"/>
              <w:right w:val="nil"/>
            </w:tcBorders>
            <w:shd w:val="clear" w:color="auto" w:fill="FFFFFF"/>
            <w:noWrap/>
            <w:vAlign w:val="center"/>
          </w:tcPr>
          <w:p w14:paraId="7FAFD96E" w14:textId="77777777" w:rsidR="006D1C3F" w:rsidRDefault="006D1C3F">
            <w:pPr>
              <w:ind w:firstLine="360"/>
              <w:jc w:val="center"/>
              <w:rPr>
                <w:rFonts w:cstheme="minorBidi"/>
                <w:b w:val="0"/>
                <w:bCs w:val="0"/>
                <w:sz w:val="18"/>
                <w:szCs w:val="18"/>
              </w:rPr>
            </w:pPr>
          </w:p>
        </w:tc>
      </w:tr>
      <w:tr w:rsidR="006D1C3F" w14:paraId="13426BF4" w14:textId="77777777">
        <w:trPr>
          <w:trHeight w:val="277"/>
        </w:trPr>
        <w:tc>
          <w:tcPr>
            <w:tcW w:w="2410" w:type="dxa"/>
            <w:tcBorders>
              <w:top w:val="nil"/>
              <w:left w:val="nil"/>
              <w:bottom w:val="nil"/>
              <w:right w:val="nil"/>
            </w:tcBorders>
            <w:shd w:val="clear" w:color="auto" w:fill="FFFFFF"/>
            <w:noWrap/>
            <w:vAlign w:val="center"/>
          </w:tcPr>
          <w:p w14:paraId="4D24B049"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38BB91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Primary School and Below</w:t>
            </w:r>
          </w:p>
        </w:tc>
        <w:tc>
          <w:tcPr>
            <w:tcW w:w="1771" w:type="dxa"/>
            <w:gridSpan w:val="2"/>
            <w:tcBorders>
              <w:top w:val="nil"/>
              <w:left w:val="nil"/>
              <w:bottom w:val="nil"/>
              <w:right w:val="nil"/>
            </w:tcBorders>
            <w:shd w:val="clear" w:color="auto" w:fill="FFFFFF"/>
            <w:noWrap/>
            <w:vAlign w:val="center"/>
          </w:tcPr>
          <w:p w14:paraId="72484F4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59</w:t>
            </w:r>
          </w:p>
        </w:tc>
        <w:tc>
          <w:tcPr>
            <w:tcW w:w="1143" w:type="dxa"/>
            <w:tcBorders>
              <w:top w:val="nil"/>
              <w:left w:val="nil"/>
              <w:bottom w:val="nil"/>
              <w:right w:val="nil"/>
            </w:tcBorders>
            <w:shd w:val="clear" w:color="auto" w:fill="FFFFFF"/>
            <w:noWrap/>
            <w:vAlign w:val="center"/>
          </w:tcPr>
          <w:p w14:paraId="5B16C2F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27.44%</w:t>
            </w:r>
          </w:p>
        </w:tc>
      </w:tr>
      <w:tr w:rsidR="006D1C3F" w14:paraId="5C3FBF9C" w14:textId="77777777">
        <w:trPr>
          <w:trHeight w:val="277"/>
        </w:trPr>
        <w:tc>
          <w:tcPr>
            <w:tcW w:w="2410" w:type="dxa"/>
            <w:tcBorders>
              <w:top w:val="nil"/>
              <w:left w:val="nil"/>
              <w:bottom w:val="nil"/>
              <w:right w:val="nil"/>
            </w:tcBorders>
            <w:shd w:val="clear" w:color="auto" w:fill="FFFFFF"/>
            <w:noWrap/>
            <w:vAlign w:val="center"/>
          </w:tcPr>
          <w:p w14:paraId="76342A88"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4A509AC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Old-Style Private School</w:t>
            </w:r>
          </w:p>
        </w:tc>
        <w:tc>
          <w:tcPr>
            <w:tcW w:w="1771" w:type="dxa"/>
            <w:gridSpan w:val="2"/>
            <w:tcBorders>
              <w:top w:val="nil"/>
              <w:left w:val="nil"/>
              <w:bottom w:val="nil"/>
              <w:right w:val="nil"/>
            </w:tcBorders>
            <w:shd w:val="clear" w:color="auto" w:fill="FFFFFF"/>
            <w:noWrap/>
            <w:vAlign w:val="center"/>
          </w:tcPr>
          <w:p w14:paraId="114E38A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w:t>
            </w:r>
          </w:p>
        </w:tc>
        <w:tc>
          <w:tcPr>
            <w:tcW w:w="1143" w:type="dxa"/>
            <w:tcBorders>
              <w:top w:val="nil"/>
              <w:left w:val="nil"/>
              <w:bottom w:val="nil"/>
              <w:right w:val="nil"/>
            </w:tcBorders>
            <w:shd w:val="clear" w:color="auto" w:fill="FFFFFF"/>
            <w:noWrap/>
            <w:vAlign w:val="center"/>
          </w:tcPr>
          <w:p w14:paraId="00E13F2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0.47%</w:t>
            </w:r>
          </w:p>
        </w:tc>
      </w:tr>
      <w:tr w:rsidR="006D1C3F" w14:paraId="02E2F957" w14:textId="77777777">
        <w:trPr>
          <w:trHeight w:val="277"/>
        </w:trPr>
        <w:tc>
          <w:tcPr>
            <w:tcW w:w="2410" w:type="dxa"/>
            <w:tcBorders>
              <w:top w:val="nil"/>
              <w:left w:val="nil"/>
              <w:bottom w:val="nil"/>
              <w:right w:val="nil"/>
            </w:tcBorders>
            <w:shd w:val="clear" w:color="auto" w:fill="FFFFFF"/>
            <w:noWrap/>
            <w:vAlign w:val="center"/>
          </w:tcPr>
          <w:p w14:paraId="14A6AFB9"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59B0084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Junior High School</w:t>
            </w:r>
          </w:p>
        </w:tc>
        <w:tc>
          <w:tcPr>
            <w:tcW w:w="1771" w:type="dxa"/>
            <w:gridSpan w:val="2"/>
            <w:tcBorders>
              <w:top w:val="nil"/>
              <w:left w:val="nil"/>
              <w:bottom w:val="nil"/>
              <w:right w:val="nil"/>
            </w:tcBorders>
            <w:shd w:val="clear" w:color="auto" w:fill="FFFFFF"/>
            <w:noWrap/>
            <w:vAlign w:val="center"/>
          </w:tcPr>
          <w:p w14:paraId="513B3F5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45</w:t>
            </w:r>
          </w:p>
        </w:tc>
        <w:tc>
          <w:tcPr>
            <w:tcW w:w="1143" w:type="dxa"/>
            <w:tcBorders>
              <w:top w:val="nil"/>
              <w:left w:val="nil"/>
              <w:bottom w:val="nil"/>
              <w:right w:val="nil"/>
            </w:tcBorders>
            <w:shd w:val="clear" w:color="auto" w:fill="FFFFFF"/>
            <w:noWrap/>
            <w:vAlign w:val="center"/>
          </w:tcPr>
          <w:p w14:paraId="68FB11B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20.93%</w:t>
            </w:r>
          </w:p>
        </w:tc>
      </w:tr>
      <w:tr w:rsidR="006D1C3F" w14:paraId="1A7970AC" w14:textId="77777777">
        <w:trPr>
          <w:trHeight w:val="277"/>
        </w:trPr>
        <w:tc>
          <w:tcPr>
            <w:tcW w:w="2410" w:type="dxa"/>
            <w:tcBorders>
              <w:top w:val="nil"/>
              <w:left w:val="nil"/>
              <w:bottom w:val="nil"/>
              <w:right w:val="nil"/>
            </w:tcBorders>
            <w:shd w:val="clear" w:color="auto" w:fill="FFFFFF"/>
            <w:noWrap/>
            <w:vAlign w:val="center"/>
          </w:tcPr>
          <w:p w14:paraId="58843501"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62F23C4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High School / Specialized Secondary School</w:t>
            </w:r>
          </w:p>
        </w:tc>
        <w:tc>
          <w:tcPr>
            <w:tcW w:w="1771" w:type="dxa"/>
            <w:gridSpan w:val="2"/>
            <w:tcBorders>
              <w:top w:val="nil"/>
              <w:left w:val="nil"/>
              <w:bottom w:val="nil"/>
              <w:right w:val="nil"/>
            </w:tcBorders>
            <w:shd w:val="clear" w:color="auto" w:fill="FFFFFF"/>
            <w:noWrap/>
            <w:vAlign w:val="center"/>
          </w:tcPr>
          <w:p w14:paraId="01FE991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48</w:t>
            </w:r>
          </w:p>
        </w:tc>
        <w:tc>
          <w:tcPr>
            <w:tcW w:w="1143" w:type="dxa"/>
            <w:tcBorders>
              <w:top w:val="nil"/>
              <w:left w:val="nil"/>
              <w:bottom w:val="nil"/>
              <w:right w:val="nil"/>
            </w:tcBorders>
            <w:shd w:val="clear" w:color="auto" w:fill="FFFFFF"/>
            <w:noWrap/>
            <w:vAlign w:val="center"/>
          </w:tcPr>
          <w:p w14:paraId="1F444E3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22.33%</w:t>
            </w:r>
          </w:p>
        </w:tc>
      </w:tr>
      <w:tr w:rsidR="006D1C3F" w14:paraId="35390D25" w14:textId="77777777">
        <w:trPr>
          <w:trHeight w:val="277"/>
        </w:trPr>
        <w:tc>
          <w:tcPr>
            <w:tcW w:w="2410" w:type="dxa"/>
            <w:tcBorders>
              <w:top w:val="nil"/>
              <w:left w:val="nil"/>
              <w:bottom w:val="nil"/>
              <w:right w:val="nil"/>
            </w:tcBorders>
            <w:shd w:val="clear" w:color="auto" w:fill="FFFFFF"/>
            <w:noWrap/>
            <w:vAlign w:val="center"/>
          </w:tcPr>
          <w:p w14:paraId="3FE4350D"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30D400E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Junior College (Associate Degree) / Bachelor's Degree and Above</w:t>
            </w:r>
          </w:p>
        </w:tc>
        <w:tc>
          <w:tcPr>
            <w:tcW w:w="1771" w:type="dxa"/>
            <w:gridSpan w:val="2"/>
            <w:tcBorders>
              <w:top w:val="nil"/>
              <w:left w:val="nil"/>
              <w:bottom w:val="nil"/>
              <w:right w:val="nil"/>
            </w:tcBorders>
            <w:shd w:val="clear" w:color="auto" w:fill="FFFFFF"/>
            <w:noWrap/>
            <w:vAlign w:val="center"/>
          </w:tcPr>
          <w:p w14:paraId="503354D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62</w:t>
            </w:r>
          </w:p>
        </w:tc>
        <w:tc>
          <w:tcPr>
            <w:tcW w:w="1143" w:type="dxa"/>
            <w:tcBorders>
              <w:top w:val="nil"/>
              <w:left w:val="nil"/>
              <w:bottom w:val="nil"/>
              <w:right w:val="nil"/>
            </w:tcBorders>
            <w:shd w:val="clear" w:color="auto" w:fill="FFFFFF"/>
            <w:noWrap/>
            <w:vAlign w:val="center"/>
          </w:tcPr>
          <w:p w14:paraId="5C4A9B6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28.84%</w:t>
            </w:r>
          </w:p>
        </w:tc>
      </w:tr>
      <w:tr w:rsidR="006D1C3F" w14:paraId="20951828" w14:textId="77777777">
        <w:trPr>
          <w:trHeight w:val="277"/>
        </w:trPr>
        <w:tc>
          <w:tcPr>
            <w:tcW w:w="2410" w:type="dxa"/>
            <w:tcBorders>
              <w:top w:val="nil"/>
              <w:left w:val="nil"/>
              <w:bottom w:val="nil"/>
              <w:right w:val="nil"/>
            </w:tcBorders>
            <w:shd w:val="clear" w:color="auto" w:fill="FFFFFF"/>
            <w:noWrap/>
            <w:vAlign w:val="center"/>
          </w:tcPr>
          <w:p w14:paraId="68BA23E6"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Work Status</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48001821" w14:textId="77777777" w:rsidR="006D1C3F" w:rsidRDefault="006D1C3F">
            <w:pPr>
              <w:ind w:firstLine="360"/>
              <w:jc w:val="center"/>
              <w:rPr>
                <w:rFonts w:cstheme="minorBidi"/>
                <w:b w:val="0"/>
                <w:bCs w:val="0"/>
                <w:sz w:val="18"/>
                <w:szCs w:val="18"/>
              </w:rPr>
            </w:pPr>
          </w:p>
        </w:tc>
        <w:tc>
          <w:tcPr>
            <w:tcW w:w="1771" w:type="dxa"/>
            <w:gridSpan w:val="2"/>
            <w:tcBorders>
              <w:top w:val="nil"/>
              <w:left w:val="nil"/>
              <w:bottom w:val="nil"/>
              <w:right w:val="nil"/>
            </w:tcBorders>
            <w:shd w:val="clear" w:color="auto" w:fill="FFFFFF"/>
            <w:noWrap/>
            <w:vAlign w:val="center"/>
          </w:tcPr>
          <w:p w14:paraId="46AA8134" w14:textId="77777777" w:rsidR="006D1C3F" w:rsidRDefault="006D1C3F">
            <w:pPr>
              <w:ind w:firstLine="360"/>
              <w:jc w:val="center"/>
              <w:rPr>
                <w:rFonts w:cstheme="minorBidi"/>
                <w:b w:val="0"/>
                <w:bCs w:val="0"/>
                <w:sz w:val="18"/>
                <w:szCs w:val="18"/>
              </w:rPr>
            </w:pPr>
          </w:p>
        </w:tc>
        <w:tc>
          <w:tcPr>
            <w:tcW w:w="1143" w:type="dxa"/>
            <w:tcBorders>
              <w:top w:val="nil"/>
              <w:left w:val="nil"/>
              <w:bottom w:val="nil"/>
              <w:right w:val="nil"/>
            </w:tcBorders>
            <w:shd w:val="clear" w:color="auto" w:fill="FFFFFF"/>
            <w:noWrap/>
            <w:vAlign w:val="center"/>
          </w:tcPr>
          <w:p w14:paraId="162B9237" w14:textId="77777777" w:rsidR="006D1C3F" w:rsidRDefault="006D1C3F">
            <w:pPr>
              <w:ind w:firstLine="360"/>
              <w:jc w:val="center"/>
              <w:rPr>
                <w:rFonts w:cstheme="minorBidi"/>
                <w:b w:val="0"/>
                <w:bCs w:val="0"/>
                <w:sz w:val="18"/>
                <w:szCs w:val="18"/>
              </w:rPr>
            </w:pPr>
          </w:p>
        </w:tc>
      </w:tr>
      <w:tr w:rsidR="006D1C3F" w14:paraId="5F76C57C" w14:textId="77777777">
        <w:trPr>
          <w:trHeight w:val="459"/>
        </w:trPr>
        <w:tc>
          <w:tcPr>
            <w:tcW w:w="2410" w:type="dxa"/>
            <w:tcBorders>
              <w:top w:val="nil"/>
              <w:left w:val="nil"/>
              <w:bottom w:val="nil"/>
              <w:right w:val="nil"/>
            </w:tcBorders>
            <w:shd w:val="clear" w:color="auto" w:fill="FFFFFF"/>
            <w:noWrap/>
            <w:vAlign w:val="center"/>
          </w:tcPr>
          <w:p w14:paraId="12CC77A6"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4916C8D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Full-time Employment</w:t>
            </w:r>
          </w:p>
        </w:tc>
        <w:tc>
          <w:tcPr>
            <w:tcW w:w="1771" w:type="dxa"/>
            <w:gridSpan w:val="2"/>
            <w:tcBorders>
              <w:top w:val="nil"/>
              <w:left w:val="nil"/>
              <w:bottom w:val="nil"/>
              <w:right w:val="nil"/>
            </w:tcBorders>
            <w:shd w:val="clear" w:color="auto" w:fill="FFFFFF"/>
            <w:noWrap/>
            <w:vAlign w:val="center"/>
          </w:tcPr>
          <w:p w14:paraId="0A248A8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49</w:t>
            </w:r>
          </w:p>
        </w:tc>
        <w:tc>
          <w:tcPr>
            <w:tcW w:w="1143" w:type="dxa"/>
            <w:tcBorders>
              <w:top w:val="nil"/>
              <w:left w:val="nil"/>
              <w:bottom w:val="nil"/>
              <w:right w:val="nil"/>
            </w:tcBorders>
            <w:shd w:val="clear" w:color="auto" w:fill="FFFFFF"/>
            <w:noWrap/>
            <w:vAlign w:val="center"/>
          </w:tcPr>
          <w:p w14:paraId="36E3E28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22.79%</w:t>
            </w:r>
          </w:p>
        </w:tc>
      </w:tr>
      <w:tr w:rsidR="006D1C3F" w14:paraId="3AB8A62D" w14:textId="77777777">
        <w:trPr>
          <w:trHeight w:val="277"/>
        </w:trPr>
        <w:tc>
          <w:tcPr>
            <w:tcW w:w="2410" w:type="dxa"/>
            <w:tcBorders>
              <w:top w:val="nil"/>
              <w:left w:val="nil"/>
              <w:bottom w:val="nil"/>
              <w:right w:val="nil"/>
            </w:tcBorders>
            <w:shd w:val="clear" w:color="auto" w:fill="FFFFFF"/>
            <w:noWrap/>
            <w:vAlign w:val="center"/>
          </w:tcPr>
          <w:p w14:paraId="6A8321D3"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43B59E8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Part-time Employment</w:t>
            </w:r>
          </w:p>
        </w:tc>
        <w:tc>
          <w:tcPr>
            <w:tcW w:w="1416" w:type="dxa"/>
            <w:tcBorders>
              <w:top w:val="nil"/>
              <w:left w:val="nil"/>
              <w:bottom w:val="nil"/>
              <w:right w:val="nil"/>
            </w:tcBorders>
            <w:shd w:val="clear" w:color="auto" w:fill="FFFFFF"/>
            <w:noWrap/>
            <w:vAlign w:val="center"/>
          </w:tcPr>
          <w:p w14:paraId="29906D9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 xml:space="preserve">    16</w:t>
            </w:r>
          </w:p>
        </w:tc>
        <w:tc>
          <w:tcPr>
            <w:tcW w:w="1498" w:type="dxa"/>
            <w:gridSpan w:val="2"/>
            <w:tcBorders>
              <w:top w:val="nil"/>
              <w:left w:val="nil"/>
              <w:bottom w:val="nil"/>
              <w:right w:val="nil"/>
            </w:tcBorders>
            <w:shd w:val="clear" w:color="auto" w:fill="FFFFFF"/>
            <w:noWrap/>
            <w:vAlign w:val="center"/>
          </w:tcPr>
          <w:p w14:paraId="24C87EE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 xml:space="preserve">   7.44%</w:t>
            </w:r>
          </w:p>
        </w:tc>
      </w:tr>
      <w:tr w:rsidR="006D1C3F" w14:paraId="5FF5E1E0" w14:textId="77777777">
        <w:trPr>
          <w:trHeight w:val="277"/>
        </w:trPr>
        <w:tc>
          <w:tcPr>
            <w:tcW w:w="2410" w:type="dxa"/>
            <w:tcBorders>
              <w:top w:val="nil"/>
              <w:left w:val="nil"/>
              <w:bottom w:val="nil"/>
              <w:right w:val="nil"/>
            </w:tcBorders>
            <w:shd w:val="clear" w:color="auto" w:fill="FFFFFF"/>
            <w:noWrap/>
            <w:vAlign w:val="center"/>
          </w:tcPr>
          <w:p w14:paraId="58CBF2C6"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32D7B6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Retired</w:t>
            </w:r>
          </w:p>
        </w:tc>
        <w:tc>
          <w:tcPr>
            <w:tcW w:w="1416" w:type="dxa"/>
            <w:tcBorders>
              <w:top w:val="nil"/>
              <w:left w:val="nil"/>
              <w:bottom w:val="nil"/>
              <w:right w:val="nil"/>
            </w:tcBorders>
            <w:shd w:val="clear" w:color="auto" w:fill="FFFFFF"/>
            <w:noWrap/>
            <w:vAlign w:val="center"/>
          </w:tcPr>
          <w:p w14:paraId="22E3363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84</w:t>
            </w:r>
          </w:p>
        </w:tc>
        <w:tc>
          <w:tcPr>
            <w:tcW w:w="1498" w:type="dxa"/>
            <w:gridSpan w:val="2"/>
            <w:tcBorders>
              <w:top w:val="nil"/>
              <w:left w:val="nil"/>
              <w:bottom w:val="nil"/>
              <w:right w:val="nil"/>
            </w:tcBorders>
            <w:shd w:val="clear" w:color="auto" w:fill="FFFFFF"/>
            <w:noWrap/>
            <w:vAlign w:val="center"/>
          </w:tcPr>
          <w:p w14:paraId="01A2DC9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39.07%</w:t>
            </w:r>
          </w:p>
        </w:tc>
      </w:tr>
      <w:tr w:rsidR="006D1C3F" w14:paraId="2FD12CCA" w14:textId="77777777">
        <w:trPr>
          <w:trHeight w:val="277"/>
        </w:trPr>
        <w:tc>
          <w:tcPr>
            <w:tcW w:w="2410" w:type="dxa"/>
            <w:tcBorders>
              <w:top w:val="nil"/>
              <w:left w:val="nil"/>
              <w:bottom w:val="nil"/>
              <w:right w:val="nil"/>
            </w:tcBorders>
            <w:shd w:val="clear" w:color="auto" w:fill="FFFFFF"/>
            <w:noWrap/>
            <w:vAlign w:val="center"/>
          </w:tcPr>
          <w:p w14:paraId="76E737B9"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F51A85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Unemployed/Student/Other</w:t>
            </w:r>
          </w:p>
        </w:tc>
        <w:tc>
          <w:tcPr>
            <w:tcW w:w="1416" w:type="dxa"/>
            <w:tcBorders>
              <w:top w:val="nil"/>
              <w:left w:val="nil"/>
              <w:bottom w:val="nil"/>
              <w:right w:val="nil"/>
            </w:tcBorders>
            <w:shd w:val="clear" w:color="auto" w:fill="FFFFFF"/>
            <w:noWrap/>
            <w:vAlign w:val="center"/>
          </w:tcPr>
          <w:p w14:paraId="1AB426C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66</w:t>
            </w:r>
          </w:p>
        </w:tc>
        <w:tc>
          <w:tcPr>
            <w:tcW w:w="1498" w:type="dxa"/>
            <w:gridSpan w:val="2"/>
            <w:tcBorders>
              <w:top w:val="nil"/>
              <w:left w:val="nil"/>
              <w:bottom w:val="nil"/>
              <w:right w:val="nil"/>
            </w:tcBorders>
            <w:shd w:val="clear" w:color="auto" w:fill="FFFFFF"/>
            <w:noWrap/>
            <w:vAlign w:val="center"/>
          </w:tcPr>
          <w:p w14:paraId="0C40DFA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30.70%</w:t>
            </w:r>
          </w:p>
        </w:tc>
      </w:tr>
      <w:tr w:rsidR="006D1C3F" w14:paraId="43D9A6DB" w14:textId="77777777">
        <w:trPr>
          <w:trHeight w:val="277"/>
        </w:trPr>
        <w:tc>
          <w:tcPr>
            <w:tcW w:w="2410" w:type="dxa"/>
            <w:tcBorders>
              <w:top w:val="nil"/>
              <w:left w:val="nil"/>
              <w:bottom w:val="nil"/>
              <w:right w:val="nil"/>
            </w:tcBorders>
            <w:shd w:val="clear" w:color="auto" w:fill="FFFFFF"/>
            <w:noWrap/>
            <w:vAlign w:val="center"/>
          </w:tcPr>
          <w:p w14:paraId="06B0056C"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Medical insurance</w:t>
            </w:r>
          </w:p>
        </w:tc>
        <w:tc>
          <w:tcPr>
            <w:tcW w:w="3098" w:type="dxa"/>
            <w:tcBorders>
              <w:top w:val="nil"/>
              <w:left w:val="nil"/>
              <w:bottom w:val="nil"/>
              <w:right w:val="nil"/>
            </w:tcBorders>
            <w:shd w:val="clear" w:color="auto" w:fill="FFFFFF"/>
            <w:noWrap/>
            <w:vAlign w:val="center"/>
          </w:tcPr>
          <w:p w14:paraId="29CCB104"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2CAFA372"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691E20B5" w14:textId="77777777" w:rsidR="006D1C3F" w:rsidRDefault="006D1C3F">
            <w:pPr>
              <w:ind w:firstLine="360"/>
              <w:jc w:val="center"/>
              <w:rPr>
                <w:rFonts w:cstheme="minorBidi"/>
                <w:b w:val="0"/>
                <w:bCs w:val="0"/>
                <w:sz w:val="18"/>
                <w:szCs w:val="18"/>
              </w:rPr>
            </w:pPr>
          </w:p>
        </w:tc>
      </w:tr>
      <w:tr w:rsidR="006D1C3F" w14:paraId="069F092B" w14:textId="77777777">
        <w:trPr>
          <w:trHeight w:val="277"/>
        </w:trPr>
        <w:tc>
          <w:tcPr>
            <w:tcW w:w="2410" w:type="dxa"/>
            <w:tcBorders>
              <w:top w:val="nil"/>
              <w:left w:val="nil"/>
              <w:bottom w:val="nil"/>
              <w:right w:val="nil"/>
            </w:tcBorders>
            <w:shd w:val="clear" w:color="auto" w:fill="FFFFFF"/>
            <w:noWrap/>
            <w:vAlign w:val="center"/>
          </w:tcPr>
          <w:p w14:paraId="0FE2F701"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12A93D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Urban Employee Basic Medical Insurance</w:t>
            </w:r>
          </w:p>
        </w:tc>
        <w:tc>
          <w:tcPr>
            <w:tcW w:w="1416" w:type="dxa"/>
            <w:tcBorders>
              <w:top w:val="nil"/>
              <w:left w:val="nil"/>
              <w:bottom w:val="nil"/>
              <w:right w:val="nil"/>
            </w:tcBorders>
            <w:shd w:val="clear" w:color="auto" w:fill="FFFFFF"/>
            <w:noWrap/>
            <w:vAlign w:val="center"/>
          </w:tcPr>
          <w:p w14:paraId="29776F7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114</w:t>
            </w:r>
          </w:p>
        </w:tc>
        <w:tc>
          <w:tcPr>
            <w:tcW w:w="1498" w:type="dxa"/>
            <w:gridSpan w:val="2"/>
            <w:tcBorders>
              <w:top w:val="nil"/>
              <w:left w:val="nil"/>
              <w:bottom w:val="nil"/>
              <w:right w:val="nil"/>
            </w:tcBorders>
            <w:shd w:val="clear" w:color="auto" w:fill="FFFFFF"/>
            <w:noWrap/>
            <w:vAlign w:val="center"/>
          </w:tcPr>
          <w:p w14:paraId="65FBC41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53.02%</w:t>
            </w:r>
          </w:p>
        </w:tc>
      </w:tr>
      <w:tr w:rsidR="006D1C3F" w14:paraId="326F1C45" w14:textId="77777777">
        <w:trPr>
          <w:trHeight w:val="277"/>
        </w:trPr>
        <w:tc>
          <w:tcPr>
            <w:tcW w:w="2410" w:type="dxa"/>
            <w:tcBorders>
              <w:top w:val="nil"/>
              <w:left w:val="nil"/>
              <w:bottom w:val="nil"/>
              <w:right w:val="nil"/>
            </w:tcBorders>
            <w:shd w:val="clear" w:color="auto" w:fill="FFFFFF"/>
            <w:noWrap/>
            <w:vAlign w:val="center"/>
          </w:tcPr>
          <w:p w14:paraId="1E2F636E"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B063E4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Urban and Rural Resident Basic Medical Insurance</w:t>
            </w:r>
          </w:p>
        </w:tc>
        <w:tc>
          <w:tcPr>
            <w:tcW w:w="1416" w:type="dxa"/>
            <w:tcBorders>
              <w:top w:val="nil"/>
              <w:left w:val="nil"/>
              <w:bottom w:val="nil"/>
              <w:right w:val="nil"/>
            </w:tcBorders>
            <w:shd w:val="clear" w:color="auto" w:fill="FFFFFF"/>
            <w:noWrap/>
            <w:vAlign w:val="center"/>
          </w:tcPr>
          <w:p w14:paraId="598F7F3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97</w:t>
            </w:r>
          </w:p>
        </w:tc>
        <w:tc>
          <w:tcPr>
            <w:tcW w:w="1498" w:type="dxa"/>
            <w:gridSpan w:val="2"/>
            <w:tcBorders>
              <w:top w:val="nil"/>
              <w:left w:val="nil"/>
              <w:bottom w:val="nil"/>
              <w:right w:val="nil"/>
            </w:tcBorders>
            <w:shd w:val="clear" w:color="auto" w:fill="FFFFFF"/>
            <w:noWrap/>
            <w:vAlign w:val="center"/>
          </w:tcPr>
          <w:p w14:paraId="7110F40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45.12%</w:t>
            </w:r>
          </w:p>
        </w:tc>
      </w:tr>
      <w:tr w:rsidR="006D1C3F" w14:paraId="377B6717" w14:textId="77777777">
        <w:trPr>
          <w:trHeight w:val="277"/>
        </w:trPr>
        <w:tc>
          <w:tcPr>
            <w:tcW w:w="2410" w:type="dxa"/>
            <w:tcBorders>
              <w:top w:val="nil"/>
              <w:left w:val="nil"/>
              <w:bottom w:val="nil"/>
              <w:right w:val="nil"/>
            </w:tcBorders>
            <w:shd w:val="clear" w:color="auto" w:fill="FFFFFF"/>
            <w:noWrap/>
            <w:vAlign w:val="center"/>
          </w:tcPr>
          <w:p w14:paraId="6B9C47A0"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6574A6A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Commercial Health Insurance</w:t>
            </w:r>
          </w:p>
        </w:tc>
        <w:tc>
          <w:tcPr>
            <w:tcW w:w="1416" w:type="dxa"/>
            <w:tcBorders>
              <w:top w:val="nil"/>
              <w:left w:val="nil"/>
              <w:bottom w:val="nil"/>
              <w:right w:val="nil"/>
            </w:tcBorders>
            <w:shd w:val="clear" w:color="auto" w:fill="FFFFFF"/>
            <w:noWrap/>
            <w:vAlign w:val="center"/>
          </w:tcPr>
          <w:p w14:paraId="472B4E3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w:t>
            </w:r>
          </w:p>
        </w:tc>
        <w:tc>
          <w:tcPr>
            <w:tcW w:w="1498" w:type="dxa"/>
            <w:gridSpan w:val="2"/>
            <w:tcBorders>
              <w:top w:val="nil"/>
              <w:left w:val="nil"/>
              <w:bottom w:val="nil"/>
              <w:right w:val="nil"/>
            </w:tcBorders>
            <w:shd w:val="clear" w:color="auto" w:fill="FFFFFF"/>
            <w:noWrap/>
            <w:vAlign w:val="center"/>
          </w:tcPr>
          <w:p w14:paraId="6365124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3.72%</w:t>
            </w:r>
          </w:p>
        </w:tc>
      </w:tr>
      <w:tr w:rsidR="006D1C3F" w14:paraId="32E1F4CA" w14:textId="77777777">
        <w:trPr>
          <w:trHeight w:val="277"/>
        </w:trPr>
        <w:tc>
          <w:tcPr>
            <w:tcW w:w="2410" w:type="dxa"/>
            <w:tcBorders>
              <w:top w:val="nil"/>
              <w:left w:val="nil"/>
              <w:bottom w:val="nil"/>
              <w:right w:val="nil"/>
            </w:tcBorders>
            <w:shd w:val="clear" w:color="auto" w:fill="FFFFFF"/>
            <w:noWrap/>
            <w:vAlign w:val="center"/>
          </w:tcPr>
          <w:p w14:paraId="142EBEC4"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60591DC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Other</w:t>
            </w:r>
          </w:p>
        </w:tc>
        <w:tc>
          <w:tcPr>
            <w:tcW w:w="1416" w:type="dxa"/>
            <w:tcBorders>
              <w:top w:val="nil"/>
              <w:left w:val="nil"/>
              <w:bottom w:val="nil"/>
              <w:right w:val="nil"/>
            </w:tcBorders>
            <w:shd w:val="clear" w:color="auto" w:fill="FFFFFF"/>
            <w:noWrap/>
            <w:vAlign w:val="center"/>
          </w:tcPr>
          <w:p w14:paraId="55D8141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10</w:t>
            </w:r>
          </w:p>
        </w:tc>
        <w:tc>
          <w:tcPr>
            <w:tcW w:w="1498" w:type="dxa"/>
            <w:gridSpan w:val="2"/>
            <w:tcBorders>
              <w:top w:val="nil"/>
              <w:left w:val="nil"/>
              <w:bottom w:val="nil"/>
              <w:right w:val="nil"/>
            </w:tcBorders>
            <w:shd w:val="clear" w:color="auto" w:fill="FFFFFF"/>
            <w:noWrap/>
            <w:vAlign w:val="center"/>
          </w:tcPr>
          <w:p w14:paraId="5D87840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4.65%</w:t>
            </w:r>
          </w:p>
        </w:tc>
      </w:tr>
      <w:tr w:rsidR="006D1C3F" w14:paraId="5211241B" w14:textId="77777777">
        <w:trPr>
          <w:trHeight w:val="277"/>
        </w:trPr>
        <w:tc>
          <w:tcPr>
            <w:tcW w:w="2410" w:type="dxa"/>
            <w:tcBorders>
              <w:top w:val="nil"/>
              <w:left w:val="nil"/>
              <w:bottom w:val="nil"/>
              <w:right w:val="nil"/>
            </w:tcBorders>
            <w:shd w:val="clear" w:color="auto" w:fill="FFFFFF"/>
            <w:noWrap/>
            <w:vAlign w:val="center"/>
          </w:tcPr>
          <w:p w14:paraId="2178ABD9"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D655BB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Uninsured</w:t>
            </w:r>
          </w:p>
        </w:tc>
        <w:tc>
          <w:tcPr>
            <w:tcW w:w="1416" w:type="dxa"/>
            <w:tcBorders>
              <w:top w:val="nil"/>
              <w:left w:val="nil"/>
              <w:bottom w:val="nil"/>
              <w:right w:val="nil"/>
            </w:tcBorders>
            <w:shd w:val="clear" w:color="auto" w:fill="FFFFFF"/>
            <w:noWrap/>
            <w:vAlign w:val="center"/>
          </w:tcPr>
          <w:p w14:paraId="247CDBB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w:t>
            </w:r>
          </w:p>
        </w:tc>
        <w:tc>
          <w:tcPr>
            <w:tcW w:w="1498" w:type="dxa"/>
            <w:gridSpan w:val="2"/>
            <w:tcBorders>
              <w:top w:val="nil"/>
              <w:left w:val="nil"/>
              <w:bottom w:val="nil"/>
              <w:right w:val="nil"/>
            </w:tcBorders>
            <w:shd w:val="clear" w:color="auto" w:fill="FFFFFF"/>
            <w:noWrap/>
            <w:vAlign w:val="center"/>
          </w:tcPr>
          <w:p w14:paraId="6506D47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0.93%</w:t>
            </w:r>
          </w:p>
        </w:tc>
      </w:tr>
      <w:tr w:rsidR="006D1C3F" w14:paraId="7397B511" w14:textId="77777777">
        <w:trPr>
          <w:trHeight w:val="277"/>
        </w:trPr>
        <w:tc>
          <w:tcPr>
            <w:tcW w:w="2410" w:type="dxa"/>
            <w:tcBorders>
              <w:top w:val="nil"/>
              <w:left w:val="nil"/>
              <w:bottom w:val="nil"/>
              <w:right w:val="nil"/>
            </w:tcBorders>
            <w:shd w:val="clear" w:color="auto" w:fill="FFFFFF"/>
            <w:noWrap/>
            <w:vAlign w:val="center"/>
          </w:tcPr>
          <w:p w14:paraId="76A301F6"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Annual Disposable Income</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668F389F"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1F7C0827"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74517238" w14:textId="77777777" w:rsidR="006D1C3F" w:rsidRDefault="006D1C3F">
            <w:pPr>
              <w:ind w:firstLine="360"/>
              <w:jc w:val="center"/>
              <w:rPr>
                <w:rFonts w:cstheme="minorBidi"/>
                <w:b w:val="0"/>
                <w:bCs w:val="0"/>
                <w:sz w:val="18"/>
                <w:szCs w:val="18"/>
              </w:rPr>
            </w:pPr>
          </w:p>
        </w:tc>
      </w:tr>
      <w:tr w:rsidR="006D1C3F" w14:paraId="2DD947FF" w14:textId="77777777">
        <w:trPr>
          <w:trHeight w:val="277"/>
        </w:trPr>
        <w:tc>
          <w:tcPr>
            <w:tcW w:w="2410" w:type="dxa"/>
            <w:tcBorders>
              <w:top w:val="nil"/>
              <w:left w:val="nil"/>
              <w:bottom w:val="nil"/>
              <w:right w:val="nil"/>
            </w:tcBorders>
            <w:shd w:val="clear" w:color="auto" w:fill="FFFFFF"/>
            <w:noWrap/>
            <w:vAlign w:val="center"/>
          </w:tcPr>
          <w:p w14:paraId="1E0A4E94"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C7551E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In Debt</w:t>
            </w:r>
          </w:p>
        </w:tc>
        <w:tc>
          <w:tcPr>
            <w:tcW w:w="1416" w:type="dxa"/>
            <w:tcBorders>
              <w:top w:val="nil"/>
              <w:left w:val="nil"/>
              <w:bottom w:val="nil"/>
              <w:right w:val="nil"/>
            </w:tcBorders>
            <w:shd w:val="clear" w:color="auto" w:fill="FFFFFF"/>
            <w:noWrap/>
            <w:vAlign w:val="center"/>
          </w:tcPr>
          <w:p w14:paraId="0BD4692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w:t>
            </w:r>
          </w:p>
        </w:tc>
        <w:tc>
          <w:tcPr>
            <w:tcW w:w="1498" w:type="dxa"/>
            <w:gridSpan w:val="2"/>
            <w:tcBorders>
              <w:top w:val="nil"/>
              <w:left w:val="nil"/>
              <w:bottom w:val="nil"/>
              <w:right w:val="nil"/>
            </w:tcBorders>
            <w:shd w:val="clear" w:color="auto" w:fill="FFFFFF"/>
            <w:noWrap/>
            <w:vAlign w:val="center"/>
          </w:tcPr>
          <w:p w14:paraId="6ED2F3A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5.12%</w:t>
            </w:r>
          </w:p>
        </w:tc>
      </w:tr>
      <w:tr w:rsidR="006D1C3F" w14:paraId="421F4250" w14:textId="77777777">
        <w:trPr>
          <w:trHeight w:val="277"/>
        </w:trPr>
        <w:tc>
          <w:tcPr>
            <w:tcW w:w="2410" w:type="dxa"/>
            <w:tcBorders>
              <w:top w:val="nil"/>
              <w:left w:val="nil"/>
              <w:bottom w:val="nil"/>
              <w:right w:val="nil"/>
            </w:tcBorders>
            <w:shd w:val="clear" w:color="auto" w:fill="FFFFFF"/>
            <w:noWrap/>
            <w:vAlign w:val="center"/>
          </w:tcPr>
          <w:p w14:paraId="03ABD9AE"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72CAAC1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w:t>
            </w:r>
            <w:r>
              <w:rPr>
                <w:rFonts w:cstheme="minorBidi" w:hint="eastAsia"/>
                <w:b w:val="0"/>
                <w:bCs w:val="0"/>
                <w:sz w:val="18"/>
                <w:szCs w:val="18"/>
              </w:rPr>
              <w:t xml:space="preserve"> ¥20,000</w:t>
            </w:r>
          </w:p>
        </w:tc>
        <w:tc>
          <w:tcPr>
            <w:tcW w:w="1416" w:type="dxa"/>
            <w:tcBorders>
              <w:top w:val="nil"/>
              <w:left w:val="nil"/>
              <w:bottom w:val="nil"/>
              <w:right w:val="nil"/>
            </w:tcBorders>
            <w:shd w:val="clear" w:color="auto" w:fill="FFFFFF"/>
            <w:noWrap/>
            <w:vAlign w:val="center"/>
          </w:tcPr>
          <w:p w14:paraId="6439044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48</w:t>
            </w:r>
          </w:p>
        </w:tc>
        <w:tc>
          <w:tcPr>
            <w:tcW w:w="1498" w:type="dxa"/>
            <w:gridSpan w:val="2"/>
            <w:tcBorders>
              <w:top w:val="nil"/>
              <w:left w:val="nil"/>
              <w:bottom w:val="nil"/>
              <w:right w:val="nil"/>
            </w:tcBorders>
            <w:shd w:val="clear" w:color="auto" w:fill="FFFFFF"/>
            <w:noWrap/>
            <w:vAlign w:val="center"/>
          </w:tcPr>
          <w:p w14:paraId="7A66503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22.33%</w:t>
            </w:r>
          </w:p>
        </w:tc>
      </w:tr>
      <w:tr w:rsidR="006D1C3F" w14:paraId="559083FD" w14:textId="77777777">
        <w:trPr>
          <w:trHeight w:val="277"/>
        </w:trPr>
        <w:tc>
          <w:tcPr>
            <w:tcW w:w="2410" w:type="dxa"/>
            <w:tcBorders>
              <w:top w:val="nil"/>
              <w:left w:val="nil"/>
              <w:bottom w:val="nil"/>
              <w:right w:val="nil"/>
            </w:tcBorders>
            <w:shd w:val="clear" w:color="auto" w:fill="FFFFFF"/>
            <w:noWrap/>
            <w:vAlign w:val="center"/>
          </w:tcPr>
          <w:p w14:paraId="443FE116"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61AAE3A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¥20,001 - ¥50,000/year</w:t>
            </w:r>
          </w:p>
        </w:tc>
        <w:tc>
          <w:tcPr>
            <w:tcW w:w="1416" w:type="dxa"/>
            <w:tcBorders>
              <w:top w:val="nil"/>
              <w:left w:val="nil"/>
              <w:bottom w:val="nil"/>
              <w:right w:val="nil"/>
            </w:tcBorders>
            <w:shd w:val="clear" w:color="auto" w:fill="FFFFFF"/>
            <w:noWrap/>
            <w:vAlign w:val="center"/>
          </w:tcPr>
          <w:p w14:paraId="73EC75A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67</w:t>
            </w:r>
          </w:p>
        </w:tc>
        <w:tc>
          <w:tcPr>
            <w:tcW w:w="1498" w:type="dxa"/>
            <w:gridSpan w:val="2"/>
            <w:tcBorders>
              <w:top w:val="nil"/>
              <w:left w:val="nil"/>
              <w:bottom w:val="nil"/>
              <w:right w:val="nil"/>
            </w:tcBorders>
            <w:shd w:val="clear" w:color="auto" w:fill="FFFFFF"/>
            <w:noWrap/>
            <w:vAlign w:val="center"/>
          </w:tcPr>
          <w:p w14:paraId="516973E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31.16%</w:t>
            </w:r>
          </w:p>
        </w:tc>
      </w:tr>
      <w:tr w:rsidR="006D1C3F" w14:paraId="3CF2043C" w14:textId="77777777">
        <w:trPr>
          <w:trHeight w:val="277"/>
        </w:trPr>
        <w:tc>
          <w:tcPr>
            <w:tcW w:w="2410" w:type="dxa"/>
            <w:tcBorders>
              <w:top w:val="nil"/>
              <w:left w:val="nil"/>
              <w:bottom w:val="nil"/>
              <w:right w:val="nil"/>
            </w:tcBorders>
            <w:shd w:val="clear" w:color="auto" w:fill="FFFFFF"/>
            <w:noWrap/>
            <w:vAlign w:val="center"/>
          </w:tcPr>
          <w:p w14:paraId="242472A7"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54F402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¥50,001 - ¥100,000/year</w:t>
            </w:r>
          </w:p>
        </w:tc>
        <w:tc>
          <w:tcPr>
            <w:tcW w:w="1416" w:type="dxa"/>
            <w:tcBorders>
              <w:top w:val="nil"/>
              <w:left w:val="nil"/>
              <w:bottom w:val="nil"/>
              <w:right w:val="nil"/>
            </w:tcBorders>
            <w:shd w:val="clear" w:color="auto" w:fill="FFFFFF"/>
            <w:noWrap/>
            <w:vAlign w:val="center"/>
          </w:tcPr>
          <w:p w14:paraId="6C5D80B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63</w:t>
            </w:r>
          </w:p>
        </w:tc>
        <w:tc>
          <w:tcPr>
            <w:tcW w:w="1498" w:type="dxa"/>
            <w:gridSpan w:val="2"/>
            <w:tcBorders>
              <w:top w:val="nil"/>
              <w:left w:val="nil"/>
              <w:bottom w:val="nil"/>
              <w:right w:val="nil"/>
            </w:tcBorders>
            <w:shd w:val="clear" w:color="auto" w:fill="FFFFFF"/>
            <w:noWrap/>
            <w:vAlign w:val="center"/>
          </w:tcPr>
          <w:p w14:paraId="5A20F20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29.30%</w:t>
            </w:r>
          </w:p>
        </w:tc>
      </w:tr>
      <w:tr w:rsidR="006D1C3F" w14:paraId="174AB2FE" w14:textId="77777777">
        <w:trPr>
          <w:trHeight w:val="277"/>
        </w:trPr>
        <w:tc>
          <w:tcPr>
            <w:tcW w:w="2410" w:type="dxa"/>
            <w:tcBorders>
              <w:top w:val="nil"/>
              <w:left w:val="nil"/>
              <w:bottom w:val="nil"/>
              <w:right w:val="nil"/>
            </w:tcBorders>
            <w:shd w:val="clear" w:color="auto" w:fill="FFFFFF"/>
            <w:noWrap/>
            <w:vAlign w:val="center"/>
          </w:tcPr>
          <w:p w14:paraId="2B9937C8"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FFDC02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w:t>
            </w:r>
            <w:r>
              <w:rPr>
                <w:rFonts w:cstheme="minorBidi" w:hint="eastAsia"/>
                <w:b w:val="0"/>
                <w:bCs w:val="0"/>
                <w:sz w:val="18"/>
                <w:szCs w:val="18"/>
              </w:rPr>
              <w:t xml:space="preserve"> ¥100,000/year</w:t>
            </w:r>
          </w:p>
        </w:tc>
        <w:tc>
          <w:tcPr>
            <w:tcW w:w="1416" w:type="dxa"/>
            <w:tcBorders>
              <w:top w:val="nil"/>
              <w:left w:val="nil"/>
              <w:bottom w:val="nil"/>
              <w:right w:val="nil"/>
            </w:tcBorders>
            <w:shd w:val="clear" w:color="auto" w:fill="FFFFFF"/>
            <w:noWrap/>
            <w:vAlign w:val="center"/>
          </w:tcPr>
          <w:p w14:paraId="34C1A9D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26</w:t>
            </w:r>
          </w:p>
        </w:tc>
        <w:tc>
          <w:tcPr>
            <w:tcW w:w="1498" w:type="dxa"/>
            <w:gridSpan w:val="2"/>
            <w:tcBorders>
              <w:top w:val="nil"/>
              <w:left w:val="nil"/>
              <w:bottom w:val="nil"/>
              <w:right w:val="nil"/>
            </w:tcBorders>
            <w:shd w:val="clear" w:color="auto" w:fill="FFFFFF"/>
            <w:noWrap/>
            <w:vAlign w:val="center"/>
          </w:tcPr>
          <w:p w14:paraId="049D080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12.09%</w:t>
            </w:r>
          </w:p>
        </w:tc>
      </w:tr>
      <w:tr w:rsidR="006D1C3F" w14:paraId="239B616F" w14:textId="77777777">
        <w:trPr>
          <w:trHeight w:val="277"/>
        </w:trPr>
        <w:tc>
          <w:tcPr>
            <w:tcW w:w="2410" w:type="dxa"/>
            <w:tcBorders>
              <w:top w:val="nil"/>
              <w:left w:val="nil"/>
              <w:bottom w:val="nil"/>
              <w:right w:val="nil"/>
            </w:tcBorders>
            <w:shd w:val="clear" w:color="auto" w:fill="FFFFFF"/>
            <w:noWrap/>
            <w:vAlign w:val="center"/>
          </w:tcPr>
          <w:p w14:paraId="27C16CB4"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Annual Lung Cancer-Related Treatment Expenditure</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4273F23C"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7520AE27"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01C5FD84" w14:textId="77777777" w:rsidR="006D1C3F" w:rsidRDefault="006D1C3F">
            <w:pPr>
              <w:ind w:firstLine="360"/>
              <w:jc w:val="center"/>
              <w:rPr>
                <w:rFonts w:cstheme="minorBidi"/>
                <w:b w:val="0"/>
                <w:bCs w:val="0"/>
                <w:sz w:val="18"/>
                <w:szCs w:val="18"/>
              </w:rPr>
            </w:pPr>
          </w:p>
        </w:tc>
      </w:tr>
      <w:tr w:rsidR="006D1C3F" w14:paraId="474670D5" w14:textId="77777777">
        <w:trPr>
          <w:trHeight w:val="277"/>
        </w:trPr>
        <w:tc>
          <w:tcPr>
            <w:tcW w:w="2410" w:type="dxa"/>
            <w:tcBorders>
              <w:top w:val="nil"/>
              <w:left w:val="nil"/>
              <w:bottom w:val="nil"/>
              <w:right w:val="nil"/>
            </w:tcBorders>
            <w:shd w:val="clear" w:color="auto" w:fill="FFFFFF"/>
            <w:noWrap/>
            <w:vAlign w:val="center"/>
          </w:tcPr>
          <w:p w14:paraId="1AF5A6D0"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5D0D289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¥0 - ¥50,000/year</w:t>
            </w:r>
          </w:p>
        </w:tc>
        <w:tc>
          <w:tcPr>
            <w:tcW w:w="1416" w:type="dxa"/>
            <w:tcBorders>
              <w:top w:val="nil"/>
              <w:left w:val="nil"/>
              <w:bottom w:val="nil"/>
              <w:right w:val="nil"/>
            </w:tcBorders>
            <w:shd w:val="clear" w:color="auto" w:fill="FFFFFF"/>
            <w:noWrap/>
            <w:vAlign w:val="center"/>
          </w:tcPr>
          <w:p w14:paraId="5CDC11E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93</w:t>
            </w:r>
          </w:p>
        </w:tc>
        <w:tc>
          <w:tcPr>
            <w:tcW w:w="1498" w:type="dxa"/>
            <w:gridSpan w:val="2"/>
            <w:tcBorders>
              <w:top w:val="nil"/>
              <w:left w:val="nil"/>
              <w:bottom w:val="nil"/>
              <w:right w:val="nil"/>
            </w:tcBorders>
            <w:shd w:val="clear" w:color="auto" w:fill="FFFFFF"/>
            <w:noWrap/>
            <w:vAlign w:val="center"/>
          </w:tcPr>
          <w:p w14:paraId="01A8E42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43.26%</w:t>
            </w:r>
          </w:p>
        </w:tc>
      </w:tr>
      <w:tr w:rsidR="006D1C3F" w14:paraId="4B0180D0" w14:textId="77777777">
        <w:trPr>
          <w:trHeight w:val="277"/>
        </w:trPr>
        <w:tc>
          <w:tcPr>
            <w:tcW w:w="2410" w:type="dxa"/>
            <w:tcBorders>
              <w:top w:val="nil"/>
              <w:left w:val="nil"/>
              <w:bottom w:val="nil"/>
              <w:right w:val="nil"/>
            </w:tcBorders>
            <w:shd w:val="clear" w:color="auto" w:fill="FFFFFF"/>
            <w:noWrap/>
            <w:vAlign w:val="center"/>
          </w:tcPr>
          <w:p w14:paraId="74637717"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6DC9F4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¥50,001 - ¥100,000/year</w:t>
            </w:r>
          </w:p>
        </w:tc>
        <w:tc>
          <w:tcPr>
            <w:tcW w:w="1416" w:type="dxa"/>
            <w:tcBorders>
              <w:top w:val="nil"/>
              <w:left w:val="nil"/>
              <w:bottom w:val="nil"/>
              <w:right w:val="nil"/>
            </w:tcBorders>
            <w:shd w:val="clear" w:color="auto" w:fill="FFFFFF"/>
            <w:noWrap/>
            <w:vAlign w:val="center"/>
          </w:tcPr>
          <w:p w14:paraId="78D6115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87</w:t>
            </w:r>
          </w:p>
        </w:tc>
        <w:tc>
          <w:tcPr>
            <w:tcW w:w="1498" w:type="dxa"/>
            <w:gridSpan w:val="2"/>
            <w:tcBorders>
              <w:top w:val="nil"/>
              <w:left w:val="nil"/>
              <w:bottom w:val="nil"/>
              <w:right w:val="nil"/>
            </w:tcBorders>
            <w:shd w:val="clear" w:color="auto" w:fill="FFFFFF"/>
            <w:noWrap/>
            <w:vAlign w:val="center"/>
          </w:tcPr>
          <w:p w14:paraId="4763640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40.47%</w:t>
            </w:r>
          </w:p>
        </w:tc>
      </w:tr>
      <w:tr w:rsidR="006D1C3F" w14:paraId="1C78A5CA" w14:textId="77777777">
        <w:trPr>
          <w:trHeight w:val="277"/>
        </w:trPr>
        <w:tc>
          <w:tcPr>
            <w:tcW w:w="2410" w:type="dxa"/>
            <w:tcBorders>
              <w:top w:val="nil"/>
              <w:left w:val="nil"/>
              <w:bottom w:val="nil"/>
              <w:right w:val="nil"/>
            </w:tcBorders>
            <w:shd w:val="clear" w:color="auto" w:fill="FFFFFF"/>
            <w:noWrap/>
            <w:vAlign w:val="center"/>
          </w:tcPr>
          <w:p w14:paraId="13B799B6"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5908F0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¥100,001 - ¥200,000/year</w:t>
            </w:r>
          </w:p>
        </w:tc>
        <w:tc>
          <w:tcPr>
            <w:tcW w:w="1416" w:type="dxa"/>
            <w:tcBorders>
              <w:top w:val="nil"/>
              <w:left w:val="nil"/>
              <w:bottom w:val="nil"/>
              <w:right w:val="nil"/>
            </w:tcBorders>
            <w:shd w:val="clear" w:color="auto" w:fill="FFFFFF"/>
            <w:noWrap/>
            <w:vAlign w:val="center"/>
          </w:tcPr>
          <w:p w14:paraId="15CC6E1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31</w:t>
            </w:r>
          </w:p>
        </w:tc>
        <w:tc>
          <w:tcPr>
            <w:tcW w:w="1498" w:type="dxa"/>
            <w:gridSpan w:val="2"/>
            <w:tcBorders>
              <w:top w:val="nil"/>
              <w:left w:val="nil"/>
              <w:bottom w:val="nil"/>
              <w:right w:val="nil"/>
            </w:tcBorders>
            <w:shd w:val="clear" w:color="auto" w:fill="FFFFFF"/>
            <w:noWrap/>
            <w:vAlign w:val="center"/>
          </w:tcPr>
          <w:p w14:paraId="5EA9358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14.42%</w:t>
            </w:r>
          </w:p>
        </w:tc>
      </w:tr>
      <w:tr w:rsidR="006D1C3F" w14:paraId="734A14CD" w14:textId="77777777">
        <w:trPr>
          <w:trHeight w:val="277"/>
        </w:trPr>
        <w:tc>
          <w:tcPr>
            <w:tcW w:w="2410" w:type="dxa"/>
            <w:tcBorders>
              <w:top w:val="nil"/>
              <w:left w:val="nil"/>
              <w:bottom w:val="nil"/>
              <w:right w:val="nil"/>
            </w:tcBorders>
            <w:shd w:val="clear" w:color="auto" w:fill="FFFFFF"/>
            <w:noWrap/>
            <w:vAlign w:val="center"/>
          </w:tcPr>
          <w:p w14:paraId="5B7CED01"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629D292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w:t>
            </w:r>
            <w:r>
              <w:rPr>
                <w:rFonts w:cstheme="minorBidi" w:hint="eastAsia"/>
                <w:b w:val="0"/>
                <w:bCs w:val="0"/>
                <w:sz w:val="18"/>
                <w:szCs w:val="18"/>
              </w:rPr>
              <w:t xml:space="preserve"> ¥200,000/year</w:t>
            </w:r>
          </w:p>
        </w:tc>
        <w:tc>
          <w:tcPr>
            <w:tcW w:w="1416" w:type="dxa"/>
            <w:tcBorders>
              <w:top w:val="nil"/>
              <w:left w:val="nil"/>
              <w:bottom w:val="nil"/>
              <w:right w:val="nil"/>
            </w:tcBorders>
            <w:shd w:val="clear" w:color="auto" w:fill="FFFFFF"/>
            <w:noWrap/>
            <w:vAlign w:val="center"/>
          </w:tcPr>
          <w:p w14:paraId="4240F60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w:t>
            </w:r>
          </w:p>
        </w:tc>
        <w:tc>
          <w:tcPr>
            <w:tcW w:w="1498" w:type="dxa"/>
            <w:gridSpan w:val="2"/>
            <w:tcBorders>
              <w:top w:val="nil"/>
              <w:left w:val="nil"/>
              <w:bottom w:val="nil"/>
              <w:right w:val="nil"/>
            </w:tcBorders>
            <w:shd w:val="clear" w:color="auto" w:fill="FFFFFF"/>
            <w:noWrap/>
            <w:vAlign w:val="center"/>
          </w:tcPr>
          <w:p w14:paraId="512AD56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1.86%</w:t>
            </w:r>
          </w:p>
        </w:tc>
      </w:tr>
      <w:tr w:rsidR="006D1C3F" w14:paraId="42C11AF5" w14:textId="77777777">
        <w:trPr>
          <w:trHeight w:val="277"/>
        </w:trPr>
        <w:tc>
          <w:tcPr>
            <w:tcW w:w="2410" w:type="dxa"/>
            <w:tcBorders>
              <w:top w:val="nil"/>
              <w:left w:val="nil"/>
              <w:bottom w:val="nil"/>
              <w:right w:val="nil"/>
            </w:tcBorders>
            <w:shd w:val="clear" w:color="auto" w:fill="FFFFFF"/>
            <w:noWrap/>
            <w:vAlign w:val="center"/>
          </w:tcPr>
          <w:p w14:paraId="7C0CFFBE"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Source of Lung Cancer Expenditure</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19BC2538"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61EC9F4C"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4DA80B2A" w14:textId="77777777" w:rsidR="006D1C3F" w:rsidRDefault="006D1C3F">
            <w:pPr>
              <w:ind w:firstLine="360"/>
              <w:jc w:val="center"/>
              <w:rPr>
                <w:rFonts w:cstheme="minorBidi"/>
                <w:b w:val="0"/>
                <w:bCs w:val="0"/>
                <w:sz w:val="18"/>
                <w:szCs w:val="18"/>
              </w:rPr>
            </w:pPr>
          </w:p>
        </w:tc>
      </w:tr>
      <w:tr w:rsidR="006D1C3F" w14:paraId="61EED990" w14:textId="77777777">
        <w:trPr>
          <w:trHeight w:val="277"/>
        </w:trPr>
        <w:tc>
          <w:tcPr>
            <w:tcW w:w="2410" w:type="dxa"/>
            <w:tcBorders>
              <w:top w:val="nil"/>
              <w:left w:val="nil"/>
              <w:bottom w:val="nil"/>
              <w:right w:val="nil"/>
            </w:tcBorders>
            <w:shd w:val="clear" w:color="auto" w:fill="FFFFFF"/>
            <w:noWrap/>
            <w:vAlign w:val="center"/>
          </w:tcPr>
          <w:p w14:paraId="0533F489"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3538E2D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Out-of-Pocket Payment</w:t>
            </w:r>
          </w:p>
        </w:tc>
        <w:tc>
          <w:tcPr>
            <w:tcW w:w="1416" w:type="dxa"/>
            <w:tcBorders>
              <w:top w:val="nil"/>
              <w:left w:val="nil"/>
              <w:bottom w:val="nil"/>
              <w:right w:val="nil"/>
            </w:tcBorders>
            <w:shd w:val="clear" w:color="auto" w:fill="FFFFFF"/>
            <w:noWrap/>
            <w:vAlign w:val="center"/>
          </w:tcPr>
          <w:p w14:paraId="62633F5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146</w:t>
            </w:r>
          </w:p>
        </w:tc>
        <w:tc>
          <w:tcPr>
            <w:tcW w:w="1498" w:type="dxa"/>
            <w:gridSpan w:val="2"/>
            <w:tcBorders>
              <w:top w:val="nil"/>
              <w:left w:val="nil"/>
              <w:bottom w:val="nil"/>
              <w:right w:val="nil"/>
            </w:tcBorders>
            <w:shd w:val="clear" w:color="auto" w:fill="FFFFFF"/>
            <w:noWrap/>
            <w:vAlign w:val="center"/>
          </w:tcPr>
          <w:p w14:paraId="1482331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67.91%</w:t>
            </w:r>
          </w:p>
        </w:tc>
      </w:tr>
      <w:tr w:rsidR="006D1C3F" w14:paraId="327E6958" w14:textId="77777777">
        <w:trPr>
          <w:trHeight w:val="277"/>
        </w:trPr>
        <w:tc>
          <w:tcPr>
            <w:tcW w:w="2410" w:type="dxa"/>
            <w:tcBorders>
              <w:top w:val="nil"/>
              <w:left w:val="nil"/>
              <w:bottom w:val="nil"/>
              <w:right w:val="nil"/>
            </w:tcBorders>
            <w:shd w:val="clear" w:color="auto" w:fill="FFFFFF"/>
            <w:noWrap/>
            <w:vAlign w:val="center"/>
          </w:tcPr>
          <w:p w14:paraId="231D4BD8"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35F371D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Financial Assistance from Others</w:t>
            </w:r>
          </w:p>
        </w:tc>
        <w:tc>
          <w:tcPr>
            <w:tcW w:w="1416" w:type="dxa"/>
            <w:tcBorders>
              <w:top w:val="nil"/>
              <w:left w:val="nil"/>
              <w:bottom w:val="nil"/>
              <w:right w:val="nil"/>
            </w:tcBorders>
            <w:shd w:val="clear" w:color="auto" w:fill="FFFFFF"/>
            <w:noWrap/>
            <w:vAlign w:val="center"/>
          </w:tcPr>
          <w:p w14:paraId="57630CD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69</w:t>
            </w:r>
          </w:p>
        </w:tc>
        <w:tc>
          <w:tcPr>
            <w:tcW w:w="1498" w:type="dxa"/>
            <w:gridSpan w:val="2"/>
            <w:tcBorders>
              <w:top w:val="nil"/>
              <w:left w:val="nil"/>
              <w:bottom w:val="nil"/>
              <w:right w:val="nil"/>
            </w:tcBorders>
            <w:shd w:val="clear" w:color="auto" w:fill="FFFFFF"/>
            <w:noWrap/>
            <w:vAlign w:val="center"/>
          </w:tcPr>
          <w:p w14:paraId="0DEF5AE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32.09%</w:t>
            </w:r>
          </w:p>
        </w:tc>
      </w:tr>
      <w:tr w:rsidR="006D1C3F" w14:paraId="61CCEDDD" w14:textId="77777777">
        <w:trPr>
          <w:trHeight w:val="277"/>
        </w:trPr>
        <w:tc>
          <w:tcPr>
            <w:tcW w:w="2410" w:type="dxa"/>
            <w:tcBorders>
              <w:top w:val="nil"/>
              <w:left w:val="nil"/>
              <w:bottom w:val="nil"/>
              <w:right w:val="nil"/>
            </w:tcBorders>
            <w:shd w:val="clear" w:color="auto" w:fill="FFFFFF"/>
            <w:noWrap/>
            <w:vAlign w:val="center"/>
          </w:tcPr>
          <w:p w14:paraId="369C1542"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Lung Cancer Stage</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1CE858F9"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18AA13B0"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4FC20880" w14:textId="77777777" w:rsidR="006D1C3F" w:rsidRDefault="006D1C3F">
            <w:pPr>
              <w:ind w:firstLine="360"/>
              <w:jc w:val="center"/>
              <w:rPr>
                <w:rFonts w:cstheme="minorBidi"/>
                <w:b w:val="0"/>
                <w:bCs w:val="0"/>
                <w:sz w:val="18"/>
                <w:szCs w:val="18"/>
              </w:rPr>
            </w:pPr>
          </w:p>
        </w:tc>
      </w:tr>
      <w:tr w:rsidR="006D1C3F" w14:paraId="0589B9A4" w14:textId="77777777">
        <w:trPr>
          <w:trHeight w:val="277"/>
        </w:trPr>
        <w:tc>
          <w:tcPr>
            <w:tcW w:w="2410" w:type="dxa"/>
            <w:tcBorders>
              <w:top w:val="nil"/>
              <w:left w:val="nil"/>
              <w:bottom w:val="nil"/>
              <w:right w:val="nil"/>
            </w:tcBorders>
            <w:shd w:val="clear" w:color="auto" w:fill="FFFFFF"/>
            <w:noWrap/>
            <w:vAlign w:val="center"/>
          </w:tcPr>
          <w:p w14:paraId="0DCE2F8C"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3A02D5C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Stage IIIB</w:t>
            </w:r>
          </w:p>
        </w:tc>
        <w:tc>
          <w:tcPr>
            <w:tcW w:w="1416" w:type="dxa"/>
            <w:tcBorders>
              <w:top w:val="nil"/>
              <w:left w:val="nil"/>
              <w:bottom w:val="nil"/>
              <w:right w:val="nil"/>
            </w:tcBorders>
            <w:shd w:val="clear" w:color="auto" w:fill="FFFFFF"/>
            <w:noWrap/>
            <w:vAlign w:val="center"/>
          </w:tcPr>
          <w:p w14:paraId="19D08E9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91</w:t>
            </w:r>
          </w:p>
        </w:tc>
        <w:tc>
          <w:tcPr>
            <w:tcW w:w="1498" w:type="dxa"/>
            <w:gridSpan w:val="2"/>
            <w:tcBorders>
              <w:top w:val="nil"/>
              <w:left w:val="nil"/>
              <w:bottom w:val="nil"/>
              <w:right w:val="nil"/>
            </w:tcBorders>
            <w:shd w:val="clear" w:color="auto" w:fill="FFFFFF"/>
            <w:noWrap/>
            <w:vAlign w:val="center"/>
          </w:tcPr>
          <w:p w14:paraId="70FBC38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42.33%</w:t>
            </w:r>
          </w:p>
        </w:tc>
      </w:tr>
      <w:tr w:rsidR="006D1C3F" w14:paraId="5F7ED1AF" w14:textId="77777777">
        <w:trPr>
          <w:trHeight w:val="277"/>
        </w:trPr>
        <w:tc>
          <w:tcPr>
            <w:tcW w:w="2410" w:type="dxa"/>
            <w:tcBorders>
              <w:top w:val="nil"/>
              <w:left w:val="nil"/>
              <w:bottom w:val="nil"/>
              <w:right w:val="nil"/>
            </w:tcBorders>
            <w:shd w:val="clear" w:color="auto" w:fill="FFFFFF"/>
            <w:noWrap/>
            <w:vAlign w:val="center"/>
          </w:tcPr>
          <w:p w14:paraId="0FA36BB9"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B6852F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Stage IV</w:t>
            </w:r>
          </w:p>
        </w:tc>
        <w:tc>
          <w:tcPr>
            <w:tcW w:w="1416" w:type="dxa"/>
            <w:tcBorders>
              <w:top w:val="nil"/>
              <w:left w:val="nil"/>
              <w:bottom w:val="nil"/>
              <w:right w:val="nil"/>
            </w:tcBorders>
            <w:shd w:val="clear" w:color="auto" w:fill="FFFFFF"/>
            <w:noWrap/>
            <w:vAlign w:val="center"/>
          </w:tcPr>
          <w:p w14:paraId="3C431DB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124</w:t>
            </w:r>
          </w:p>
        </w:tc>
        <w:tc>
          <w:tcPr>
            <w:tcW w:w="1498" w:type="dxa"/>
            <w:gridSpan w:val="2"/>
            <w:tcBorders>
              <w:top w:val="nil"/>
              <w:left w:val="nil"/>
              <w:bottom w:val="nil"/>
              <w:right w:val="nil"/>
            </w:tcBorders>
            <w:shd w:val="clear" w:color="auto" w:fill="FFFFFF"/>
            <w:noWrap/>
            <w:vAlign w:val="center"/>
          </w:tcPr>
          <w:p w14:paraId="75D74BA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57.67%</w:t>
            </w:r>
          </w:p>
        </w:tc>
      </w:tr>
      <w:tr w:rsidR="006D1C3F" w14:paraId="5D28EF3D" w14:textId="77777777">
        <w:trPr>
          <w:trHeight w:val="277"/>
        </w:trPr>
        <w:tc>
          <w:tcPr>
            <w:tcW w:w="2410" w:type="dxa"/>
            <w:tcBorders>
              <w:top w:val="nil"/>
              <w:left w:val="nil"/>
              <w:bottom w:val="nil"/>
              <w:right w:val="nil"/>
            </w:tcBorders>
            <w:shd w:val="clear" w:color="auto" w:fill="FFFFFF"/>
            <w:noWrap/>
            <w:vAlign w:val="center"/>
          </w:tcPr>
          <w:p w14:paraId="1F3F1C70"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lastRenderedPageBreak/>
              <w:t>Duration of Lung Cancer Illness</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5332C3D0"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5D8ED535"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4B963981" w14:textId="77777777" w:rsidR="006D1C3F" w:rsidRDefault="006D1C3F">
            <w:pPr>
              <w:ind w:firstLine="360"/>
              <w:jc w:val="center"/>
              <w:rPr>
                <w:rFonts w:cstheme="minorBidi"/>
                <w:b w:val="0"/>
                <w:bCs w:val="0"/>
                <w:sz w:val="18"/>
                <w:szCs w:val="18"/>
              </w:rPr>
            </w:pPr>
          </w:p>
        </w:tc>
      </w:tr>
      <w:tr w:rsidR="006D1C3F" w14:paraId="294B323D" w14:textId="77777777">
        <w:trPr>
          <w:trHeight w:val="277"/>
        </w:trPr>
        <w:tc>
          <w:tcPr>
            <w:tcW w:w="2410" w:type="dxa"/>
            <w:tcBorders>
              <w:top w:val="nil"/>
              <w:left w:val="nil"/>
              <w:bottom w:val="nil"/>
              <w:right w:val="nil"/>
            </w:tcBorders>
            <w:shd w:val="clear" w:color="auto" w:fill="FFFFFF"/>
            <w:noWrap/>
            <w:vAlign w:val="center"/>
          </w:tcPr>
          <w:p w14:paraId="066EEE26"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68B2EC5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w:t>
            </w:r>
            <w:r>
              <w:rPr>
                <w:rFonts w:cstheme="minorBidi" w:hint="eastAsia"/>
                <w:b w:val="0"/>
                <w:bCs w:val="0"/>
                <w:sz w:val="18"/>
                <w:szCs w:val="18"/>
              </w:rPr>
              <w:t xml:space="preserve"> 12 months</w:t>
            </w:r>
          </w:p>
        </w:tc>
        <w:tc>
          <w:tcPr>
            <w:tcW w:w="1416" w:type="dxa"/>
            <w:tcBorders>
              <w:top w:val="nil"/>
              <w:left w:val="nil"/>
              <w:bottom w:val="nil"/>
              <w:right w:val="nil"/>
            </w:tcBorders>
            <w:shd w:val="clear" w:color="auto" w:fill="FFFFFF"/>
            <w:noWrap/>
            <w:vAlign w:val="center"/>
          </w:tcPr>
          <w:p w14:paraId="33228D5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67</w:t>
            </w:r>
          </w:p>
        </w:tc>
        <w:tc>
          <w:tcPr>
            <w:tcW w:w="1498" w:type="dxa"/>
            <w:gridSpan w:val="2"/>
            <w:tcBorders>
              <w:top w:val="nil"/>
              <w:left w:val="nil"/>
              <w:bottom w:val="nil"/>
              <w:right w:val="nil"/>
            </w:tcBorders>
            <w:shd w:val="clear" w:color="auto" w:fill="FFFFFF"/>
            <w:noWrap/>
            <w:vAlign w:val="center"/>
          </w:tcPr>
          <w:p w14:paraId="4F952F7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31.16%</w:t>
            </w:r>
          </w:p>
        </w:tc>
      </w:tr>
      <w:tr w:rsidR="006D1C3F" w14:paraId="5652F67B" w14:textId="77777777">
        <w:trPr>
          <w:trHeight w:val="277"/>
        </w:trPr>
        <w:tc>
          <w:tcPr>
            <w:tcW w:w="2410" w:type="dxa"/>
            <w:tcBorders>
              <w:top w:val="nil"/>
              <w:left w:val="nil"/>
              <w:bottom w:val="nil"/>
              <w:right w:val="nil"/>
            </w:tcBorders>
            <w:shd w:val="clear" w:color="auto" w:fill="FFFFFF"/>
            <w:noWrap/>
            <w:vAlign w:val="center"/>
          </w:tcPr>
          <w:p w14:paraId="44D31C9C"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71FD6D5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13 - 24 months</w:t>
            </w:r>
          </w:p>
        </w:tc>
        <w:tc>
          <w:tcPr>
            <w:tcW w:w="1416" w:type="dxa"/>
            <w:tcBorders>
              <w:top w:val="nil"/>
              <w:left w:val="nil"/>
              <w:bottom w:val="nil"/>
              <w:right w:val="nil"/>
            </w:tcBorders>
            <w:shd w:val="clear" w:color="auto" w:fill="FFFFFF"/>
            <w:noWrap/>
            <w:vAlign w:val="center"/>
          </w:tcPr>
          <w:p w14:paraId="2258157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60</w:t>
            </w:r>
          </w:p>
        </w:tc>
        <w:tc>
          <w:tcPr>
            <w:tcW w:w="1498" w:type="dxa"/>
            <w:gridSpan w:val="2"/>
            <w:tcBorders>
              <w:top w:val="nil"/>
              <w:left w:val="nil"/>
              <w:bottom w:val="nil"/>
              <w:right w:val="nil"/>
            </w:tcBorders>
            <w:shd w:val="clear" w:color="auto" w:fill="FFFFFF"/>
            <w:noWrap/>
            <w:vAlign w:val="center"/>
          </w:tcPr>
          <w:p w14:paraId="283D64D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27.91%</w:t>
            </w:r>
          </w:p>
        </w:tc>
      </w:tr>
      <w:tr w:rsidR="006D1C3F" w14:paraId="118C3492" w14:textId="77777777">
        <w:trPr>
          <w:trHeight w:val="277"/>
        </w:trPr>
        <w:tc>
          <w:tcPr>
            <w:tcW w:w="2410" w:type="dxa"/>
            <w:tcBorders>
              <w:top w:val="nil"/>
              <w:left w:val="nil"/>
              <w:bottom w:val="nil"/>
              <w:right w:val="nil"/>
            </w:tcBorders>
            <w:shd w:val="clear" w:color="auto" w:fill="FFFFFF"/>
            <w:noWrap/>
            <w:vAlign w:val="center"/>
          </w:tcPr>
          <w:p w14:paraId="47C6AD1E"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BEC28F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25 - 36 months</w:t>
            </w:r>
          </w:p>
        </w:tc>
        <w:tc>
          <w:tcPr>
            <w:tcW w:w="1416" w:type="dxa"/>
            <w:tcBorders>
              <w:top w:val="nil"/>
              <w:left w:val="nil"/>
              <w:bottom w:val="nil"/>
              <w:right w:val="nil"/>
            </w:tcBorders>
            <w:shd w:val="clear" w:color="auto" w:fill="FFFFFF"/>
            <w:noWrap/>
            <w:vAlign w:val="center"/>
          </w:tcPr>
          <w:p w14:paraId="1DECA07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24</w:t>
            </w:r>
          </w:p>
        </w:tc>
        <w:tc>
          <w:tcPr>
            <w:tcW w:w="1498" w:type="dxa"/>
            <w:gridSpan w:val="2"/>
            <w:tcBorders>
              <w:top w:val="nil"/>
              <w:left w:val="nil"/>
              <w:bottom w:val="nil"/>
              <w:right w:val="nil"/>
            </w:tcBorders>
            <w:shd w:val="clear" w:color="auto" w:fill="FFFFFF"/>
            <w:noWrap/>
            <w:vAlign w:val="center"/>
          </w:tcPr>
          <w:p w14:paraId="19D4BE1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11.16%</w:t>
            </w:r>
          </w:p>
        </w:tc>
      </w:tr>
      <w:tr w:rsidR="006D1C3F" w14:paraId="62CD7DF1" w14:textId="77777777">
        <w:trPr>
          <w:trHeight w:val="277"/>
        </w:trPr>
        <w:tc>
          <w:tcPr>
            <w:tcW w:w="2410" w:type="dxa"/>
            <w:tcBorders>
              <w:top w:val="nil"/>
              <w:left w:val="nil"/>
              <w:bottom w:val="nil"/>
              <w:right w:val="nil"/>
            </w:tcBorders>
            <w:shd w:val="clear" w:color="auto" w:fill="FFFFFF"/>
            <w:noWrap/>
            <w:vAlign w:val="center"/>
          </w:tcPr>
          <w:p w14:paraId="4AC986D3"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304638E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37 - 48 months</w:t>
            </w:r>
          </w:p>
        </w:tc>
        <w:tc>
          <w:tcPr>
            <w:tcW w:w="1416" w:type="dxa"/>
            <w:tcBorders>
              <w:top w:val="nil"/>
              <w:left w:val="nil"/>
              <w:bottom w:val="nil"/>
              <w:right w:val="nil"/>
            </w:tcBorders>
            <w:shd w:val="clear" w:color="auto" w:fill="FFFFFF"/>
            <w:noWrap/>
            <w:vAlign w:val="center"/>
          </w:tcPr>
          <w:p w14:paraId="1102A1A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w:t>
            </w:r>
          </w:p>
        </w:tc>
        <w:tc>
          <w:tcPr>
            <w:tcW w:w="1498" w:type="dxa"/>
            <w:gridSpan w:val="2"/>
            <w:tcBorders>
              <w:top w:val="nil"/>
              <w:left w:val="nil"/>
              <w:bottom w:val="nil"/>
              <w:right w:val="nil"/>
            </w:tcBorders>
            <w:shd w:val="clear" w:color="auto" w:fill="FFFFFF"/>
            <w:noWrap/>
            <w:vAlign w:val="center"/>
          </w:tcPr>
          <w:p w14:paraId="2CFF8CE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12.56%</w:t>
            </w:r>
          </w:p>
        </w:tc>
      </w:tr>
      <w:tr w:rsidR="006D1C3F" w14:paraId="09DE031B" w14:textId="77777777">
        <w:trPr>
          <w:trHeight w:val="277"/>
        </w:trPr>
        <w:tc>
          <w:tcPr>
            <w:tcW w:w="2410" w:type="dxa"/>
            <w:tcBorders>
              <w:top w:val="nil"/>
              <w:left w:val="nil"/>
              <w:bottom w:val="nil"/>
              <w:right w:val="nil"/>
            </w:tcBorders>
            <w:shd w:val="clear" w:color="auto" w:fill="FFFFFF"/>
            <w:noWrap/>
            <w:vAlign w:val="center"/>
          </w:tcPr>
          <w:p w14:paraId="00656258"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4C7A6AA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w:t>
            </w:r>
            <w:r>
              <w:rPr>
                <w:rFonts w:cstheme="minorBidi" w:hint="eastAsia"/>
                <w:b w:val="0"/>
                <w:bCs w:val="0"/>
                <w:sz w:val="18"/>
                <w:szCs w:val="18"/>
              </w:rPr>
              <w:t xml:space="preserve"> 49 months</w:t>
            </w:r>
          </w:p>
        </w:tc>
        <w:tc>
          <w:tcPr>
            <w:tcW w:w="1416" w:type="dxa"/>
            <w:tcBorders>
              <w:top w:val="nil"/>
              <w:left w:val="nil"/>
              <w:bottom w:val="nil"/>
              <w:right w:val="nil"/>
            </w:tcBorders>
            <w:shd w:val="clear" w:color="auto" w:fill="FFFFFF"/>
            <w:noWrap/>
            <w:vAlign w:val="center"/>
          </w:tcPr>
          <w:p w14:paraId="0F59D08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37</w:t>
            </w:r>
          </w:p>
        </w:tc>
        <w:tc>
          <w:tcPr>
            <w:tcW w:w="1498" w:type="dxa"/>
            <w:gridSpan w:val="2"/>
            <w:tcBorders>
              <w:top w:val="nil"/>
              <w:left w:val="nil"/>
              <w:bottom w:val="nil"/>
              <w:right w:val="nil"/>
            </w:tcBorders>
            <w:shd w:val="clear" w:color="auto" w:fill="FFFFFF"/>
            <w:noWrap/>
            <w:vAlign w:val="center"/>
          </w:tcPr>
          <w:p w14:paraId="03A2713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17.21%</w:t>
            </w:r>
          </w:p>
        </w:tc>
      </w:tr>
      <w:tr w:rsidR="006D1C3F" w14:paraId="3808A799" w14:textId="77777777">
        <w:trPr>
          <w:trHeight w:val="277"/>
        </w:trPr>
        <w:tc>
          <w:tcPr>
            <w:tcW w:w="2410" w:type="dxa"/>
            <w:tcBorders>
              <w:top w:val="nil"/>
              <w:left w:val="nil"/>
              <w:bottom w:val="nil"/>
              <w:right w:val="nil"/>
            </w:tcBorders>
            <w:shd w:val="clear" w:color="auto" w:fill="FFFFFF"/>
            <w:noWrap/>
            <w:vAlign w:val="center"/>
          </w:tcPr>
          <w:p w14:paraId="2529D829"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Severe Adverse Reactions</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51565CF5"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79390874"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1C064819" w14:textId="77777777" w:rsidR="006D1C3F" w:rsidRDefault="006D1C3F">
            <w:pPr>
              <w:ind w:firstLine="360"/>
              <w:jc w:val="center"/>
              <w:rPr>
                <w:rFonts w:cstheme="minorBidi"/>
                <w:b w:val="0"/>
                <w:bCs w:val="0"/>
                <w:sz w:val="18"/>
                <w:szCs w:val="18"/>
              </w:rPr>
            </w:pPr>
          </w:p>
        </w:tc>
      </w:tr>
      <w:tr w:rsidR="006D1C3F" w14:paraId="20878930" w14:textId="77777777">
        <w:trPr>
          <w:trHeight w:val="277"/>
        </w:trPr>
        <w:tc>
          <w:tcPr>
            <w:tcW w:w="2410" w:type="dxa"/>
            <w:tcBorders>
              <w:top w:val="nil"/>
              <w:left w:val="nil"/>
              <w:bottom w:val="nil"/>
              <w:right w:val="nil"/>
            </w:tcBorders>
            <w:shd w:val="clear" w:color="auto" w:fill="FFFFFF"/>
            <w:noWrap/>
            <w:vAlign w:val="center"/>
          </w:tcPr>
          <w:p w14:paraId="3F125B1E"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3E3E732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Yes</w:t>
            </w:r>
          </w:p>
        </w:tc>
        <w:tc>
          <w:tcPr>
            <w:tcW w:w="1416" w:type="dxa"/>
            <w:tcBorders>
              <w:top w:val="nil"/>
              <w:left w:val="nil"/>
              <w:bottom w:val="nil"/>
              <w:right w:val="nil"/>
            </w:tcBorders>
            <w:shd w:val="clear" w:color="auto" w:fill="FFFFFF"/>
            <w:noWrap/>
            <w:vAlign w:val="center"/>
          </w:tcPr>
          <w:p w14:paraId="7CD37BA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98</w:t>
            </w:r>
          </w:p>
        </w:tc>
        <w:tc>
          <w:tcPr>
            <w:tcW w:w="1498" w:type="dxa"/>
            <w:gridSpan w:val="2"/>
            <w:tcBorders>
              <w:top w:val="nil"/>
              <w:left w:val="nil"/>
              <w:bottom w:val="nil"/>
              <w:right w:val="nil"/>
            </w:tcBorders>
            <w:shd w:val="clear" w:color="auto" w:fill="FFFFFF"/>
            <w:noWrap/>
            <w:vAlign w:val="center"/>
          </w:tcPr>
          <w:p w14:paraId="583C68A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45.58%</w:t>
            </w:r>
          </w:p>
        </w:tc>
      </w:tr>
      <w:tr w:rsidR="006D1C3F" w14:paraId="6E152E76" w14:textId="77777777">
        <w:trPr>
          <w:trHeight w:val="277"/>
        </w:trPr>
        <w:tc>
          <w:tcPr>
            <w:tcW w:w="2410" w:type="dxa"/>
            <w:tcBorders>
              <w:top w:val="nil"/>
              <w:left w:val="nil"/>
              <w:bottom w:val="nil"/>
              <w:right w:val="nil"/>
            </w:tcBorders>
            <w:shd w:val="clear" w:color="auto" w:fill="FFFFFF"/>
            <w:noWrap/>
            <w:vAlign w:val="center"/>
          </w:tcPr>
          <w:p w14:paraId="0AA6CAF6"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3BC4EEA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No</w:t>
            </w:r>
          </w:p>
        </w:tc>
        <w:tc>
          <w:tcPr>
            <w:tcW w:w="1416" w:type="dxa"/>
            <w:tcBorders>
              <w:top w:val="nil"/>
              <w:left w:val="nil"/>
              <w:bottom w:val="nil"/>
              <w:right w:val="nil"/>
            </w:tcBorders>
            <w:shd w:val="clear" w:color="auto" w:fill="FFFFFF"/>
            <w:noWrap/>
            <w:vAlign w:val="center"/>
          </w:tcPr>
          <w:p w14:paraId="0D04216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117</w:t>
            </w:r>
          </w:p>
        </w:tc>
        <w:tc>
          <w:tcPr>
            <w:tcW w:w="1498" w:type="dxa"/>
            <w:gridSpan w:val="2"/>
            <w:tcBorders>
              <w:top w:val="nil"/>
              <w:left w:val="nil"/>
              <w:bottom w:val="nil"/>
              <w:right w:val="nil"/>
            </w:tcBorders>
            <w:shd w:val="clear" w:color="auto" w:fill="FFFFFF"/>
            <w:noWrap/>
            <w:vAlign w:val="center"/>
          </w:tcPr>
          <w:p w14:paraId="7281869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54.42%</w:t>
            </w:r>
          </w:p>
        </w:tc>
      </w:tr>
      <w:tr w:rsidR="006D1C3F" w14:paraId="75DFC9CA" w14:textId="77777777">
        <w:trPr>
          <w:trHeight w:val="277"/>
        </w:trPr>
        <w:tc>
          <w:tcPr>
            <w:tcW w:w="2410" w:type="dxa"/>
            <w:tcBorders>
              <w:top w:val="nil"/>
              <w:left w:val="nil"/>
              <w:bottom w:val="nil"/>
              <w:right w:val="nil"/>
            </w:tcBorders>
            <w:shd w:val="clear" w:color="auto" w:fill="FFFFFF"/>
            <w:noWrap/>
            <w:vAlign w:val="center"/>
          </w:tcPr>
          <w:p w14:paraId="3DA45C61"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Previous Medication History</w:t>
            </w:r>
          </w:p>
        </w:tc>
        <w:tc>
          <w:tcPr>
            <w:tcW w:w="3098" w:type="dxa"/>
            <w:tcBorders>
              <w:top w:val="nil"/>
              <w:left w:val="nil"/>
              <w:bottom w:val="nil"/>
              <w:right w:val="nil"/>
            </w:tcBorders>
            <w:shd w:val="clear" w:color="auto" w:fill="FFFFFF"/>
            <w:noWrap/>
            <w:vAlign w:val="center"/>
          </w:tcPr>
          <w:p w14:paraId="6578C449"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650F168F"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0EE15753" w14:textId="77777777" w:rsidR="006D1C3F" w:rsidRDefault="006D1C3F">
            <w:pPr>
              <w:ind w:firstLine="360"/>
              <w:jc w:val="center"/>
              <w:rPr>
                <w:rFonts w:cstheme="minorBidi"/>
                <w:b w:val="0"/>
                <w:bCs w:val="0"/>
                <w:sz w:val="18"/>
                <w:szCs w:val="18"/>
              </w:rPr>
            </w:pPr>
          </w:p>
        </w:tc>
      </w:tr>
      <w:tr w:rsidR="006D1C3F" w14:paraId="66BCED51" w14:textId="77777777">
        <w:trPr>
          <w:trHeight w:val="277"/>
        </w:trPr>
        <w:tc>
          <w:tcPr>
            <w:tcW w:w="2410" w:type="dxa"/>
            <w:tcBorders>
              <w:top w:val="nil"/>
              <w:left w:val="nil"/>
              <w:bottom w:val="nil"/>
              <w:right w:val="nil"/>
            </w:tcBorders>
            <w:shd w:val="clear" w:color="auto" w:fill="FFFFFF"/>
            <w:noWrap/>
            <w:vAlign w:val="center"/>
          </w:tcPr>
          <w:p w14:paraId="254D44E4"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058B81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Chemotherapy Drugs</w:t>
            </w:r>
          </w:p>
        </w:tc>
        <w:tc>
          <w:tcPr>
            <w:tcW w:w="1416" w:type="dxa"/>
            <w:tcBorders>
              <w:top w:val="nil"/>
              <w:left w:val="nil"/>
              <w:bottom w:val="nil"/>
              <w:right w:val="nil"/>
            </w:tcBorders>
            <w:shd w:val="clear" w:color="auto" w:fill="FFFFFF"/>
            <w:noWrap/>
            <w:vAlign w:val="center"/>
          </w:tcPr>
          <w:p w14:paraId="069A4AD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131</w:t>
            </w:r>
          </w:p>
        </w:tc>
        <w:tc>
          <w:tcPr>
            <w:tcW w:w="1498" w:type="dxa"/>
            <w:gridSpan w:val="2"/>
            <w:tcBorders>
              <w:top w:val="nil"/>
              <w:left w:val="nil"/>
              <w:bottom w:val="nil"/>
              <w:right w:val="nil"/>
            </w:tcBorders>
            <w:shd w:val="clear" w:color="auto" w:fill="FFFFFF"/>
            <w:noWrap/>
            <w:vAlign w:val="center"/>
          </w:tcPr>
          <w:p w14:paraId="68357B0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60.93%</w:t>
            </w:r>
          </w:p>
        </w:tc>
      </w:tr>
      <w:tr w:rsidR="006D1C3F" w14:paraId="23BFD55E" w14:textId="77777777">
        <w:trPr>
          <w:trHeight w:val="277"/>
        </w:trPr>
        <w:tc>
          <w:tcPr>
            <w:tcW w:w="2410" w:type="dxa"/>
            <w:tcBorders>
              <w:top w:val="nil"/>
              <w:left w:val="nil"/>
              <w:bottom w:val="nil"/>
              <w:right w:val="nil"/>
            </w:tcBorders>
            <w:shd w:val="clear" w:color="auto" w:fill="FFFFFF"/>
            <w:noWrap/>
            <w:vAlign w:val="center"/>
          </w:tcPr>
          <w:p w14:paraId="78E92459"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324681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Targeted Therapy Drugs</w:t>
            </w:r>
          </w:p>
        </w:tc>
        <w:tc>
          <w:tcPr>
            <w:tcW w:w="1416" w:type="dxa"/>
            <w:tcBorders>
              <w:top w:val="nil"/>
              <w:left w:val="nil"/>
              <w:bottom w:val="nil"/>
              <w:right w:val="nil"/>
            </w:tcBorders>
            <w:shd w:val="clear" w:color="auto" w:fill="FFFFFF"/>
            <w:noWrap/>
            <w:vAlign w:val="center"/>
          </w:tcPr>
          <w:p w14:paraId="46B8FFD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159</w:t>
            </w:r>
          </w:p>
        </w:tc>
        <w:tc>
          <w:tcPr>
            <w:tcW w:w="1498" w:type="dxa"/>
            <w:gridSpan w:val="2"/>
            <w:tcBorders>
              <w:top w:val="nil"/>
              <w:left w:val="nil"/>
              <w:bottom w:val="nil"/>
              <w:right w:val="nil"/>
            </w:tcBorders>
            <w:shd w:val="clear" w:color="auto" w:fill="FFFFFF"/>
            <w:noWrap/>
            <w:vAlign w:val="center"/>
          </w:tcPr>
          <w:p w14:paraId="423C70C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73.95%</w:t>
            </w:r>
          </w:p>
        </w:tc>
      </w:tr>
      <w:tr w:rsidR="006D1C3F" w14:paraId="549C171A" w14:textId="77777777">
        <w:trPr>
          <w:trHeight w:val="277"/>
        </w:trPr>
        <w:tc>
          <w:tcPr>
            <w:tcW w:w="2410" w:type="dxa"/>
            <w:tcBorders>
              <w:top w:val="nil"/>
              <w:left w:val="nil"/>
              <w:bottom w:val="nil"/>
              <w:right w:val="nil"/>
            </w:tcBorders>
            <w:shd w:val="clear" w:color="auto" w:fill="FFFFFF"/>
            <w:noWrap/>
            <w:vAlign w:val="center"/>
          </w:tcPr>
          <w:p w14:paraId="116944C7"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E8040A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Immunotherapy Drugs</w:t>
            </w:r>
          </w:p>
        </w:tc>
        <w:tc>
          <w:tcPr>
            <w:tcW w:w="1416" w:type="dxa"/>
            <w:tcBorders>
              <w:top w:val="nil"/>
              <w:left w:val="nil"/>
              <w:bottom w:val="nil"/>
              <w:right w:val="nil"/>
            </w:tcBorders>
            <w:shd w:val="clear" w:color="auto" w:fill="FFFFFF"/>
            <w:noWrap/>
            <w:vAlign w:val="center"/>
          </w:tcPr>
          <w:p w14:paraId="693D805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72</w:t>
            </w:r>
          </w:p>
        </w:tc>
        <w:tc>
          <w:tcPr>
            <w:tcW w:w="1498" w:type="dxa"/>
            <w:gridSpan w:val="2"/>
            <w:tcBorders>
              <w:top w:val="nil"/>
              <w:left w:val="nil"/>
              <w:bottom w:val="nil"/>
              <w:right w:val="nil"/>
            </w:tcBorders>
            <w:shd w:val="clear" w:color="auto" w:fill="FFFFFF"/>
            <w:noWrap/>
            <w:vAlign w:val="center"/>
          </w:tcPr>
          <w:p w14:paraId="7771677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33.49%</w:t>
            </w:r>
          </w:p>
        </w:tc>
      </w:tr>
      <w:tr w:rsidR="006D1C3F" w14:paraId="72BF5F04" w14:textId="77777777">
        <w:trPr>
          <w:trHeight w:val="277"/>
        </w:trPr>
        <w:tc>
          <w:tcPr>
            <w:tcW w:w="2410" w:type="dxa"/>
            <w:tcBorders>
              <w:top w:val="nil"/>
              <w:left w:val="nil"/>
              <w:bottom w:val="nil"/>
              <w:right w:val="nil"/>
            </w:tcBorders>
            <w:shd w:val="clear" w:color="auto" w:fill="FFFFFF"/>
            <w:noWrap/>
            <w:vAlign w:val="center"/>
          </w:tcPr>
          <w:p w14:paraId="032F217B"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Number of Previous Medication Types</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422427C7"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0016CAB3"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056AF180" w14:textId="77777777" w:rsidR="006D1C3F" w:rsidRDefault="006D1C3F">
            <w:pPr>
              <w:ind w:firstLine="360"/>
              <w:jc w:val="center"/>
              <w:rPr>
                <w:rFonts w:cstheme="minorBidi"/>
                <w:b w:val="0"/>
                <w:bCs w:val="0"/>
                <w:sz w:val="18"/>
                <w:szCs w:val="18"/>
              </w:rPr>
            </w:pPr>
          </w:p>
        </w:tc>
      </w:tr>
      <w:tr w:rsidR="006D1C3F" w14:paraId="36B27EBC" w14:textId="77777777">
        <w:trPr>
          <w:trHeight w:val="277"/>
        </w:trPr>
        <w:tc>
          <w:tcPr>
            <w:tcW w:w="2410" w:type="dxa"/>
            <w:tcBorders>
              <w:top w:val="nil"/>
              <w:left w:val="nil"/>
              <w:bottom w:val="nil"/>
              <w:right w:val="nil"/>
            </w:tcBorders>
            <w:shd w:val="clear" w:color="auto" w:fill="FFFFFF"/>
            <w:noWrap/>
            <w:vAlign w:val="center"/>
          </w:tcPr>
          <w:p w14:paraId="32AD07B2"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330D070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 type</w:t>
            </w:r>
          </w:p>
        </w:tc>
        <w:tc>
          <w:tcPr>
            <w:tcW w:w="1416" w:type="dxa"/>
            <w:tcBorders>
              <w:top w:val="nil"/>
              <w:left w:val="nil"/>
              <w:bottom w:val="nil"/>
              <w:right w:val="nil"/>
            </w:tcBorders>
            <w:shd w:val="clear" w:color="auto" w:fill="FFFFFF"/>
            <w:noWrap/>
            <w:vAlign w:val="center"/>
          </w:tcPr>
          <w:p w14:paraId="15D2E5A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81</w:t>
            </w:r>
          </w:p>
        </w:tc>
        <w:tc>
          <w:tcPr>
            <w:tcW w:w="1498" w:type="dxa"/>
            <w:gridSpan w:val="2"/>
            <w:tcBorders>
              <w:top w:val="nil"/>
              <w:left w:val="nil"/>
              <w:bottom w:val="nil"/>
              <w:right w:val="nil"/>
            </w:tcBorders>
            <w:shd w:val="clear" w:color="auto" w:fill="FFFFFF"/>
            <w:noWrap/>
            <w:vAlign w:val="center"/>
          </w:tcPr>
          <w:p w14:paraId="56C09F7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37.67%</w:t>
            </w:r>
          </w:p>
        </w:tc>
      </w:tr>
      <w:tr w:rsidR="006D1C3F" w14:paraId="4E9FC6A3" w14:textId="77777777">
        <w:trPr>
          <w:trHeight w:val="277"/>
        </w:trPr>
        <w:tc>
          <w:tcPr>
            <w:tcW w:w="2410" w:type="dxa"/>
            <w:tcBorders>
              <w:top w:val="nil"/>
              <w:left w:val="nil"/>
              <w:bottom w:val="nil"/>
              <w:right w:val="nil"/>
            </w:tcBorders>
            <w:shd w:val="clear" w:color="auto" w:fill="FFFFFF"/>
            <w:noWrap/>
            <w:vAlign w:val="center"/>
          </w:tcPr>
          <w:p w14:paraId="78B4B85A"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48114E8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 xml:space="preserve">2 </w:t>
            </w:r>
            <w:proofErr w:type="gramStart"/>
            <w:r>
              <w:rPr>
                <w:rFonts w:cstheme="minorBidi" w:hint="eastAsia"/>
                <w:b w:val="0"/>
                <w:bCs w:val="0"/>
                <w:sz w:val="18"/>
                <w:szCs w:val="18"/>
              </w:rPr>
              <w:t>type</w:t>
            </w:r>
            <w:proofErr w:type="gramEnd"/>
          </w:p>
        </w:tc>
        <w:tc>
          <w:tcPr>
            <w:tcW w:w="1416" w:type="dxa"/>
            <w:tcBorders>
              <w:top w:val="nil"/>
              <w:left w:val="nil"/>
              <w:bottom w:val="nil"/>
              <w:right w:val="nil"/>
            </w:tcBorders>
            <w:shd w:val="clear" w:color="auto" w:fill="FFFFFF"/>
            <w:noWrap/>
            <w:vAlign w:val="center"/>
          </w:tcPr>
          <w:p w14:paraId="5AFE785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67</w:t>
            </w:r>
          </w:p>
        </w:tc>
        <w:tc>
          <w:tcPr>
            <w:tcW w:w="1498" w:type="dxa"/>
            <w:gridSpan w:val="2"/>
            <w:tcBorders>
              <w:top w:val="nil"/>
              <w:left w:val="nil"/>
              <w:bottom w:val="nil"/>
              <w:right w:val="nil"/>
            </w:tcBorders>
            <w:shd w:val="clear" w:color="auto" w:fill="FFFFFF"/>
            <w:noWrap/>
            <w:vAlign w:val="center"/>
          </w:tcPr>
          <w:p w14:paraId="6F5C9A7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31.16%</w:t>
            </w:r>
          </w:p>
        </w:tc>
      </w:tr>
      <w:tr w:rsidR="006D1C3F" w14:paraId="4473FD58" w14:textId="77777777">
        <w:trPr>
          <w:trHeight w:val="277"/>
        </w:trPr>
        <w:tc>
          <w:tcPr>
            <w:tcW w:w="2410" w:type="dxa"/>
            <w:tcBorders>
              <w:top w:val="nil"/>
              <w:left w:val="nil"/>
              <w:bottom w:val="nil"/>
              <w:right w:val="nil"/>
            </w:tcBorders>
            <w:shd w:val="clear" w:color="auto" w:fill="FFFFFF"/>
            <w:noWrap/>
            <w:vAlign w:val="center"/>
          </w:tcPr>
          <w:p w14:paraId="62944696"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6D64CD7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 xml:space="preserve">3 </w:t>
            </w:r>
            <w:proofErr w:type="gramStart"/>
            <w:r>
              <w:rPr>
                <w:rFonts w:cstheme="minorBidi" w:hint="eastAsia"/>
                <w:b w:val="0"/>
                <w:bCs w:val="0"/>
                <w:sz w:val="18"/>
                <w:szCs w:val="18"/>
              </w:rPr>
              <w:t>type</w:t>
            </w:r>
            <w:proofErr w:type="gramEnd"/>
          </w:p>
        </w:tc>
        <w:tc>
          <w:tcPr>
            <w:tcW w:w="1416" w:type="dxa"/>
            <w:tcBorders>
              <w:top w:val="nil"/>
              <w:left w:val="nil"/>
              <w:bottom w:val="nil"/>
              <w:right w:val="nil"/>
            </w:tcBorders>
            <w:shd w:val="clear" w:color="auto" w:fill="FFFFFF"/>
            <w:noWrap/>
            <w:vAlign w:val="center"/>
          </w:tcPr>
          <w:p w14:paraId="4F2C554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38</w:t>
            </w:r>
          </w:p>
        </w:tc>
        <w:tc>
          <w:tcPr>
            <w:tcW w:w="1498" w:type="dxa"/>
            <w:gridSpan w:val="2"/>
            <w:tcBorders>
              <w:top w:val="nil"/>
              <w:left w:val="nil"/>
              <w:bottom w:val="nil"/>
              <w:right w:val="nil"/>
            </w:tcBorders>
            <w:shd w:val="clear" w:color="auto" w:fill="FFFFFF"/>
            <w:noWrap/>
            <w:vAlign w:val="center"/>
          </w:tcPr>
          <w:p w14:paraId="72D0846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17.67%</w:t>
            </w:r>
          </w:p>
        </w:tc>
      </w:tr>
      <w:tr w:rsidR="006D1C3F" w14:paraId="4F58C298" w14:textId="77777777">
        <w:trPr>
          <w:trHeight w:val="277"/>
        </w:trPr>
        <w:tc>
          <w:tcPr>
            <w:tcW w:w="2410" w:type="dxa"/>
            <w:tcBorders>
              <w:top w:val="nil"/>
              <w:left w:val="nil"/>
              <w:bottom w:val="nil"/>
              <w:right w:val="nil"/>
            </w:tcBorders>
            <w:shd w:val="clear" w:color="auto" w:fill="FFFFFF"/>
            <w:noWrap/>
            <w:vAlign w:val="center"/>
          </w:tcPr>
          <w:p w14:paraId="30CAED1D"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73F74AB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w:t>
            </w:r>
            <w:r>
              <w:rPr>
                <w:rFonts w:cstheme="minorBidi" w:hint="eastAsia"/>
                <w:b w:val="0"/>
                <w:bCs w:val="0"/>
                <w:sz w:val="18"/>
                <w:szCs w:val="18"/>
              </w:rPr>
              <w:t xml:space="preserve"> 4 types</w:t>
            </w:r>
          </w:p>
        </w:tc>
        <w:tc>
          <w:tcPr>
            <w:tcW w:w="1416" w:type="dxa"/>
            <w:tcBorders>
              <w:top w:val="nil"/>
              <w:left w:val="nil"/>
              <w:bottom w:val="nil"/>
              <w:right w:val="nil"/>
            </w:tcBorders>
            <w:shd w:val="clear" w:color="auto" w:fill="FFFFFF"/>
            <w:noWrap/>
            <w:vAlign w:val="center"/>
          </w:tcPr>
          <w:p w14:paraId="70F994B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29</w:t>
            </w:r>
          </w:p>
        </w:tc>
        <w:tc>
          <w:tcPr>
            <w:tcW w:w="1498" w:type="dxa"/>
            <w:gridSpan w:val="2"/>
            <w:tcBorders>
              <w:top w:val="nil"/>
              <w:left w:val="nil"/>
              <w:bottom w:val="nil"/>
              <w:right w:val="nil"/>
            </w:tcBorders>
            <w:shd w:val="clear" w:color="auto" w:fill="FFFFFF"/>
            <w:noWrap/>
            <w:vAlign w:val="center"/>
          </w:tcPr>
          <w:p w14:paraId="31CAE24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13.49%</w:t>
            </w:r>
          </w:p>
        </w:tc>
      </w:tr>
      <w:tr w:rsidR="006D1C3F" w14:paraId="40C11AAE" w14:textId="77777777">
        <w:trPr>
          <w:trHeight w:val="277"/>
        </w:trPr>
        <w:tc>
          <w:tcPr>
            <w:tcW w:w="2410" w:type="dxa"/>
            <w:tcBorders>
              <w:top w:val="nil"/>
              <w:left w:val="nil"/>
              <w:bottom w:val="nil"/>
              <w:right w:val="nil"/>
            </w:tcBorders>
            <w:shd w:val="clear" w:color="auto" w:fill="FFFFFF"/>
            <w:noWrap/>
            <w:vAlign w:val="center"/>
          </w:tcPr>
          <w:p w14:paraId="1B2E2F84"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Treatment Regimen</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55E19CD0"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4B49CACD"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68F6023F" w14:textId="77777777" w:rsidR="006D1C3F" w:rsidRDefault="006D1C3F">
            <w:pPr>
              <w:ind w:firstLine="360"/>
              <w:jc w:val="center"/>
              <w:rPr>
                <w:rFonts w:cstheme="minorBidi"/>
                <w:b w:val="0"/>
                <w:bCs w:val="0"/>
                <w:sz w:val="18"/>
                <w:szCs w:val="18"/>
              </w:rPr>
            </w:pPr>
          </w:p>
        </w:tc>
      </w:tr>
      <w:tr w:rsidR="006D1C3F" w14:paraId="5CFC80C9" w14:textId="77777777">
        <w:trPr>
          <w:trHeight w:val="277"/>
        </w:trPr>
        <w:tc>
          <w:tcPr>
            <w:tcW w:w="2410" w:type="dxa"/>
            <w:tcBorders>
              <w:top w:val="nil"/>
              <w:left w:val="nil"/>
              <w:bottom w:val="nil"/>
              <w:right w:val="nil"/>
            </w:tcBorders>
            <w:shd w:val="clear" w:color="auto" w:fill="FFFFFF"/>
            <w:noWrap/>
            <w:vAlign w:val="center"/>
          </w:tcPr>
          <w:p w14:paraId="4B295F59"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D3BC6E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Oral</w:t>
            </w:r>
          </w:p>
        </w:tc>
        <w:tc>
          <w:tcPr>
            <w:tcW w:w="1416" w:type="dxa"/>
            <w:tcBorders>
              <w:top w:val="nil"/>
              <w:left w:val="nil"/>
              <w:bottom w:val="nil"/>
              <w:right w:val="nil"/>
            </w:tcBorders>
            <w:shd w:val="clear" w:color="auto" w:fill="FFFFFF"/>
            <w:noWrap/>
            <w:vAlign w:val="center"/>
          </w:tcPr>
          <w:p w14:paraId="49496EA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169</w:t>
            </w:r>
          </w:p>
        </w:tc>
        <w:tc>
          <w:tcPr>
            <w:tcW w:w="1498" w:type="dxa"/>
            <w:gridSpan w:val="2"/>
            <w:tcBorders>
              <w:top w:val="nil"/>
              <w:left w:val="nil"/>
              <w:bottom w:val="nil"/>
              <w:right w:val="nil"/>
            </w:tcBorders>
            <w:shd w:val="clear" w:color="auto" w:fill="FFFFFF"/>
            <w:noWrap/>
            <w:vAlign w:val="center"/>
          </w:tcPr>
          <w:p w14:paraId="21267FA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78.60%</w:t>
            </w:r>
          </w:p>
        </w:tc>
      </w:tr>
      <w:tr w:rsidR="006D1C3F" w14:paraId="457FA7ED" w14:textId="77777777">
        <w:trPr>
          <w:trHeight w:val="277"/>
        </w:trPr>
        <w:tc>
          <w:tcPr>
            <w:tcW w:w="2410" w:type="dxa"/>
            <w:tcBorders>
              <w:top w:val="nil"/>
              <w:left w:val="nil"/>
              <w:bottom w:val="nil"/>
              <w:right w:val="nil"/>
            </w:tcBorders>
            <w:shd w:val="clear" w:color="auto" w:fill="FFFFFF"/>
            <w:noWrap/>
            <w:vAlign w:val="center"/>
          </w:tcPr>
          <w:p w14:paraId="5DE58BAA"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4A2BE12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Subcutaneous Injection</w:t>
            </w:r>
          </w:p>
        </w:tc>
        <w:tc>
          <w:tcPr>
            <w:tcW w:w="1416" w:type="dxa"/>
            <w:tcBorders>
              <w:top w:val="nil"/>
              <w:left w:val="nil"/>
              <w:bottom w:val="nil"/>
              <w:right w:val="nil"/>
            </w:tcBorders>
            <w:shd w:val="clear" w:color="auto" w:fill="FFFFFF"/>
            <w:noWrap/>
            <w:vAlign w:val="center"/>
          </w:tcPr>
          <w:p w14:paraId="1068B02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w:t>
            </w:r>
          </w:p>
        </w:tc>
        <w:tc>
          <w:tcPr>
            <w:tcW w:w="1498" w:type="dxa"/>
            <w:gridSpan w:val="2"/>
            <w:tcBorders>
              <w:top w:val="nil"/>
              <w:left w:val="nil"/>
              <w:bottom w:val="nil"/>
              <w:right w:val="nil"/>
            </w:tcBorders>
            <w:shd w:val="clear" w:color="auto" w:fill="FFFFFF"/>
            <w:noWrap/>
            <w:vAlign w:val="center"/>
          </w:tcPr>
          <w:p w14:paraId="1B3B1AC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12.56%</w:t>
            </w:r>
          </w:p>
        </w:tc>
      </w:tr>
      <w:tr w:rsidR="006D1C3F" w14:paraId="41E2736D" w14:textId="77777777">
        <w:trPr>
          <w:trHeight w:val="277"/>
        </w:trPr>
        <w:tc>
          <w:tcPr>
            <w:tcW w:w="2410" w:type="dxa"/>
            <w:tcBorders>
              <w:top w:val="nil"/>
              <w:left w:val="nil"/>
              <w:bottom w:val="nil"/>
              <w:right w:val="nil"/>
            </w:tcBorders>
            <w:shd w:val="clear" w:color="auto" w:fill="FFFFFF"/>
            <w:noWrap/>
            <w:vAlign w:val="center"/>
          </w:tcPr>
          <w:p w14:paraId="4D5A0231"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112FC8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Intravenous Injection</w:t>
            </w:r>
          </w:p>
        </w:tc>
        <w:tc>
          <w:tcPr>
            <w:tcW w:w="1416" w:type="dxa"/>
            <w:tcBorders>
              <w:top w:val="nil"/>
              <w:left w:val="nil"/>
              <w:bottom w:val="nil"/>
              <w:right w:val="nil"/>
            </w:tcBorders>
            <w:shd w:val="clear" w:color="auto" w:fill="FFFFFF"/>
            <w:noWrap/>
            <w:vAlign w:val="center"/>
          </w:tcPr>
          <w:p w14:paraId="206D872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125</w:t>
            </w:r>
          </w:p>
        </w:tc>
        <w:tc>
          <w:tcPr>
            <w:tcW w:w="1498" w:type="dxa"/>
            <w:gridSpan w:val="2"/>
            <w:tcBorders>
              <w:top w:val="nil"/>
              <w:left w:val="nil"/>
              <w:bottom w:val="nil"/>
              <w:right w:val="nil"/>
            </w:tcBorders>
            <w:shd w:val="clear" w:color="auto" w:fill="FFFFFF"/>
            <w:noWrap/>
            <w:vAlign w:val="center"/>
          </w:tcPr>
          <w:p w14:paraId="24E6B60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58.14%</w:t>
            </w:r>
          </w:p>
        </w:tc>
      </w:tr>
      <w:tr w:rsidR="006D1C3F" w14:paraId="536D5D89" w14:textId="77777777">
        <w:trPr>
          <w:trHeight w:val="277"/>
        </w:trPr>
        <w:tc>
          <w:tcPr>
            <w:tcW w:w="2410" w:type="dxa"/>
            <w:tcBorders>
              <w:top w:val="nil"/>
              <w:left w:val="nil"/>
              <w:bottom w:val="nil"/>
              <w:right w:val="nil"/>
            </w:tcBorders>
            <w:shd w:val="clear" w:color="auto" w:fill="FFFFFF"/>
            <w:noWrap/>
            <w:vAlign w:val="center"/>
          </w:tcPr>
          <w:p w14:paraId="2772F59D"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t>Hospital Level for Prescription</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004559C9"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7F922E03"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25FC1990" w14:textId="77777777" w:rsidR="006D1C3F" w:rsidRDefault="006D1C3F">
            <w:pPr>
              <w:ind w:firstLine="360"/>
              <w:jc w:val="center"/>
              <w:rPr>
                <w:rFonts w:cstheme="minorBidi"/>
                <w:b w:val="0"/>
                <w:bCs w:val="0"/>
                <w:sz w:val="18"/>
                <w:szCs w:val="18"/>
              </w:rPr>
            </w:pPr>
          </w:p>
        </w:tc>
      </w:tr>
      <w:tr w:rsidR="006D1C3F" w14:paraId="1909D128" w14:textId="77777777">
        <w:trPr>
          <w:trHeight w:val="277"/>
        </w:trPr>
        <w:tc>
          <w:tcPr>
            <w:tcW w:w="2410" w:type="dxa"/>
            <w:tcBorders>
              <w:top w:val="nil"/>
              <w:left w:val="nil"/>
              <w:bottom w:val="nil"/>
              <w:right w:val="nil"/>
            </w:tcBorders>
            <w:shd w:val="clear" w:color="auto" w:fill="FFFFFF"/>
            <w:noWrap/>
            <w:vAlign w:val="center"/>
          </w:tcPr>
          <w:p w14:paraId="25AA41C3"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FA9AC6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Primary Hospital</w:t>
            </w:r>
          </w:p>
        </w:tc>
        <w:tc>
          <w:tcPr>
            <w:tcW w:w="1416" w:type="dxa"/>
            <w:tcBorders>
              <w:top w:val="nil"/>
              <w:left w:val="nil"/>
              <w:bottom w:val="nil"/>
              <w:right w:val="nil"/>
            </w:tcBorders>
            <w:shd w:val="clear" w:color="auto" w:fill="FFFFFF"/>
            <w:noWrap/>
            <w:vAlign w:val="center"/>
          </w:tcPr>
          <w:p w14:paraId="7B46FD9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18</w:t>
            </w:r>
          </w:p>
        </w:tc>
        <w:tc>
          <w:tcPr>
            <w:tcW w:w="1498" w:type="dxa"/>
            <w:gridSpan w:val="2"/>
            <w:tcBorders>
              <w:top w:val="nil"/>
              <w:left w:val="nil"/>
              <w:bottom w:val="nil"/>
              <w:right w:val="nil"/>
            </w:tcBorders>
            <w:shd w:val="clear" w:color="auto" w:fill="FFFFFF"/>
            <w:noWrap/>
            <w:vAlign w:val="center"/>
          </w:tcPr>
          <w:p w14:paraId="6D7ABF4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8.37%</w:t>
            </w:r>
          </w:p>
        </w:tc>
      </w:tr>
      <w:tr w:rsidR="006D1C3F" w14:paraId="388AAC07" w14:textId="77777777">
        <w:trPr>
          <w:trHeight w:val="277"/>
        </w:trPr>
        <w:tc>
          <w:tcPr>
            <w:tcW w:w="2410" w:type="dxa"/>
            <w:tcBorders>
              <w:top w:val="nil"/>
              <w:left w:val="nil"/>
              <w:bottom w:val="nil"/>
              <w:right w:val="nil"/>
            </w:tcBorders>
            <w:shd w:val="clear" w:color="auto" w:fill="FFFFFF"/>
            <w:noWrap/>
            <w:vAlign w:val="center"/>
          </w:tcPr>
          <w:p w14:paraId="28A99977"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0D712AF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Secondary Hospital</w:t>
            </w:r>
          </w:p>
        </w:tc>
        <w:tc>
          <w:tcPr>
            <w:tcW w:w="1416" w:type="dxa"/>
            <w:tcBorders>
              <w:top w:val="nil"/>
              <w:left w:val="nil"/>
              <w:bottom w:val="nil"/>
              <w:right w:val="nil"/>
            </w:tcBorders>
            <w:shd w:val="clear" w:color="auto" w:fill="FFFFFF"/>
            <w:noWrap/>
            <w:vAlign w:val="center"/>
          </w:tcPr>
          <w:p w14:paraId="498A438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20</w:t>
            </w:r>
          </w:p>
        </w:tc>
        <w:tc>
          <w:tcPr>
            <w:tcW w:w="1498" w:type="dxa"/>
            <w:gridSpan w:val="2"/>
            <w:tcBorders>
              <w:top w:val="nil"/>
              <w:left w:val="nil"/>
              <w:bottom w:val="nil"/>
              <w:right w:val="nil"/>
            </w:tcBorders>
            <w:shd w:val="clear" w:color="auto" w:fill="FFFFFF"/>
            <w:noWrap/>
            <w:vAlign w:val="center"/>
          </w:tcPr>
          <w:p w14:paraId="584DB7A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9.30%</w:t>
            </w:r>
          </w:p>
        </w:tc>
      </w:tr>
      <w:tr w:rsidR="006D1C3F" w14:paraId="6A670D78" w14:textId="77777777">
        <w:trPr>
          <w:trHeight w:val="277"/>
        </w:trPr>
        <w:tc>
          <w:tcPr>
            <w:tcW w:w="2410" w:type="dxa"/>
            <w:tcBorders>
              <w:top w:val="nil"/>
              <w:left w:val="nil"/>
              <w:bottom w:val="nil"/>
              <w:right w:val="nil"/>
            </w:tcBorders>
            <w:shd w:val="clear" w:color="auto" w:fill="FFFFFF"/>
            <w:noWrap/>
            <w:vAlign w:val="center"/>
          </w:tcPr>
          <w:p w14:paraId="3AF64AC8"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59FA40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Tertiary Hospital</w:t>
            </w:r>
          </w:p>
        </w:tc>
        <w:tc>
          <w:tcPr>
            <w:tcW w:w="1416" w:type="dxa"/>
            <w:tcBorders>
              <w:top w:val="nil"/>
              <w:left w:val="nil"/>
              <w:bottom w:val="nil"/>
              <w:right w:val="nil"/>
            </w:tcBorders>
            <w:shd w:val="clear" w:color="auto" w:fill="FFFFFF"/>
            <w:noWrap/>
            <w:vAlign w:val="center"/>
          </w:tcPr>
          <w:p w14:paraId="2863DA4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177</w:t>
            </w:r>
          </w:p>
        </w:tc>
        <w:tc>
          <w:tcPr>
            <w:tcW w:w="1498" w:type="dxa"/>
            <w:gridSpan w:val="2"/>
            <w:tcBorders>
              <w:top w:val="nil"/>
              <w:left w:val="nil"/>
              <w:bottom w:val="nil"/>
              <w:right w:val="nil"/>
            </w:tcBorders>
            <w:shd w:val="clear" w:color="auto" w:fill="FFFFFF"/>
            <w:noWrap/>
            <w:vAlign w:val="center"/>
          </w:tcPr>
          <w:p w14:paraId="19B907A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82.33%</w:t>
            </w:r>
          </w:p>
        </w:tc>
      </w:tr>
      <w:tr w:rsidR="006D1C3F" w14:paraId="7917F4C5" w14:textId="77777777">
        <w:trPr>
          <w:trHeight w:val="277"/>
        </w:trPr>
        <w:tc>
          <w:tcPr>
            <w:tcW w:w="2410" w:type="dxa"/>
            <w:tcBorders>
              <w:top w:val="nil"/>
              <w:left w:val="nil"/>
              <w:bottom w:val="nil"/>
              <w:right w:val="nil"/>
            </w:tcBorders>
            <w:shd w:val="clear" w:color="auto" w:fill="FFFFFF"/>
            <w:noWrap/>
            <w:vAlign w:val="center"/>
          </w:tcPr>
          <w:p w14:paraId="0E7CAE35" w14:textId="77777777" w:rsidR="006D1C3F" w:rsidRDefault="00000000">
            <w:pPr>
              <w:ind w:firstLineChars="0" w:firstLine="0"/>
              <w:jc w:val="left"/>
              <w:rPr>
                <w:rFonts w:cstheme="minorBidi"/>
                <w:b w:val="0"/>
                <w:bCs w:val="0"/>
                <w:sz w:val="18"/>
                <w:szCs w:val="18"/>
              </w:rPr>
            </w:pPr>
            <w:r>
              <w:rPr>
                <w:rFonts w:cstheme="minorBidi" w:hint="eastAsia"/>
                <w:b w:val="0"/>
                <w:bCs w:val="0"/>
                <w:sz w:val="18"/>
                <w:szCs w:val="18"/>
              </w:rPr>
              <w:lastRenderedPageBreak/>
              <w:t>Outlook on Future Life</w:t>
            </w:r>
            <w:r>
              <w:rPr>
                <w:rFonts w:cstheme="minorBidi" w:hint="eastAsia"/>
                <w:b w:val="0"/>
                <w:bCs w:val="0"/>
                <w:sz w:val="18"/>
                <w:szCs w:val="18"/>
              </w:rPr>
              <w:t>​</w:t>
            </w:r>
          </w:p>
        </w:tc>
        <w:tc>
          <w:tcPr>
            <w:tcW w:w="3098" w:type="dxa"/>
            <w:tcBorders>
              <w:top w:val="nil"/>
              <w:left w:val="nil"/>
              <w:bottom w:val="nil"/>
              <w:right w:val="nil"/>
            </w:tcBorders>
            <w:shd w:val="clear" w:color="auto" w:fill="FFFFFF"/>
            <w:noWrap/>
            <w:vAlign w:val="center"/>
          </w:tcPr>
          <w:p w14:paraId="6033D329" w14:textId="77777777" w:rsidR="006D1C3F" w:rsidRDefault="006D1C3F">
            <w:pPr>
              <w:ind w:firstLine="360"/>
              <w:jc w:val="center"/>
              <w:rPr>
                <w:rFonts w:cstheme="minorBidi"/>
                <w:b w:val="0"/>
                <w:bCs w:val="0"/>
                <w:sz w:val="18"/>
                <w:szCs w:val="18"/>
              </w:rPr>
            </w:pPr>
          </w:p>
        </w:tc>
        <w:tc>
          <w:tcPr>
            <w:tcW w:w="1416" w:type="dxa"/>
            <w:tcBorders>
              <w:top w:val="nil"/>
              <w:left w:val="nil"/>
              <w:bottom w:val="nil"/>
              <w:right w:val="nil"/>
            </w:tcBorders>
            <w:shd w:val="clear" w:color="auto" w:fill="FFFFFF"/>
            <w:noWrap/>
            <w:vAlign w:val="center"/>
          </w:tcPr>
          <w:p w14:paraId="3F38B6AB" w14:textId="77777777" w:rsidR="006D1C3F" w:rsidRDefault="006D1C3F">
            <w:pPr>
              <w:ind w:firstLine="360"/>
              <w:jc w:val="center"/>
              <w:rPr>
                <w:rFonts w:cstheme="minorBidi"/>
                <w:b w:val="0"/>
                <w:bCs w:val="0"/>
                <w:sz w:val="18"/>
                <w:szCs w:val="18"/>
              </w:rPr>
            </w:pPr>
          </w:p>
        </w:tc>
        <w:tc>
          <w:tcPr>
            <w:tcW w:w="1498" w:type="dxa"/>
            <w:gridSpan w:val="2"/>
            <w:tcBorders>
              <w:top w:val="nil"/>
              <w:left w:val="nil"/>
              <w:bottom w:val="nil"/>
              <w:right w:val="nil"/>
            </w:tcBorders>
            <w:shd w:val="clear" w:color="auto" w:fill="FFFFFF"/>
            <w:noWrap/>
            <w:vAlign w:val="center"/>
          </w:tcPr>
          <w:p w14:paraId="7DC491BD" w14:textId="77777777" w:rsidR="006D1C3F" w:rsidRDefault="006D1C3F">
            <w:pPr>
              <w:ind w:firstLine="360"/>
              <w:jc w:val="center"/>
              <w:rPr>
                <w:rFonts w:cstheme="minorBidi"/>
                <w:b w:val="0"/>
                <w:bCs w:val="0"/>
                <w:sz w:val="18"/>
                <w:szCs w:val="18"/>
              </w:rPr>
            </w:pPr>
          </w:p>
        </w:tc>
      </w:tr>
      <w:tr w:rsidR="006D1C3F" w14:paraId="4C7E9A05" w14:textId="77777777">
        <w:trPr>
          <w:trHeight w:val="277"/>
        </w:trPr>
        <w:tc>
          <w:tcPr>
            <w:tcW w:w="2410" w:type="dxa"/>
            <w:tcBorders>
              <w:top w:val="nil"/>
              <w:left w:val="nil"/>
              <w:bottom w:val="nil"/>
              <w:right w:val="nil"/>
            </w:tcBorders>
            <w:shd w:val="clear" w:color="auto" w:fill="FFFFFF"/>
            <w:noWrap/>
            <w:vAlign w:val="center"/>
          </w:tcPr>
          <w:p w14:paraId="2716262D"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7C3428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Very Negative</w:t>
            </w:r>
          </w:p>
        </w:tc>
        <w:tc>
          <w:tcPr>
            <w:tcW w:w="1416" w:type="dxa"/>
            <w:tcBorders>
              <w:top w:val="nil"/>
              <w:left w:val="nil"/>
              <w:bottom w:val="nil"/>
              <w:right w:val="nil"/>
            </w:tcBorders>
            <w:shd w:val="clear" w:color="auto" w:fill="FFFFFF"/>
            <w:noWrap/>
            <w:vAlign w:val="center"/>
          </w:tcPr>
          <w:p w14:paraId="38DBCEA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w:t>
            </w:r>
          </w:p>
        </w:tc>
        <w:tc>
          <w:tcPr>
            <w:tcW w:w="1498" w:type="dxa"/>
            <w:gridSpan w:val="2"/>
            <w:tcBorders>
              <w:top w:val="nil"/>
              <w:left w:val="nil"/>
              <w:bottom w:val="nil"/>
              <w:right w:val="nil"/>
            </w:tcBorders>
            <w:shd w:val="clear" w:color="auto" w:fill="FFFFFF"/>
            <w:noWrap/>
            <w:vAlign w:val="center"/>
          </w:tcPr>
          <w:p w14:paraId="6394549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1.40%</w:t>
            </w:r>
          </w:p>
        </w:tc>
      </w:tr>
      <w:tr w:rsidR="006D1C3F" w14:paraId="481B40D8" w14:textId="77777777">
        <w:trPr>
          <w:trHeight w:val="277"/>
        </w:trPr>
        <w:tc>
          <w:tcPr>
            <w:tcW w:w="2410" w:type="dxa"/>
            <w:tcBorders>
              <w:top w:val="nil"/>
              <w:left w:val="nil"/>
              <w:bottom w:val="nil"/>
              <w:right w:val="nil"/>
            </w:tcBorders>
            <w:shd w:val="clear" w:color="auto" w:fill="FFFFFF"/>
            <w:noWrap/>
            <w:vAlign w:val="center"/>
          </w:tcPr>
          <w:p w14:paraId="2FE7983F"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62C867F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Somewhat Negative</w:t>
            </w:r>
          </w:p>
        </w:tc>
        <w:tc>
          <w:tcPr>
            <w:tcW w:w="1416" w:type="dxa"/>
            <w:tcBorders>
              <w:top w:val="nil"/>
              <w:left w:val="nil"/>
              <w:bottom w:val="nil"/>
              <w:right w:val="nil"/>
            </w:tcBorders>
            <w:shd w:val="clear" w:color="auto" w:fill="FFFFFF"/>
            <w:noWrap/>
            <w:vAlign w:val="center"/>
          </w:tcPr>
          <w:p w14:paraId="3D49B96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26</w:t>
            </w:r>
          </w:p>
        </w:tc>
        <w:tc>
          <w:tcPr>
            <w:tcW w:w="1498" w:type="dxa"/>
            <w:gridSpan w:val="2"/>
            <w:tcBorders>
              <w:top w:val="nil"/>
              <w:left w:val="nil"/>
              <w:bottom w:val="nil"/>
              <w:right w:val="nil"/>
            </w:tcBorders>
            <w:shd w:val="clear" w:color="auto" w:fill="FFFFFF"/>
            <w:noWrap/>
            <w:vAlign w:val="center"/>
          </w:tcPr>
          <w:p w14:paraId="505AD7F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12.09%</w:t>
            </w:r>
          </w:p>
        </w:tc>
      </w:tr>
      <w:tr w:rsidR="006D1C3F" w14:paraId="3B8F7594" w14:textId="77777777">
        <w:trPr>
          <w:trHeight w:val="277"/>
        </w:trPr>
        <w:tc>
          <w:tcPr>
            <w:tcW w:w="2410" w:type="dxa"/>
            <w:tcBorders>
              <w:top w:val="nil"/>
              <w:left w:val="nil"/>
              <w:bottom w:val="nil"/>
              <w:right w:val="nil"/>
            </w:tcBorders>
            <w:shd w:val="clear" w:color="auto" w:fill="FFFFFF"/>
            <w:noWrap/>
            <w:vAlign w:val="center"/>
          </w:tcPr>
          <w:p w14:paraId="589387D1"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2ECE459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Neutral</w:t>
            </w:r>
          </w:p>
        </w:tc>
        <w:tc>
          <w:tcPr>
            <w:tcW w:w="1416" w:type="dxa"/>
            <w:tcBorders>
              <w:top w:val="nil"/>
              <w:left w:val="nil"/>
              <w:bottom w:val="nil"/>
              <w:right w:val="nil"/>
            </w:tcBorders>
            <w:shd w:val="clear" w:color="auto" w:fill="FFFFFF"/>
            <w:noWrap/>
            <w:vAlign w:val="center"/>
          </w:tcPr>
          <w:p w14:paraId="3A50F54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65</w:t>
            </w:r>
          </w:p>
        </w:tc>
        <w:tc>
          <w:tcPr>
            <w:tcW w:w="1498" w:type="dxa"/>
            <w:gridSpan w:val="2"/>
            <w:tcBorders>
              <w:top w:val="nil"/>
              <w:left w:val="nil"/>
              <w:bottom w:val="nil"/>
              <w:right w:val="nil"/>
            </w:tcBorders>
            <w:shd w:val="clear" w:color="auto" w:fill="FFFFFF"/>
            <w:noWrap/>
            <w:vAlign w:val="center"/>
          </w:tcPr>
          <w:p w14:paraId="4EDE271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30.23%</w:t>
            </w:r>
          </w:p>
        </w:tc>
      </w:tr>
      <w:tr w:rsidR="006D1C3F" w14:paraId="79EE51A8" w14:textId="77777777">
        <w:trPr>
          <w:trHeight w:val="277"/>
        </w:trPr>
        <w:tc>
          <w:tcPr>
            <w:tcW w:w="2410" w:type="dxa"/>
            <w:tcBorders>
              <w:top w:val="nil"/>
              <w:left w:val="nil"/>
              <w:bottom w:val="nil"/>
              <w:right w:val="nil"/>
            </w:tcBorders>
            <w:shd w:val="clear" w:color="auto" w:fill="FFFFFF"/>
            <w:noWrap/>
            <w:vAlign w:val="center"/>
          </w:tcPr>
          <w:p w14:paraId="099E73C7" w14:textId="77777777" w:rsidR="006D1C3F" w:rsidRDefault="006D1C3F">
            <w:pPr>
              <w:ind w:firstLine="360"/>
              <w:jc w:val="left"/>
              <w:rPr>
                <w:rFonts w:cstheme="minorBidi"/>
                <w:b w:val="0"/>
                <w:bCs w:val="0"/>
                <w:sz w:val="18"/>
                <w:szCs w:val="18"/>
              </w:rPr>
            </w:pPr>
          </w:p>
        </w:tc>
        <w:tc>
          <w:tcPr>
            <w:tcW w:w="3098" w:type="dxa"/>
            <w:tcBorders>
              <w:top w:val="nil"/>
              <w:left w:val="nil"/>
              <w:bottom w:val="nil"/>
              <w:right w:val="nil"/>
            </w:tcBorders>
            <w:shd w:val="clear" w:color="auto" w:fill="FFFFFF"/>
            <w:noWrap/>
            <w:vAlign w:val="center"/>
          </w:tcPr>
          <w:p w14:paraId="1ECC57E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Somewhat Optimistic</w:t>
            </w:r>
          </w:p>
        </w:tc>
        <w:tc>
          <w:tcPr>
            <w:tcW w:w="1416" w:type="dxa"/>
            <w:tcBorders>
              <w:top w:val="nil"/>
              <w:left w:val="nil"/>
              <w:bottom w:val="nil"/>
              <w:right w:val="nil"/>
            </w:tcBorders>
            <w:shd w:val="clear" w:color="auto" w:fill="FFFFFF"/>
            <w:noWrap/>
            <w:vAlign w:val="center"/>
          </w:tcPr>
          <w:p w14:paraId="20563FF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81</w:t>
            </w:r>
          </w:p>
        </w:tc>
        <w:tc>
          <w:tcPr>
            <w:tcW w:w="1498" w:type="dxa"/>
            <w:gridSpan w:val="2"/>
            <w:tcBorders>
              <w:top w:val="nil"/>
              <w:left w:val="nil"/>
              <w:bottom w:val="nil"/>
              <w:right w:val="nil"/>
            </w:tcBorders>
            <w:shd w:val="clear" w:color="auto" w:fill="FFFFFF"/>
            <w:noWrap/>
            <w:vAlign w:val="center"/>
          </w:tcPr>
          <w:p w14:paraId="27E0E64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37.67%</w:t>
            </w:r>
          </w:p>
        </w:tc>
      </w:tr>
      <w:tr w:rsidR="006D1C3F" w14:paraId="66DC0431" w14:textId="77777777">
        <w:trPr>
          <w:trHeight w:val="277"/>
        </w:trPr>
        <w:tc>
          <w:tcPr>
            <w:tcW w:w="2410" w:type="dxa"/>
            <w:tcBorders>
              <w:top w:val="nil"/>
              <w:left w:val="nil"/>
              <w:bottom w:val="single" w:sz="12" w:space="0" w:color="auto"/>
              <w:right w:val="nil"/>
            </w:tcBorders>
            <w:shd w:val="clear" w:color="auto" w:fill="FFFFFF"/>
            <w:noWrap/>
            <w:vAlign w:val="center"/>
          </w:tcPr>
          <w:p w14:paraId="46BF9883" w14:textId="77777777" w:rsidR="006D1C3F" w:rsidRDefault="006D1C3F">
            <w:pPr>
              <w:ind w:firstLine="360"/>
              <w:jc w:val="left"/>
              <w:rPr>
                <w:rFonts w:cstheme="minorBidi"/>
                <w:b w:val="0"/>
                <w:bCs w:val="0"/>
                <w:sz w:val="18"/>
                <w:szCs w:val="18"/>
              </w:rPr>
            </w:pPr>
          </w:p>
        </w:tc>
        <w:tc>
          <w:tcPr>
            <w:tcW w:w="3098" w:type="dxa"/>
            <w:tcBorders>
              <w:top w:val="nil"/>
              <w:left w:val="nil"/>
              <w:bottom w:val="single" w:sz="12" w:space="0" w:color="auto"/>
              <w:right w:val="nil"/>
            </w:tcBorders>
            <w:shd w:val="clear" w:color="auto" w:fill="FFFFFF"/>
            <w:noWrap/>
            <w:vAlign w:val="center"/>
          </w:tcPr>
          <w:p w14:paraId="3F4AA47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Very Optimistic</w:t>
            </w:r>
          </w:p>
        </w:tc>
        <w:tc>
          <w:tcPr>
            <w:tcW w:w="1416" w:type="dxa"/>
            <w:tcBorders>
              <w:top w:val="nil"/>
              <w:left w:val="nil"/>
              <w:bottom w:val="single" w:sz="12" w:space="0" w:color="auto"/>
              <w:right w:val="nil"/>
            </w:tcBorders>
            <w:shd w:val="clear" w:color="auto" w:fill="FFFFFF"/>
            <w:noWrap/>
            <w:vAlign w:val="center"/>
          </w:tcPr>
          <w:p w14:paraId="2D936E8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40</w:t>
            </w:r>
          </w:p>
        </w:tc>
        <w:tc>
          <w:tcPr>
            <w:tcW w:w="1498" w:type="dxa"/>
            <w:gridSpan w:val="2"/>
            <w:tcBorders>
              <w:top w:val="nil"/>
              <w:left w:val="nil"/>
              <w:bottom w:val="single" w:sz="12" w:space="0" w:color="auto"/>
              <w:right w:val="nil"/>
            </w:tcBorders>
            <w:shd w:val="clear" w:color="auto" w:fill="FFFFFF"/>
            <w:noWrap/>
            <w:vAlign w:val="center"/>
          </w:tcPr>
          <w:p w14:paraId="0C02EA1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18.60%</w:t>
            </w:r>
          </w:p>
        </w:tc>
      </w:tr>
    </w:tbl>
    <w:p w14:paraId="2199CBB5" w14:textId="77777777" w:rsidR="006D1C3F" w:rsidRDefault="006D1C3F">
      <w:pPr>
        <w:keepNext/>
        <w:keepLines/>
        <w:pageBreakBefore/>
        <w:spacing w:before="340" w:after="156" w:line="240" w:lineRule="auto"/>
        <w:ind w:firstLineChars="0" w:firstLine="0"/>
        <w:outlineLvl w:val="0"/>
        <w:rPr>
          <w:rFonts w:eastAsia="Times New Roman" w:cstheme="minorBidi"/>
          <w:b w:val="0"/>
          <w:bCs w:val="0"/>
          <w:kern w:val="44"/>
        </w:rPr>
      </w:pPr>
      <w:hyperlink w:anchor="_Toc31821" w:history="1">
        <w:bookmarkStart w:id="15" w:name="_Hlk211978102"/>
        <w:bookmarkStart w:id="16" w:name="_Toc225844807"/>
        <w:r>
          <w:rPr>
            <w:rFonts w:eastAsia="Times New Roman" w:cstheme="minorBidi" w:hint="eastAsia"/>
            <w:b w:val="0"/>
            <w:bCs w:val="0"/>
            <w:kern w:val="44"/>
          </w:rPr>
          <w:t>Table S3</w:t>
        </w:r>
        <w:bookmarkEnd w:id="15"/>
        <w:r>
          <w:rPr>
            <w:rFonts w:eastAsia="Times New Roman" w:cstheme="minorBidi" w:hint="eastAsia"/>
            <w:b w:val="0"/>
            <w:bCs w:val="0"/>
            <w:kern w:val="44"/>
          </w:rPr>
          <w:t xml:space="preserve"> </w:t>
        </w:r>
        <w:r>
          <w:rPr>
            <w:rFonts w:eastAsia="Times New Roman" w:cstheme="minorBidi"/>
            <w:b w:val="0"/>
            <w:bCs w:val="0"/>
            <w:kern w:val="44"/>
          </w:rPr>
          <w:t>Utility Values for Adverse Reactions​</w:t>
        </w:r>
        <w:bookmarkEnd w:id="16"/>
      </w:hyperlink>
    </w:p>
    <w:tbl>
      <w:tblPr>
        <w:tblStyle w:val="aa"/>
        <w:tblW w:w="0" w:type="auto"/>
        <w:tblLook w:val="04A0" w:firstRow="1" w:lastRow="0" w:firstColumn="1" w:lastColumn="0" w:noHBand="0" w:noVBand="1"/>
      </w:tblPr>
      <w:tblGrid>
        <w:gridCol w:w="2401"/>
        <w:gridCol w:w="1970"/>
        <w:gridCol w:w="2390"/>
        <w:gridCol w:w="1535"/>
      </w:tblGrid>
      <w:tr w:rsidR="006D1C3F" w14:paraId="32A3824E" w14:textId="77777777">
        <w:trPr>
          <w:trHeight w:val="289"/>
        </w:trPr>
        <w:tc>
          <w:tcPr>
            <w:tcW w:w="2401" w:type="dxa"/>
            <w:tcBorders>
              <w:top w:val="single" w:sz="12" w:space="0" w:color="auto"/>
              <w:left w:val="nil"/>
              <w:bottom w:val="single" w:sz="4" w:space="0" w:color="auto"/>
              <w:right w:val="nil"/>
            </w:tcBorders>
            <w:vAlign w:val="center"/>
          </w:tcPr>
          <w:p w14:paraId="2428948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Adverse Reaction</w:t>
            </w:r>
          </w:p>
        </w:tc>
        <w:tc>
          <w:tcPr>
            <w:tcW w:w="1970" w:type="dxa"/>
            <w:tcBorders>
              <w:top w:val="single" w:sz="12" w:space="0" w:color="auto"/>
              <w:left w:val="nil"/>
              <w:bottom w:val="single" w:sz="4" w:space="0" w:color="auto"/>
              <w:right w:val="nil"/>
            </w:tcBorders>
            <w:vAlign w:val="center"/>
          </w:tcPr>
          <w:p w14:paraId="43D7CF1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Disutility Value</w:t>
            </w:r>
          </w:p>
        </w:tc>
        <w:tc>
          <w:tcPr>
            <w:tcW w:w="2390" w:type="dxa"/>
            <w:tcBorders>
              <w:top w:val="single" w:sz="12" w:space="0" w:color="auto"/>
              <w:left w:val="nil"/>
              <w:bottom w:val="single" w:sz="4" w:space="0" w:color="auto"/>
              <w:right w:val="nil"/>
            </w:tcBorders>
            <w:vAlign w:val="center"/>
          </w:tcPr>
          <w:p w14:paraId="4930BEC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Variation range</w:t>
            </w:r>
          </w:p>
        </w:tc>
        <w:tc>
          <w:tcPr>
            <w:tcW w:w="1535" w:type="dxa"/>
            <w:tcBorders>
              <w:top w:val="single" w:sz="12" w:space="0" w:color="auto"/>
              <w:left w:val="nil"/>
              <w:bottom w:val="single" w:sz="4" w:space="0" w:color="auto"/>
              <w:right w:val="nil"/>
            </w:tcBorders>
            <w:vAlign w:val="center"/>
          </w:tcPr>
          <w:p w14:paraId="6E14E50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Source</w:t>
            </w:r>
          </w:p>
        </w:tc>
      </w:tr>
      <w:tr w:rsidR="006D1C3F" w14:paraId="696934F5" w14:textId="77777777">
        <w:trPr>
          <w:trHeight w:val="289"/>
        </w:trPr>
        <w:tc>
          <w:tcPr>
            <w:tcW w:w="2401" w:type="dxa"/>
            <w:tcBorders>
              <w:top w:val="nil"/>
              <w:left w:val="nil"/>
              <w:bottom w:val="nil"/>
              <w:right w:val="nil"/>
            </w:tcBorders>
            <w:vAlign w:val="center"/>
          </w:tcPr>
          <w:p w14:paraId="45CAC3E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Increased blood creatine kinase</w:t>
            </w:r>
          </w:p>
        </w:tc>
        <w:tc>
          <w:tcPr>
            <w:tcW w:w="1970" w:type="dxa"/>
            <w:tcBorders>
              <w:top w:val="nil"/>
              <w:left w:val="nil"/>
              <w:bottom w:val="nil"/>
              <w:right w:val="nil"/>
            </w:tcBorders>
            <w:vAlign w:val="center"/>
          </w:tcPr>
          <w:p w14:paraId="0EC9448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5A5725A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5C4BF7AB"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{"citationID":"a6vuikSd","properties":{"formattedCitation":"(29)","plainCitation":"(29)","noteIndex":0},"citationItems":[{"id":413,"uris":["http://zotero.org/users/local/eBJtW3GH/items/ZBHVACMW"],"itemData":{"id":413,"type":"article-journal","abstract":"BACKGROUND: Lung cancer is imposing significant pressure on the national health insurance system worldwide, especially under the COVID-19 pandemic. However, the cost-effectiveness of all available first-line treatments for patients with advanced epidermal growth factor receptor (EGFR) mutated non-small cell lung cancer (NSCLC) is still uncertain. The aim of this study was to evaluate the cost-effectiveness of 12 first-line treatments for patients with advanced EGFR mutated NSCLC from the perspective of the United Kingdom (UK) National Health Service and Chinese health care system.\nMETHODS: We used a Markov model to estimate the cost-effectiveness of 12 treatments, including 6 EGFR tyrosine kinase inhibitors, 4 combination treatments and 2 chemotherapies. The key clinical efficacy and safety data were from a network meta-analysis. The cost and health preference were mainly collected from the literature. The most cost-effective treatment was inferred through a sequential analysis. Uncertainty was tested with one-way sensitivity analyses, scenario analyses, and probabilistic sensitivity analyses. Quality-adjusted life years (QALYs), direct medical costs, and incremental cost-effectiveness ratio (ICER) were estimated, at willingness-to-pay thresholds of £20000 to £50000 and £8000 to £24000 per QALY in the UK and China respectively.\nRESULTS: For clinical effectiveness, osimertinib and gefitinib plus pemetrexed based chemotherapy (PbCT) yielded the highest QALYs, while two chemotherapy treatments gained the lowest QALYs. For costs, gefitinib treatment was the cheapest option in both countries (£24529 in the UK and £12961 in China). For cost-effectiveness, 4 treatments including gefitinib, gefitinib plus pemetrexed, gefitinib plus PbCT, and osimertinib formed the cost-effectiveness frontier in both countries. Gefitinib alone (70.7% and 80.0% under the threshold of £20000 and £8000 per QALY in the UK and China, respectively) and gefitinib plus PbCT (62.3% and 71.2% under the threshold of £50000 and £24000 per QALY in the UK and China, respectively) were most likely to be cost-effective compared with other first-line treatments.\nCONCLUSIONS: Gefitinib and gefitinib plus PbCT were likely to be cost-effective for patients with advanced EGFR mutated NSCLC in both countries.","container-title":"Frontiers in Oncology","DOI":"10.3389/fonc.2022.819674","ISSN":"2234-943X","journalAbbreviation":"Front Oncol","language":"en","note":"PMID: 35785198\nPMCID: PMC9241581","page":"819674","source":"PubMed","title":"Cost-Effectiveness of 12 First-Line Treatments for Patients With Advanced EGFR Mutated NSCLC in the United Kingdom and China","volume":"12","author":[{"family":"Guan","given":"Haijing"},{"family":"Wang","given":"Chunping"},{"family":"Chen","given":"Chen"},{"family":"Han","given":"Sheng"},{"family":"Zhao","given":"Zhigang"}],"issued":{"date-parts":[["2022"]]}}}],"schema":"https://github.com/citation-style-language/schema/raw/master/csl-citation.json"} </w:instrText>
            </w:r>
            <w:r>
              <w:rPr>
                <w:rFonts w:eastAsiaTheme="minorEastAsia"/>
                <w:b w:val="0"/>
                <w:bCs w:val="0"/>
                <w:sz w:val="18"/>
                <w:szCs w:val="18"/>
              </w:rPr>
              <w:fldChar w:fldCharType="separate"/>
            </w:r>
            <w:r>
              <w:rPr>
                <w:b w:val="0"/>
                <w:bCs w:val="0"/>
                <w:sz w:val="18"/>
              </w:rPr>
              <w:t>[29]</w:t>
            </w:r>
            <w:r>
              <w:rPr>
                <w:rFonts w:eastAsiaTheme="minorEastAsia"/>
                <w:b w:val="0"/>
                <w:bCs w:val="0"/>
                <w:sz w:val="18"/>
                <w:szCs w:val="18"/>
              </w:rPr>
              <w:fldChar w:fldCharType="end"/>
            </w:r>
          </w:p>
        </w:tc>
      </w:tr>
      <w:tr w:rsidR="006D1C3F" w14:paraId="2BDAA4C0" w14:textId="77777777">
        <w:trPr>
          <w:trHeight w:val="289"/>
        </w:trPr>
        <w:tc>
          <w:tcPr>
            <w:tcW w:w="2401" w:type="dxa"/>
            <w:tcBorders>
              <w:top w:val="nil"/>
              <w:left w:val="nil"/>
              <w:bottom w:val="nil"/>
              <w:right w:val="nil"/>
            </w:tcBorders>
            <w:vAlign w:val="center"/>
          </w:tcPr>
          <w:p w14:paraId="0421930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Lipase increased</w:t>
            </w:r>
          </w:p>
        </w:tc>
        <w:tc>
          <w:tcPr>
            <w:tcW w:w="1970" w:type="dxa"/>
            <w:tcBorders>
              <w:top w:val="nil"/>
              <w:left w:val="nil"/>
              <w:bottom w:val="nil"/>
              <w:right w:val="nil"/>
            </w:tcBorders>
            <w:vAlign w:val="center"/>
          </w:tcPr>
          <w:p w14:paraId="1712C00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455D746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2D478589"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{"citationID":"4uJByjCp","properties":{"formattedCitation":"(30)","plainCitation":"(30)","noteIndex":0},"citationItems":[{"id":416,"uris":["http://zotero.org/users/local/eBJtW3GH/items/AQJAPH7L"],"itemData":{"id":416,"type":"article-journal","abstract":"BACKGROUND AND OBJECTIVE: Unresectable hepatocellular carcinoma (uHCC) is the main histological subtype of liver cancer and causes a great disease burden in China. We aimed to evaluate the cost-effectiveness of five first-line systemic treatments newly approved in the Chinese market for the treatment of uHCC, namely, sorafenib, lenvatinib, donafenib, sintilimab plus bevacizumab (D + A), and atezolizumab plus bevacizumab (T + A) from the perspective of China's healthcare system, to provide a basis for decision-making.\nMETHODS: We constructed a network meta-analysis of 4 clinical trials and used fractional polynomial models to indirectly compare the effectiveness of treatments. The partitioned survival model was used for cost-effectiveness analysis. Primary model outcomes included the costs in US dollars and health outcomes in quality-adjusted life-years (QALYs) and the incremental cost-effectiveness ratio (ICER) under a willingness-to-pay threshold of $33,521 (3 times the per capita gross domestic product in China) per QALY. We performed deterministic and probabilistic sensitivity analyses to investigate the robustness. To test the effect of active treatment duration on the conclusions, we performed a scenario analysis.\nRESULTS: Compared with sorafenib, lenvatinib, donafenib, D + A, and T + A regimens, it yielded an increase of 0.25, 0.30, 0.95, and 1.46 life-years, respectively. Correspondingly, these four therapies yielded an additional 0.16, 0.19, 0.51, and 0.86 QALYs and all four ICERs, $40,667.92/QALY gained, $27,630.63/QALY gained, $51,877.36/QALY gained, and $130,508.44/QALY gained, were higher than $33,521 except for donafenib. T + A was the most effective treatment and donafenib was the most economical option. Sensitivity and scenario analysis results showed that the base-case analysis was highly reliable.\nCONCLUSION: Although combination therapy could greatly improve patients with uHCC survival benefits, under the current WTP, donafenib is still the most economical option.","container-title":"Frontiers in Public Health","DOI":"10.3389/fpubh.2022.869960","ISSN":"2296-2565","journalAbbreviation":"Front Public Health","language":"en","note":"PMID: 35493395\nPMCID: PMC9051228","page":"869960","source":"PubMed","title":"Cost-Effectiveness Analysis of Five Systemic Treatments for Unresectable Hepatocellular Carcinoma in China: An Economic Evaluation Based on Network Meta-Analysis","title-short":"Cost-Effectiveness Analysis of Five Systemic Treatments for Unresectable Hepatocellular Carcinoma in China","volume":"10","author":[{"family":"Zhao","given":"Mingye"},{"family":"Pan","given":"Xingming"},{"family":"Yin","given":"Yue"},{"family":"Hu","given":"Hongfei"},{"family":"Wei","given":"Jifu"},{"family":"Bai","given":"Zhaoshi"},{"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[30]</w:t>
            </w:r>
            <w:r>
              <w:rPr>
                <w:rFonts w:eastAsiaTheme="minorEastAsia"/>
                <w:b w:val="0"/>
                <w:bCs w:val="0"/>
                <w:sz w:val="18"/>
                <w:szCs w:val="18"/>
              </w:rPr>
              <w:fldChar w:fldCharType="end"/>
            </w:r>
          </w:p>
        </w:tc>
      </w:tr>
      <w:tr w:rsidR="006D1C3F" w14:paraId="421F85BC" w14:textId="77777777">
        <w:trPr>
          <w:trHeight w:val="289"/>
        </w:trPr>
        <w:tc>
          <w:tcPr>
            <w:tcW w:w="2401" w:type="dxa"/>
            <w:tcBorders>
              <w:top w:val="nil"/>
              <w:left w:val="nil"/>
              <w:bottom w:val="nil"/>
              <w:right w:val="nil"/>
            </w:tcBorders>
            <w:vAlign w:val="center"/>
          </w:tcPr>
          <w:p w14:paraId="7DEF144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Hypertension</w:t>
            </w:r>
          </w:p>
        </w:tc>
        <w:tc>
          <w:tcPr>
            <w:tcW w:w="1970" w:type="dxa"/>
            <w:tcBorders>
              <w:top w:val="nil"/>
              <w:left w:val="nil"/>
              <w:bottom w:val="nil"/>
              <w:right w:val="nil"/>
            </w:tcBorders>
            <w:vAlign w:val="center"/>
          </w:tcPr>
          <w:p w14:paraId="57E96F9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0.08</w:t>
            </w:r>
          </w:p>
        </w:tc>
        <w:tc>
          <w:tcPr>
            <w:tcW w:w="2390" w:type="dxa"/>
            <w:tcBorders>
              <w:top w:val="nil"/>
              <w:left w:val="nil"/>
              <w:bottom w:val="nil"/>
              <w:right w:val="nil"/>
            </w:tcBorders>
            <w:vAlign w:val="center"/>
          </w:tcPr>
          <w:p w14:paraId="316AA32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0.06~0.10</w:t>
            </w:r>
          </w:p>
        </w:tc>
        <w:tc>
          <w:tcPr>
            <w:tcW w:w="1535" w:type="dxa"/>
            <w:tcBorders>
              <w:top w:val="nil"/>
              <w:left w:val="nil"/>
              <w:bottom w:val="nil"/>
              <w:right w:val="nil"/>
            </w:tcBorders>
            <w:vAlign w:val="center"/>
          </w:tcPr>
          <w:p w14:paraId="630140CB"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{"citationID":"CBelfB0x","properties":{"formattedCitation":"(31)","plainCitation":"(31)","noteIndex":0},"citationItems":[{"id":419,"uris":["http://zotero.org/users/local/eBJtW3GH/items/JM4FRLUZ"],"itemData":{"id":419,"type":"article-journal","abstract":"OBJECTIVE: Results of Orient 15 indicated the health benefits to patients with local advanced or metastatic oesophageal squamous cell carcinoma (OSCC). This study aimed to evaluate the cost-effectiveness of sintilimab plus chemotherapy in treating OSCC from the perspective of Chinese healthcare system.\nMETHODS: A partitioned survival model was constructed to evaluate the cost-effectiveness of sintilimab plus chemotherapy vs. chemotherapy in treating OSCC. Baseline characteristics of patients and key clinical data were extracted from Orient 15. Costs and utilities were collected from published studies and open-access databases. Costs, quality-adjusted life-years (QALYs), life-years gained, and incremental cost-effectiveness ratios (ICER) were chosen as economic outcome indicators. We also performed sensitivity analyses and subgroup analyses to verify the stability of results.\nRESULTS: Combination therapy provided additional 0.84 QALYs and 1.46 life-years with an incremental cost of $25,565.48 than chemotherapy, which had an ICER of $30,409.44 per QALY. The probabilistic sensitivity analysis indicated that combination therapy had a 98.8% probability of cost-effectiveness at the willingness-to-pay threshold (WTP) of $38,184 per QALY. Deterministic sensitivity analysis showed that model outcomes were sensitive to the utilities of progression-free survival and progression disease. The subgroup analysis revealed that combination therapy was cost-effective in patients with high expression of PD-L1 and several specific subgroups.\nCONCLUSION: In this economic evaluation, sintilimab plus chemotherapy was likely to be cost-effective compared with chemotherapy in the first-line therapy of advanced OSCC from the perspective of Chinese healthcare system. Our findings may provide evidence for clinicians to make optimal decisions in clinical practice and for decision-makers to evaluate the cost-effectiveness of sintilimab.","container-title":"Frontiers in Oncology","DOI":"10.3389/fonc.2022.953671","ISSN":"2234-943X","journalAbbreviation":"Front Oncol","language":"en","note":"PMID: 36561521\nPMCID: PMC9763586","page":"953671","source":"PubMed","title":"Cost-effectiveness analysis of sintilimab vs. placebo in combination with chemotherapy as first-line therapy for local advanced or metastatic oesophageal squamous cell carcinoma","volume":"12","author":[{"family":"Shao","given":"Taihang"},{"family":"Zhao","given":"Mingye"},{"family":"Tang","given":"Wenxi"}],"issued":{"date-parts":[["2022"]]}}}],"schema":"https://github.com/citation-style-language/schema/raw/master/csl-citation.json"}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[31]</w:t>
            </w:r>
            <w:r>
              <w:rPr>
                <w:rFonts w:eastAsiaTheme="minorEastAsia"/>
                <w:b w:val="0"/>
                <w:bCs w:val="0"/>
                <w:sz w:val="18"/>
                <w:szCs w:val="18"/>
              </w:rPr>
              <w:fldChar w:fldCharType="end"/>
            </w:r>
          </w:p>
        </w:tc>
      </w:tr>
      <w:tr w:rsidR="006D1C3F" w14:paraId="2D6B0E6D" w14:textId="77777777">
        <w:trPr>
          <w:trHeight w:val="289"/>
        </w:trPr>
        <w:tc>
          <w:tcPr>
            <w:tcW w:w="2401" w:type="dxa"/>
            <w:tcBorders>
              <w:top w:val="nil"/>
              <w:left w:val="nil"/>
              <w:bottom w:val="nil"/>
              <w:right w:val="nil"/>
            </w:tcBorders>
            <w:vAlign w:val="center"/>
          </w:tcPr>
          <w:p w14:paraId="4E5A5CE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Amylase increased</w:t>
            </w:r>
          </w:p>
        </w:tc>
        <w:tc>
          <w:tcPr>
            <w:tcW w:w="1970" w:type="dxa"/>
            <w:tcBorders>
              <w:top w:val="nil"/>
              <w:left w:val="nil"/>
              <w:bottom w:val="nil"/>
              <w:right w:val="nil"/>
            </w:tcBorders>
            <w:vAlign w:val="center"/>
          </w:tcPr>
          <w:p w14:paraId="7BAB016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6A62A7E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65D1670B"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{"citationID":"oOQtDTeX","properties":{"formattedCitation":"(30)","plainCitation":"(30)","noteIndex":0},"citationItems":[{"id":416,"uris":["http://zotero.org/users/local/eBJtW3GH/items/AQJAPH7L"],"itemData":{"id":416,"type":"article-journal","abstract":"BACKGROUND AND OBJECTIVE: Unresectable hepatocellular carcinoma (uHCC) is the main histological subtype of liver cancer and causes a great disease burden in China. We aimed to evaluate the cost-effectiveness of five first-line systemic treatments newly approved in the Chinese market for the treatment of uHCC, namely, sorafenib, lenvatinib, donafenib, sintilimab plus bevacizumab (D + A), and atezolizumab plus bevacizumab (T + A) from the perspective of China's healthcare system, to provide a basis for decision-making.\nMETHODS: We constructed a network meta-analysis of 4 clinical trials and used fractional polynomial models to indirectly compare the effectiveness of treatments. The partitioned survival model was used for cost-effectiveness analysis. Primary model outcomes included the costs in US dollars and health outcomes in quality-adjusted life-years (QALYs) and the incremental cost-effectiveness ratio (ICER) under a willingness-to-pay threshold of $33,521 (3 times the per capita gross domestic product in China) per QALY. We performed deterministic and probabilistic sensitivity analyses to investigate the robustness. To test the effect of active treatment duration on the conclusions, we performed a scenario analysis.\nRESULTS: Compared with sorafenib, lenvatinib, donafenib, D + A, and T + A regimens, it yielded an increase of 0.25, 0.30, 0.95, and 1.46 life-years, respectively. Correspondingly, these four therapies yielded an additional 0.16, 0.19, 0.51, and 0.86 QALYs and all four ICERs, $40,667.92/QALY gained, $27,630.63/QALY gained, $51,877.36/QALY gained, and $130,508.44/QALY gained, were higher than $33,521 except for donafenib. T + A was the most effective treatment and donafenib was the most economical option. Sensitivity and scenario analysis results showed that the base-case analysis was highly reliable.\nCONCLUSION: Although combination therapy could greatly improve patients with uHCC survival benefits, under the current WTP, donafenib is still the most economical option.","container-title":"Frontiers in Public Health","DOI":"10.3389/fpubh.2022.869960","ISSN":"2296-2565","journalAbbreviation":"Front Public Health","language":"en","note":"PMID: 35493395\nPMCID: PMC9051228","page":"869960","source":"PubMed","title":"Cost-Effectiveness Analysis of Five Systemic Treatments for Unresectable Hepatocellular Carcinoma in China: An Economic Evaluation Based on Network Meta-Analysis","title-short":"Cost-Effectiveness Analysis of Five Systemic Treatments for Unresectable Hepatocellular Carcinoma in China","volume":"10","author":[{"family":"Zhao","given":"Mingye"},{"family":"Pan","given":"Xingming"},{"family":"Yin","given":"Yue"},{"family":"Hu","given":"Hongfei"},{"family":"Wei","given":"Jifu"},{"family":"Bai","given":"Zhaoshi"},{"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[30]</w:t>
            </w:r>
            <w:r>
              <w:rPr>
                <w:rFonts w:eastAsiaTheme="minorEastAsia"/>
                <w:b w:val="0"/>
                <w:bCs w:val="0"/>
                <w:sz w:val="18"/>
                <w:szCs w:val="18"/>
              </w:rPr>
              <w:fldChar w:fldCharType="end"/>
            </w:r>
          </w:p>
        </w:tc>
      </w:tr>
      <w:tr w:rsidR="006D1C3F" w14:paraId="370189A1" w14:textId="77777777">
        <w:trPr>
          <w:trHeight w:val="289"/>
        </w:trPr>
        <w:tc>
          <w:tcPr>
            <w:tcW w:w="2401" w:type="dxa"/>
            <w:tcBorders>
              <w:top w:val="nil"/>
              <w:left w:val="nil"/>
              <w:bottom w:val="nil"/>
              <w:right w:val="nil"/>
            </w:tcBorders>
            <w:vAlign w:val="center"/>
          </w:tcPr>
          <w:p w14:paraId="7F1547F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Pneumonia</w:t>
            </w:r>
          </w:p>
        </w:tc>
        <w:tc>
          <w:tcPr>
            <w:tcW w:w="1970" w:type="dxa"/>
            <w:tcBorders>
              <w:top w:val="nil"/>
              <w:left w:val="nil"/>
              <w:bottom w:val="nil"/>
              <w:right w:val="nil"/>
            </w:tcBorders>
            <w:vAlign w:val="center"/>
          </w:tcPr>
          <w:p w14:paraId="6E7766F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0.05</w:t>
            </w:r>
          </w:p>
        </w:tc>
        <w:tc>
          <w:tcPr>
            <w:tcW w:w="2390" w:type="dxa"/>
            <w:tcBorders>
              <w:top w:val="nil"/>
              <w:left w:val="nil"/>
              <w:bottom w:val="nil"/>
              <w:right w:val="nil"/>
            </w:tcBorders>
            <w:vAlign w:val="center"/>
          </w:tcPr>
          <w:p w14:paraId="75B5D21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0.04~0.06</w:t>
            </w:r>
          </w:p>
        </w:tc>
        <w:tc>
          <w:tcPr>
            <w:tcW w:w="1535" w:type="dxa"/>
            <w:tcBorders>
              <w:top w:val="nil"/>
              <w:left w:val="nil"/>
              <w:bottom w:val="nil"/>
              <w:right w:val="nil"/>
            </w:tcBorders>
            <w:vAlign w:val="center"/>
          </w:tcPr>
          <w:p w14:paraId="5B49BDC1"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{"citationID":"vJExV6th","properties":{"formattedCitation":"(31)","plainCitation":"(31)","noteIndex":0},"citationItems":[{"id":419,"uris":["http://zotero.org/users/local/eBJtW3GH/items/JM4FRLUZ"],"itemData":{"id":419,"type":"article-journal","abstract":"OBJECTIVE: Results of Orient 15 indicated the health benefits to patients with local advanced or metastatic oesophageal squamous cell carcinoma (OSCC). This study aimed to evaluate the cost-effectiveness of sintilimab plus chemotherapy in treating OSCC from the perspective of Chinese healthcare system.\nMETHODS: A partitioned survival model was constructed to evaluate the cost-effectiveness of sintilimab plus chemotherapy vs. chemotherapy in treating OSCC. Baseline characteristics of patients and key clinical data were extracted from Orient 15. Costs and utilities were collected from published studies and open-access databases. Costs, quality-adjusted life-years (QALYs), life-years gained, and incremental cost-effectiveness ratios (ICER) were chosen as economic outcome indicators. We also performed sensitivity analyses and subgroup analyses to verify the stability of results.\nRESULTS: Combination therapy provided additional 0.84 QALYs and 1.46 life-years with an incremental cost of $25,565.48 than chemotherapy, which had an ICER of $30,409.44 per QALY. The probabilistic sensitivity analysis indicated that combination therapy had a 98.8% probability of cost-effectiveness at the willingness-to-pay threshold (WTP) of $38,184 per QALY. Deterministic sensitivity analysis showed that model outcomes were sensitive to the utilities of progression-free survival and progression disease. The subgroup analysis revealed that combination therapy was cost-effective in patients with high expression of PD-L1 and several specific subgroups.\nCONCLUSION: In this economic evaluation, sintilimab plus chemotherapy was likely to be cost-effective compared with chemotherapy in the first-line therapy of advanced OSCC from the perspective of Chinese healthcare system. Our findings may provide evidence for clinicians to make optimal decisions in clinical practice and for decision-makers to evaluate the cost-effectiveness of sintilimab.","container-title":"Frontiers in Oncology","DOI":"10.3389/fonc.2022.953671","ISSN":"2234-943X","journalAbbreviation":"Front Oncol","language":"en","note":"PMID: 36561521\nPMCID: PMC9763586","page":"953671","source":"PubMed","title":"Cost-effectiveness analysis of sintilimab vs. placebo in combination with chemotherapy as first-line therapy for local advanced or metastatic oesophageal squamous cell carcinoma","volume":"12","author":[{"family":"Shao","given":"Taihang"},{"family":"Zhao","given":"Mingye"},{"family":"Tang","given":"Wenxi"}],"issued":{"date-parts":[["2022"]]}}}],"schema":"https://github.com/citation-style-language/schema/raw/master/csl-citation.json"}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[31]</w:t>
            </w:r>
            <w:r>
              <w:rPr>
                <w:rFonts w:eastAsiaTheme="minorEastAsia"/>
                <w:b w:val="0"/>
                <w:bCs w:val="0"/>
                <w:sz w:val="18"/>
                <w:szCs w:val="18"/>
              </w:rPr>
              <w:fldChar w:fldCharType="end"/>
            </w:r>
          </w:p>
        </w:tc>
      </w:tr>
      <w:tr w:rsidR="006D1C3F" w14:paraId="6337E796" w14:textId="77777777">
        <w:trPr>
          <w:trHeight w:val="289"/>
        </w:trPr>
        <w:tc>
          <w:tcPr>
            <w:tcW w:w="2401" w:type="dxa"/>
            <w:tcBorders>
              <w:top w:val="nil"/>
              <w:left w:val="nil"/>
              <w:bottom w:val="nil"/>
              <w:right w:val="nil"/>
            </w:tcBorders>
            <w:vAlign w:val="center"/>
          </w:tcPr>
          <w:p w14:paraId="5109AA4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Alanine aminotransferase increased</w:t>
            </w:r>
          </w:p>
        </w:tc>
        <w:tc>
          <w:tcPr>
            <w:tcW w:w="1970" w:type="dxa"/>
            <w:tcBorders>
              <w:top w:val="nil"/>
              <w:left w:val="nil"/>
              <w:bottom w:val="nil"/>
              <w:right w:val="nil"/>
            </w:tcBorders>
            <w:vAlign w:val="center"/>
          </w:tcPr>
          <w:p w14:paraId="7AD60F8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011E8E8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0.13~0.19</w:t>
            </w:r>
          </w:p>
        </w:tc>
        <w:tc>
          <w:tcPr>
            <w:tcW w:w="1535" w:type="dxa"/>
            <w:tcBorders>
              <w:top w:val="nil"/>
              <w:left w:val="nil"/>
              <w:bottom w:val="nil"/>
              <w:right w:val="nil"/>
            </w:tcBorders>
            <w:vAlign w:val="center"/>
          </w:tcPr>
          <w:p w14:paraId="0C4F8F44"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{"citationID":"HZvhJTqt","properties":{"formattedCitation":"(32)","plainCitation":"(32)","noteIndex":0},"citationItems":[{"id":422,"uris":["http://zotero.org/users/local/eBJtW3GH/items/FY43ZIN5"],"itemData":{"id":422,"type":"article-journal","abstract":"BACKGROUND: Trastuzumab emtansine is the current standard treatment for patients with human epidermal growth factor receptor 2 (HER2)-positive metastatic breast cancer whose disease progresses after treatment with a combination of anti-HER2 antibodies and a taxane.\nMETHODS: We conducted a phase 3, multicenter, open-label, randomized trial to compare the efficacy and safety of trastuzumab deruxtecan (a HER2 antibody-drug conjugate) with those of trastuzumab emtansine in patients with HER2-positive metastatic breast cancer previously treated with trastuzumab and a taxane. The primary end point was progression-free survival (as determined by blinded independent central review); secondary end points included overall survival, objective response, and safety.\nRESULTS: Among 524 randomly assigned patients, the percentage of those who were alive without disease progression at 12 months was 75.8% (95% confidence interval [CI], 69.8 to 80.7) with trastuzumab deruxtecan and 34.1% (95% CI, 27.7 to 40.5) with trastuzumab emtansine (hazard ratio for progression or death from any cause, 0.28; 95% CI, 0.22 to 0.37; P&lt;0.001). The percentage of patients who were alive at 12 months was 94.1% (95% CI, 90.3 to 96.4) with trastuzumab deruxtecan and 85.9% (95% CI, 80.9 to 89.7) with trastuzumab emtansine (hazard ratio for death, 0.55; 95% CI, 0.36 to 0.86; prespecified significance boundary not reached). An overall response (a complete or partial response) occurred in 79.7% (95% CI, 74.3 to 84.4) of the patients who received trastuzumab deruxtecan and in 34.2% (95% CI, 28.5 to 40.3) of those who received trastuzumab emtansine. The incidence of drug-related adverse events of any grade was 98.1% with trastuzumab deruxtecan and 86.6% with trastuzumab emtansine, and the incidence of drug-related adverse events of grade 3 or 4 was 45.1% and 39.8%, respectively. Adjudicated drug-related interstitial lung disease or pneumonitis occurred in 10.5% of the patients in the trastuzumab deruxtecan group and in 1.9% of those in the trastuzumab emtansine group; none of these events were of grade 4 or 5.\nCONCLUSIONS: Among patients with HER2-positive metastatic breast cancer previously treated with trastuzumab and a taxane, the risk of disease progression or death was lower among those who received trastuzumab deruxtecan than among those who received trastuzumab emtansine. Treatment with trastuzumab deruxtecan was associated with interstitial lung disease and pneumonitis. (Funded by Daiichi Sankyo and AstraZeneca; DESTINY-Breast03 ClinicalTrials.gov number, NCT03529110.).","container-title":"The New England Journal of Medicine","DOI":"10.1056/NEJMoa2115022","ISSN":"1533-4406","issue":"12","journalAbbreviation":"N Engl J Med","language":"en","note":"PMID: 35320644","page":"1143-1154","source":"PubMed","title":"Trastuzumab Deruxtecan versus Trastuzumab Emtansine for Breast Cancer","volume":"386","author":[{"family":"Cortés","given":"Javier"},{"family":"Kim","given":"Sung-Bae"},{"family":"Chung","given":"Wei-Pang"},{"family":"Im","given":"Seock-Ah"},{"family":"Park","given":"Yeon Hee"},{"family":"Hegg","given":"Roberto"},{"family":"Kim","given":"Min Hwan"},{"family":"Tseng","given":"Ling-Ming"},{"family":"Petry","given":"Vanessa"},{"family":"Chung","given":"Chi-Feng"},{"family":"Iwata","given":"Hiroji"},{"family":"Hamilton","given":"Erika"},{"family":"Curigliano","given":"Giuseppe"},{"family":"Xu","given":"Binghe"},{"family":"Huang","given":"Chiun-Sheng"},{"family":"Kim","given":"Jee Hyun"},{"family":"Chiu","given":"Joanne W. Y."},{"family":"Pedrini","given":"Jose Luiz"},{"family":"Lee","given":"Caleb"},{"family":"Liu","given":"Yali"},{"family":"Cathcart","given":"Jillian"},{"family":"Bako","given":"Emarjola"},{"family":"Verma","given":"Sunil"},{"family":"Hurvitz","given":"Sara A."},{"literal":"DESTINY-Breast03 Trial Investigators"}],"issued":{"date-parts":[["2022",3,24]]}}}],"schema":"https://github.com/citation-style-language/schema/raw/master/csl-citation.json"} </w:instrText>
            </w:r>
            <w:r>
              <w:rPr>
                <w:rFonts w:eastAsiaTheme="minorEastAsia"/>
                <w:b w:val="0"/>
                <w:bCs w:val="0"/>
                <w:sz w:val="18"/>
                <w:szCs w:val="18"/>
              </w:rPr>
              <w:fldChar w:fldCharType="separate"/>
            </w:r>
            <w:r>
              <w:rPr>
                <w:b w:val="0"/>
                <w:bCs w:val="0"/>
                <w:sz w:val="18"/>
              </w:rPr>
              <w:t>[32]</w:t>
            </w:r>
            <w:r>
              <w:rPr>
                <w:rFonts w:eastAsiaTheme="minorEastAsia"/>
                <w:b w:val="0"/>
                <w:bCs w:val="0"/>
                <w:sz w:val="18"/>
                <w:szCs w:val="18"/>
              </w:rPr>
              <w:fldChar w:fldCharType="end"/>
            </w:r>
          </w:p>
        </w:tc>
      </w:tr>
      <w:tr w:rsidR="006D1C3F" w14:paraId="53EA7A58" w14:textId="77777777">
        <w:trPr>
          <w:trHeight w:val="289"/>
        </w:trPr>
        <w:tc>
          <w:tcPr>
            <w:tcW w:w="2401" w:type="dxa"/>
            <w:tcBorders>
              <w:top w:val="nil"/>
              <w:left w:val="nil"/>
              <w:bottom w:val="nil"/>
              <w:right w:val="nil"/>
            </w:tcBorders>
            <w:vAlign w:val="center"/>
          </w:tcPr>
          <w:p w14:paraId="72BC608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Blood alkaline phosphatase increased</w:t>
            </w:r>
          </w:p>
        </w:tc>
        <w:tc>
          <w:tcPr>
            <w:tcW w:w="1970" w:type="dxa"/>
            <w:tcBorders>
              <w:top w:val="nil"/>
              <w:left w:val="nil"/>
              <w:bottom w:val="nil"/>
              <w:right w:val="nil"/>
            </w:tcBorders>
            <w:vAlign w:val="center"/>
          </w:tcPr>
          <w:p w14:paraId="3FD1483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5ACCEA0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023C0723"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{"citationID":"xvhqaCI2","properties":{"formattedCitation":"(30)","plainCitation":"(30)","noteIndex":0},"citationItems":[{"id":416,"uris":["http://zotero.org/users/local/eBJtW3GH/items/AQJAPH7L"],"itemData":{"id":416,"type":"article-journal","abstract":"BACKGROUND AND OBJECTIVE: Unresectable hepatocellular carcinoma (uHCC) is the main histological subtype of liver cancer and causes a great disease burden in China. We aimed to evaluate the cost-effectiveness of five first-line systemic treatments newly approved in the Chinese market for the treatment of uHCC, namely, sorafenib, lenvatinib, donafenib, sintilimab plus bevacizumab (D + A), and atezolizumab plus bevacizumab (T + A) from the perspective of China's healthcare system, to provide a basis for decision-making.\nMETHODS: We constructed a network meta-analysis of 4 clinical trials and used fractional polynomial models to indirectly compare the effectiveness of treatments. The partitioned survival model was used for cost-effectiveness analysis. Primary model outcomes included the costs in US dollars and health outcomes in quality-adjusted life-years (QALYs) and the incremental cost-effectiveness ratio (ICER) under a willingness-to-pay threshold of $33,521 (3 times the per capita gross domestic product in China) per QALY. We performed deterministic and probabilistic sensitivity analyses to investigate the robustness. To test the effect of active treatment duration on the conclusions, we performed a scenario analysis.\nRESULTS: Compared with sorafenib, lenvatinib, donafenib, D + A, and T + A regimens, it yielded an increase of 0.25, 0.30, 0.95, and 1.46 life-years, respectively. Correspondingly, these four therapies yielded an additional 0.16, 0.19, 0.51, and 0.86 QALYs and all four ICERs, $40,667.92/QALY gained, $27,630.63/QALY gained, $51,877.36/QALY gained, and $130,508.44/QALY gained, were higher than $33,521 except for donafenib. T + A was the most effective treatment and donafenib was the most economical option. Sensitivity and scenario analysis results showed that the base-case analysis was highly reliable.\nCONCLUSION: Although combination therapy could greatly improve patients with uHCC survival benefits, under the current WTP, donafenib is still the most economical option.","container-title":"Frontiers in Public Health","DOI":"10.3389/fpubh.2022.869960","ISSN":"2296-2565","journalAbbreviation":"Front Public Health","language":"en","note":"PMID: 35493395\nPMCID: PMC9051228","page":"869960","source":"PubMed","title":"Cost-Effectiveness Analysis of Five Systemic Treatments for Unresectable Hepatocellular Carcinoma in China: An Economic Evaluation Based on Network Meta-Analysis","title-short":"Cost-Effectiveness Analysis of Five Systemic Treatments for Unresectable Hepatocellular Carcinoma in China","volume":"10","author":[{"family":"Zhao","given":"Mingye"},{"family":"Pan","given":"Xingming"},{"family":"Yin","given":"Yue"},{"family":"Hu","given":"Hongfei"},{"family":"Wei","given":"Jifu"},{"family":"Bai","given":"Zhaoshi"},{"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[30]</w:t>
            </w:r>
            <w:r>
              <w:rPr>
                <w:rFonts w:eastAsiaTheme="minorEastAsia"/>
                <w:b w:val="0"/>
                <w:bCs w:val="0"/>
                <w:sz w:val="18"/>
                <w:szCs w:val="18"/>
              </w:rPr>
              <w:fldChar w:fldCharType="end"/>
            </w:r>
          </w:p>
        </w:tc>
      </w:tr>
      <w:tr w:rsidR="006D1C3F" w14:paraId="7F06172B" w14:textId="77777777">
        <w:trPr>
          <w:trHeight w:val="289"/>
        </w:trPr>
        <w:tc>
          <w:tcPr>
            <w:tcW w:w="2401" w:type="dxa"/>
            <w:tcBorders>
              <w:top w:val="nil"/>
              <w:left w:val="nil"/>
              <w:bottom w:val="nil"/>
              <w:right w:val="nil"/>
            </w:tcBorders>
            <w:vAlign w:val="center"/>
          </w:tcPr>
          <w:p w14:paraId="6564576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Aspartate aminotransferase increased</w:t>
            </w:r>
          </w:p>
        </w:tc>
        <w:tc>
          <w:tcPr>
            <w:tcW w:w="1970" w:type="dxa"/>
            <w:tcBorders>
              <w:top w:val="nil"/>
              <w:left w:val="nil"/>
              <w:bottom w:val="nil"/>
              <w:right w:val="nil"/>
            </w:tcBorders>
            <w:vAlign w:val="center"/>
          </w:tcPr>
          <w:p w14:paraId="5579648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2D11862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0.13~0.19</w:t>
            </w:r>
          </w:p>
        </w:tc>
        <w:tc>
          <w:tcPr>
            <w:tcW w:w="1535" w:type="dxa"/>
            <w:tcBorders>
              <w:top w:val="nil"/>
              <w:left w:val="nil"/>
              <w:bottom w:val="nil"/>
              <w:right w:val="nil"/>
            </w:tcBorders>
            <w:vAlign w:val="center"/>
          </w:tcPr>
          <w:p w14:paraId="14543F1E"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{"citationID":"Rjpio3mM","properties":{"formattedCitation":"(32)","plainCitation":"(32)","noteIndex":0},"citationItems":[{"id":422,"uris":["http://zotero.org/users/local/eBJtW3GH/items/FY43ZIN5"],"itemData":{"id":422,"type":"article-journal","abstract":"BACKGROUND: Trastuzumab emtansine is the current standard treatment for patients with human epidermal growth factor receptor 2 (HER2)-positive metastatic breast cancer whose disease progresses after treatment with a combination of anti-HER2 antibodies and a taxane.\nMETHODS: We conducted a phase 3, multicenter, open-label, randomized trial to compare the efficacy and safety of trastuzumab deruxtecan (a HER2 antibody-drug conjugate) with those of trastuzumab emtansine in patients with HER2-positive metastatic breast cancer previously treated with trastuzumab and a taxane. The primary end point was progression-free survival (as determined by blinded independent central review); secondary end points included overall survival, objective response, and safety.\nRESULTS: Among 524 randomly assigned patients, the percentage of those who were alive without disease progression at 12 months was 75.8% (95% confidence interval [CI], 69.8 to 80.7) with trastuzumab deruxtecan and 34.1% (95% CI, 27.7 to 40.5) with trastuzumab emtansine (hazard ratio for progression or death from any cause, 0.28; 95% CI, 0.22 to 0.37; P&lt;0.001). The percentage of patients who were alive at 12 months was 94.1% (95% CI, 90.3 to 96.4) with trastuzumab deruxtecan and 85.9% (95% CI, 80.9 to 89.7) with trastuzumab emtansine (hazard ratio for death, 0.55; 95% CI, 0.36 to 0.86; prespecified significance boundary not reached). An overall response (a complete or partial response) occurred in 79.7% (95% CI, 74.3 to 84.4) of the patients who received trastuzumab deruxtecan and in 34.2% (95% CI, 28.5 to 40.3) of those who received trastuzumab emtansine. The incidence of drug-related adverse events of any grade was 98.1% with trastuzumab deruxtecan and 86.6% with trastuzumab emtansine, and the incidence of drug-related adverse events of grade 3 or 4 was 45.1% and 39.8%, respectively. Adjudicated drug-related interstitial lung disease or pneumonitis occurred in 10.5% of the patients in the trastuzumab deruxtecan group and in 1.9% of those in the trastuzumab emtansine group; none of these events were of grade 4 or 5.\nCONCLUSIONS: Among patients with HER2-positive metastatic breast cancer previously treated with trastuzumab and a taxane, the risk of disease progression or death was lower among those who received trastuzumab deruxtecan than among those who received trastuzumab emtansine. Treatment with trastuzumab deruxtecan was associated with interstitial lung disease and pneumonitis. (Funded by Daiichi Sankyo and AstraZeneca; DESTINY-Breast03 ClinicalTrials.gov number, NCT03529110.).","container-title":"The New England Journal of Medicine","DOI":"10.1056/NEJMoa2115022","ISSN":"1533-4406","issue":"12","journalAbbreviation":"N Engl J Med","language":"en","note":"PMID: 35320644","page":"1143-1154","source":"PubMed","title":"Trastuzumab Deruxtecan versus Trastuzumab Emtansine for Breast Cancer","volume":"386","author":[{"family":"Cortés","given":"Javier"},{"family":"Kim","given":"Sung-Bae"},{"family":"Chung","given":"Wei-Pang"},{"family":"Im","given":"Seock-Ah"},{"family":"Park","given":"Yeon Hee"},{"family":"Hegg","given":"Roberto"},{"family":"Kim","given":"Min Hwan"},{"family":"Tseng","given":"Ling-Ming"},{"family":"Petry","given":"Vanessa"},{"family":"Chung","given":"Chi-Feng"},{"family":"Iwata","given":"Hiroji"},{"family":"Hamilton","given":"Erika"},{"family":"Curigliano","given":"Giuseppe"},{"family":"Xu","given":"Binghe"},{"family":"Huang","given":"Chiun-Sheng"},{"family":"Kim","given":"Jee Hyun"},{"family":"Chiu","given":"Joanne W. Y."},{"family":"Pedrini","given":"Jose Luiz"},{"family":"Lee","given":"Caleb"},{"family":"Liu","given":"Yali"},{"family":"Cathcart","given":"Jillian"},{"family":"Bako","given":"Emarjola"},{"family":"Verma","given":"Sunil"},{"family":"Hurvitz","given":"Sara A."},{"literal":"DESTINY-Breast03 Trial Investigators"}],"issued":{"date-parts":[["2022",3,24]]}}}],"schema":"https://github.com/citation-style-language/schema/raw/master/csl-citation.json"} </w:instrText>
            </w:r>
            <w:r>
              <w:rPr>
                <w:rFonts w:eastAsiaTheme="minorEastAsia"/>
                <w:b w:val="0"/>
                <w:bCs w:val="0"/>
                <w:sz w:val="18"/>
                <w:szCs w:val="18"/>
              </w:rPr>
              <w:fldChar w:fldCharType="separate"/>
            </w:r>
            <w:r>
              <w:rPr>
                <w:b w:val="0"/>
                <w:bCs w:val="0"/>
                <w:sz w:val="18"/>
              </w:rPr>
              <w:t>[32]</w:t>
            </w:r>
            <w:r>
              <w:rPr>
                <w:rFonts w:eastAsiaTheme="minorEastAsia"/>
                <w:b w:val="0"/>
                <w:bCs w:val="0"/>
                <w:sz w:val="18"/>
                <w:szCs w:val="18"/>
              </w:rPr>
              <w:fldChar w:fldCharType="end"/>
            </w:r>
          </w:p>
        </w:tc>
      </w:tr>
      <w:tr w:rsidR="006D1C3F" w14:paraId="251F251E" w14:textId="77777777">
        <w:trPr>
          <w:trHeight w:val="289"/>
        </w:trPr>
        <w:tc>
          <w:tcPr>
            <w:tcW w:w="2401" w:type="dxa"/>
            <w:tcBorders>
              <w:top w:val="nil"/>
              <w:left w:val="nil"/>
              <w:bottom w:val="nil"/>
              <w:right w:val="nil"/>
            </w:tcBorders>
            <w:vAlign w:val="center"/>
          </w:tcPr>
          <w:p w14:paraId="27B3D27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Gamma-glutamyl transferase increased</w:t>
            </w:r>
          </w:p>
        </w:tc>
        <w:tc>
          <w:tcPr>
            <w:tcW w:w="1970" w:type="dxa"/>
            <w:tcBorders>
              <w:top w:val="nil"/>
              <w:left w:val="nil"/>
              <w:bottom w:val="nil"/>
              <w:right w:val="nil"/>
            </w:tcBorders>
            <w:vAlign w:val="center"/>
          </w:tcPr>
          <w:p w14:paraId="389D22C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7F4BEB1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1E8666B6"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{"citationID":"5mubxp2P","properties":{"formattedCitation":"(30)","plainCitation":"(30)","noteIndex":0},"citationItems":[{"id":416,"uris":["http://zotero.org/users/local/eBJtW3GH/items/AQJAPH7L"],"itemData":{"id":416,"type":"article-journal","abstract":"BACKGROUND AND OBJECTIVE: Unresectable hepatocellular carcinoma (uHCC) is the main histological subtype of liver cancer and causes a great disease burden in China. We aimed to evaluate the cost-effectiveness of five first-line systemic treatments newly approved in the Chinese market for the treatment of uHCC, namely, sorafenib, lenvatinib, donafenib, sintilimab plus bevacizumab (D + A), and atezolizumab plus bevacizumab (T + A) from the perspective of China's healthcare system, to provide a basis for decision-making.\nMETHODS: We constructed a network meta-analysis of 4 clinical trials and used fractional polynomial models to indirectly compare the effectiveness of treatments. The partitioned survival model was used for cost-effectiveness analysis. Primary model outcomes included the costs in US dollars and health outcomes in quality-adjusted life-years (QALYs) and the incremental cost-effectiveness ratio (ICER) under a willingness-to-pay threshold of $33,521 (3 times the per capita gross domestic product in China) per QALY. We performed deterministic and probabilistic sensitivity analyses to investigate the robustness. To test the effect of active treatment duration on the conclusions, we performed a scenario analysis.\nRESULTS: Compared with sorafenib, lenvatinib, donafenib, D + A, and T + A regimens, it yielded an increase of 0.25, 0.30, 0.95, and 1.46 life-years, respectively. Correspondingly, these four therapies yielded an additional 0.16, 0.19, 0.51, and 0.86 QALYs and all four ICERs, $40,667.92/QALY gained, $27,630.63/QALY gained, $51,877.36/QALY gained, and $130,508.44/QALY gained, were higher than $33,521 except for donafenib. T + A was the most effective treatment and donafenib was the most economical option. Sensitivity and scenario analysis results showed that the base-case analysis was highly reliable.\nCONCLUSION: Although combination therapy could greatly improve patients with uHCC survival benefits, under the current WTP, donafenib is still the most economical option.","container-title":"Frontiers in Public Health","DOI":"10.3389/fpubh.2022.869960","ISSN":"2296-2565","journalAbbreviation":"Front Public Health","language":"en","note":"PMID: 35493395\nPMCID: PMC9051228","page":"869960","source":"PubMed","title":"Cost-Effectiveness Analysis of Five Systemic Treatments for Unresectable Hepatocellular Carcinoma in China: An Economic Evaluation Based on Network Meta-Analysis","title-short":"Cost-Effectiveness Analysis of Five Systemic Treatments for Unresectable Hepatocellular Carcinoma in China","volume":"10","author":[{"family":"Zhao","given":"Mingye"},{"family":"Pan","given":"Xingming"},{"family":"Yin","given":"Yue"},{"family":"Hu","given":"Hongfei"},{"family":"Wei","given":"Jifu"},{"family":"Bai","given":"Zhaoshi"},{"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[30]</w:t>
            </w:r>
            <w:r>
              <w:rPr>
                <w:rFonts w:eastAsiaTheme="minorEastAsia"/>
                <w:b w:val="0"/>
                <w:bCs w:val="0"/>
                <w:sz w:val="18"/>
                <w:szCs w:val="18"/>
              </w:rPr>
              <w:fldChar w:fldCharType="end"/>
            </w:r>
          </w:p>
        </w:tc>
      </w:tr>
      <w:tr w:rsidR="006D1C3F" w14:paraId="335C95DD" w14:textId="77777777">
        <w:trPr>
          <w:trHeight w:val="289"/>
        </w:trPr>
        <w:tc>
          <w:tcPr>
            <w:tcW w:w="2401" w:type="dxa"/>
            <w:tcBorders>
              <w:top w:val="nil"/>
              <w:left w:val="nil"/>
              <w:bottom w:val="nil"/>
              <w:right w:val="nil"/>
            </w:tcBorders>
            <w:vAlign w:val="center"/>
          </w:tcPr>
          <w:p w14:paraId="36DFB0F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Fatigue</w:t>
            </w:r>
          </w:p>
        </w:tc>
        <w:tc>
          <w:tcPr>
            <w:tcW w:w="1970" w:type="dxa"/>
            <w:tcBorders>
              <w:top w:val="nil"/>
              <w:left w:val="nil"/>
              <w:bottom w:val="nil"/>
              <w:right w:val="nil"/>
            </w:tcBorders>
            <w:vAlign w:val="center"/>
          </w:tcPr>
          <w:p w14:paraId="3E93B42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0.07</w:t>
            </w:r>
          </w:p>
        </w:tc>
        <w:tc>
          <w:tcPr>
            <w:tcW w:w="2390" w:type="dxa"/>
            <w:tcBorders>
              <w:top w:val="nil"/>
              <w:left w:val="nil"/>
              <w:bottom w:val="nil"/>
              <w:right w:val="nil"/>
            </w:tcBorders>
            <w:vAlign w:val="center"/>
          </w:tcPr>
          <w:p w14:paraId="4372917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0.06~0.09</w:t>
            </w:r>
          </w:p>
        </w:tc>
        <w:tc>
          <w:tcPr>
            <w:tcW w:w="1535" w:type="dxa"/>
            <w:tcBorders>
              <w:top w:val="nil"/>
              <w:left w:val="nil"/>
              <w:bottom w:val="nil"/>
              <w:right w:val="nil"/>
            </w:tcBorders>
            <w:vAlign w:val="center"/>
          </w:tcPr>
          <w:p w14:paraId="1D43212E"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{"citationID":"Kopqtnw1","properties":{"formattedCitation":"(33)","plainCitation":"(33)","noteIndex":0},"citationItems":[{"id":424,"uris":["http://zotero.org/users/local/eBJtW3GH/items/UVBW6KQ5"],"itemData":{"id":424,"type":"article-journal","abstract":"BACKGROUND: Metastatic Merkel cell carcinoma (mMCC) is a rare and aggressive skin cancer. Until recently, there were no licensed treatment options for patients with mMCC, and prognosis was poor. A cost-effectiveness analysis was conducted for avelumab, a newly available treatment option for mMCC, versus standard care (SC), from a UK National Health Service perspective.\nMETHODS: A partitioned survival model was developed to assess the lifetime costs and effects of avelumab versus SC. Data from the JAVELIN Merkel 200 trial (NCT02155647) were used to inform estimates of quality-adjusted life-years (QALYs). Unit costs and associated frequencies of use were informed by published literature and clinical expert opinion. Results were presented as incremental cost-effectiveness ratios (ICERs, i.e. the cost per QALY gained) for treatment-experienced (TE) and treatment-naïve (TN) patients. Uncertainty was explored through a range of sensitivity analyses.\nRESULTS: Discounting costs and QALYs at 3.5% per annum, avelumab was associated with ICERs of £35,274 (TE)/£39,178 (TN) per QALY gained. Probabilistic sensitivity analysis results demonstrated that avelumab was associated with an 88.3% (TE)/69.3% (TN) probability of being cost effective at a willingness-to-pay threshold for end-of-life treatments of £50,000 per QALY gained. Results were most sensitive to alternative survival extrapolations and dosing assumptions.\nCONCLUSIONS: The analysis results suggest that avelumab is likely to be a cost-effective treatment option for UK mMCC patients. The results for TN patients are subject to some uncertainty, and a confirmatory analysis will be conducted with more mature data.","container-title":"PharmacoEconomics - Open","DOI":"10.1007/s41669-018-0115-y","ISSN":"2509-4254","issue":"3","journalAbbreviation":"Pharmacoecon Open","language":"en","note":"PMID: 30680676\nPMCID: PMC6710317","page":"377-390","source":"PubMed","title":"Cost Effectiveness of Avelumab for Metastatic Merkel Cell Carcinoma","volume":"3","author":[{"family":"Bullement","given":"Ash"},{"family":"Nathan","given":"Paul"},{"family":"Willis","given":"Anna"},{"family":"Amin","given":"Amerah"},{"family":"Lilley","given":"Cameron"},{"family":"Stapelkamp","given":"Ceilidh"},{"family":"Hatswell","given":"Anthony"},{"family":"Pescott","given":"Chris"},{"family":"Bharmal","given":"Murtuza"}],"issued":{"date-parts":[["2019",9]]}}}],"schema":"https://github.com/citation-style-language/schema/raw/master/csl-citation.json"} </w:instrText>
            </w:r>
            <w:r>
              <w:rPr>
                <w:rFonts w:eastAsiaTheme="minorEastAsia"/>
                <w:b w:val="0"/>
                <w:bCs w:val="0"/>
                <w:sz w:val="18"/>
                <w:szCs w:val="18"/>
              </w:rPr>
              <w:fldChar w:fldCharType="separate"/>
            </w:r>
            <w:r>
              <w:rPr>
                <w:b w:val="0"/>
                <w:bCs w:val="0"/>
                <w:sz w:val="18"/>
              </w:rPr>
              <w:t>[33]</w:t>
            </w:r>
            <w:r>
              <w:rPr>
                <w:rFonts w:eastAsiaTheme="minorEastAsia"/>
                <w:b w:val="0"/>
                <w:bCs w:val="0"/>
                <w:sz w:val="18"/>
                <w:szCs w:val="18"/>
              </w:rPr>
              <w:fldChar w:fldCharType="end"/>
            </w:r>
          </w:p>
        </w:tc>
      </w:tr>
      <w:tr w:rsidR="006D1C3F" w14:paraId="0D4C24FA" w14:textId="77777777">
        <w:trPr>
          <w:trHeight w:val="289"/>
        </w:trPr>
        <w:tc>
          <w:tcPr>
            <w:tcW w:w="2401" w:type="dxa"/>
            <w:tcBorders>
              <w:top w:val="nil"/>
              <w:left w:val="nil"/>
              <w:bottom w:val="nil"/>
              <w:right w:val="nil"/>
            </w:tcBorders>
            <w:vAlign w:val="center"/>
          </w:tcPr>
          <w:p w14:paraId="01EE02F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Vomiting</w:t>
            </w:r>
          </w:p>
        </w:tc>
        <w:tc>
          <w:tcPr>
            <w:tcW w:w="1970" w:type="dxa"/>
            <w:tcBorders>
              <w:top w:val="nil"/>
              <w:left w:val="nil"/>
              <w:bottom w:val="nil"/>
              <w:right w:val="nil"/>
            </w:tcBorders>
            <w:vAlign w:val="center"/>
          </w:tcPr>
          <w:p w14:paraId="22F3D89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0.12</w:t>
            </w:r>
          </w:p>
        </w:tc>
        <w:tc>
          <w:tcPr>
            <w:tcW w:w="2390" w:type="dxa"/>
            <w:tcBorders>
              <w:top w:val="nil"/>
              <w:left w:val="nil"/>
              <w:bottom w:val="nil"/>
              <w:right w:val="nil"/>
            </w:tcBorders>
            <w:vAlign w:val="center"/>
          </w:tcPr>
          <w:p w14:paraId="7FC8775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0.10~0.14</w:t>
            </w:r>
          </w:p>
        </w:tc>
        <w:tc>
          <w:tcPr>
            <w:tcW w:w="1535" w:type="dxa"/>
            <w:tcBorders>
              <w:top w:val="nil"/>
              <w:left w:val="nil"/>
              <w:bottom w:val="nil"/>
              <w:right w:val="nil"/>
            </w:tcBorders>
            <w:vAlign w:val="center"/>
          </w:tcPr>
          <w:p w14:paraId="48981436"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{"citationID":"jmVzNc3M","properties":{"formattedCitation":"(29)","plainCitation":"(29)","noteIndex":0},"citationItems":[{"id":413,"uris":["http://zotero.org/users/local/eBJtW3GH/items/ZBHVACMW"],"itemData":{"id":413,"type":"article-journal","abstract":"BACKGROUND: Lung cancer is imposing significant pressure on the national health insurance system worldwide, especially under the COVID-19 pandemic. However, the cost-effectiveness of all available first-line treatments for patients with advanced epidermal growth factor receptor (EGFR) mutated non-small cell lung cancer (NSCLC) is still uncertain. The aim of this study was to evaluate the cost-effectiveness of 12 first-line treatments for patients with advanced EGFR mutated NSCLC from the perspective of the United Kingdom (UK) National Health Service and Chinese health care system.\nMETHODS: We used a Markov model to estimate the cost-effectiveness of 12 treatments, including 6 EGFR tyrosine kinase inhibitors, 4 combination treatments and 2 chemotherapies. The key clinical efficacy and safety data were from a network meta-analysis. The cost and health preference were mainly collected from the literature. The most cost-effective treatment was inferred through a sequential analysis. Uncertainty was tested with one-way sensitivity analyses, scenario analyses, and probabilistic sensitivity analyses. Quality-adjusted life years (QALYs), direct medical costs, and incremental cost-effectiveness ratio (ICER) were estimated, at willingness-to-pay thresholds of £20000 to £50000 and £8000 to £24000 per QALY in the UK and China respectively.\nRESULTS: For clinical effectiveness, osimertinib and gefitinib plus pemetrexed based chemotherapy (PbCT) yielded the highest QALYs, while two chemotherapy treatments gained the lowest QALYs. For costs, gefitinib treatment was the cheapest option in both countries (£24529 in the UK and £12961 in China). For cost-effectiveness, 4 treatments including gefitinib, gefitinib plus pemetrexed, gefitinib plus PbCT, and osimertinib formed the cost-effectiveness frontier in both countries. Gefitinib alone (70.7% and 80.0% under the threshold of £20000 and £8000 per QALY in the UK and China, respectively) and gefitinib plus PbCT (62.3% and 71.2% under the threshold of £50000 and £24000 per QALY in the UK and China, respectively) were most likely to be cost-effective compared with other first-line treatments.\nCONCLUSIONS: Gefitinib and gefitinib plus PbCT were likely to be cost-effective for patients with advanced EGFR mutated NSCLC in both countries.","container-title":"Frontiers in Oncology","DOI":"10.3389/fonc.2022.819674","ISSN":"2234-943X","journalAbbreviation":"Front Oncol","language":"en","note":"PMID: 35785198\nPMCID: PMC9241581","page":"819674","source":"PubMed","title":"Cost-Effectiveness of 12 First-Line Treatments for Patients With Advanced EGFR Mutated NSCLC in the United Kingdom and China","volume":"12","author":[{"family":"Guan","given":"Haijing"},{"family":"Wang","given":"Chunping"},{"family":"Chen","given":"Chen"},{"family":"Han","given":"Sheng"},{"family":"Zhao","given":"Zhigang"}],"issued":{"date-parts":[["2022"]]}}}],"schema":"https://github.com/citation-style-language/schema/raw/master/csl-citation.json"} </w:instrText>
            </w:r>
            <w:r>
              <w:rPr>
                <w:rFonts w:eastAsiaTheme="minorEastAsia"/>
                <w:b w:val="0"/>
                <w:bCs w:val="0"/>
                <w:sz w:val="18"/>
                <w:szCs w:val="18"/>
              </w:rPr>
              <w:fldChar w:fldCharType="separate"/>
            </w:r>
            <w:r>
              <w:rPr>
                <w:b w:val="0"/>
                <w:bCs w:val="0"/>
                <w:sz w:val="18"/>
              </w:rPr>
              <w:t>[29]</w:t>
            </w:r>
            <w:r>
              <w:rPr>
                <w:rFonts w:eastAsiaTheme="minorEastAsia"/>
                <w:b w:val="0"/>
                <w:bCs w:val="0"/>
                <w:sz w:val="18"/>
                <w:szCs w:val="18"/>
              </w:rPr>
              <w:fldChar w:fldCharType="end"/>
            </w:r>
          </w:p>
        </w:tc>
      </w:tr>
      <w:tr w:rsidR="006D1C3F" w14:paraId="76CFDEE7" w14:textId="77777777">
        <w:trPr>
          <w:trHeight w:val="289"/>
        </w:trPr>
        <w:tc>
          <w:tcPr>
            <w:tcW w:w="2401" w:type="dxa"/>
            <w:tcBorders>
              <w:top w:val="nil"/>
              <w:left w:val="nil"/>
              <w:bottom w:val="nil"/>
              <w:right w:val="nil"/>
            </w:tcBorders>
            <w:vAlign w:val="center"/>
          </w:tcPr>
          <w:p w14:paraId="3D3337A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Dyspnea</w:t>
            </w:r>
          </w:p>
        </w:tc>
        <w:tc>
          <w:tcPr>
            <w:tcW w:w="1970" w:type="dxa"/>
            <w:tcBorders>
              <w:top w:val="nil"/>
              <w:left w:val="nil"/>
              <w:bottom w:val="nil"/>
              <w:right w:val="nil"/>
            </w:tcBorders>
            <w:vAlign w:val="center"/>
          </w:tcPr>
          <w:p w14:paraId="70E9E6C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5847C24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53F4F10A"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{"citationID":"hBstIVZD","properties":{"formattedCitation":"(30)","plainCitation":"(30)","noteIndex":0},"citationItems":[{"id":416,"uris":["http://zotero.org/users/local/eBJtW3GH/items/AQJAPH7L"],"itemData":{"id":416,"type":"article-journal","abstract":"BACKGROUND AND OBJECTIVE: Unresectable hepatocellular carcinoma (uHCC) is the main histological subtype of liver cancer and causes a great disease burden in China. We aimed to evaluate the cost-effectiveness of five first-line systemic treatments newly approved in the Chinese market for the treatment of uHCC, namely, sorafenib, lenvatinib, donafenib, sintilimab plus bevacizumab (D + A), and atezolizumab plus bevacizumab (T + A) from the perspective of China's healthcare system, to provide a basis for decision-making.\nMETHODS: We constructed a network meta-analysis of 4 clinical trials and used fractional polynomial models to indirectly compare the effectiveness of treatments. The partitioned survival model was used for cost-effectiveness analysis. Primary model outcomes included the costs in US dollars and health outcomes in quality-adjusted life-years (QALYs) and the incremental cost-effectiveness ratio (ICER) under a willingness-to-pay threshold of $33,521 (3 times the per capita gross domestic product in China) per QALY. We performed deterministic and probabilistic sensitivity analyses to investigate the robustness. To test the effect of active treatment duration on the conclusions, we performed a scenario analysis.\nRESULTS: Compared with sorafenib, lenvatinib, donafenib, D + A, and T + A regimens, it yielded an increase of 0.25, 0.30, 0.95, and 1.46 life-years, respectively. Correspondingly, these four therapies yielded an additional 0.16, 0.19, 0.51, and 0.86 QALYs and all four ICERs, $40,667.92/QALY gained, $27,630.63/QALY gained, $51,877.36/QALY gained, and $130,508.44/QALY gained, were higher than $33,521 except for donafenib. T + A was the most effective treatment and donafenib was the most economical option. Sensitivity and scenario analysis results showed that the base-case analysis was highly reliable.\nCONCLUSION: Although combination therapy could greatly improve patients with uHCC survival benefits, under the current WTP, donafenib is still the most economical option.","container-title":"Frontiers in Public Health","DOI":"10.3389/fpubh.2022.869960","ISSN":"2296-2565","journalAbbreviation":"Front Public Health","language":"en","note":"PMID: 35493395\nPMCID: PMC9051228","page":"869960","source":"PubMed","title":"Cost-Effectiveness Analysis of Five Systemic Treatments for Unresectable Hepatocellular Carcinoma in China: An Economic Evaluation Based on Network Meta-Analysis","title-short":"Cost-Effectiveness Analysis of Five Systemic Treatments for Unresectable Hepatocellular Carcinoma in China","volume":"10","author":[{"family":"Zhao","given":"Mingye"},{"family":"Pan","given":"Xingming"},{"family":"Yin","given":"Yue"},{"family":"Hu","given":"Hongfei"},{"family":"Wei","given":"Jifu"},{"family":"Bai","given":"Zhaoshi"},{"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[30]</w:t>
            </w:r>
            <w:r>
              <w:rPr>
                <w:rFonts w:eastAsiaTheme="minorEastAsia"/>
                <w:b w:val="0"/>
                <w:bCs w:val="0"/>
                <w:sz w:val="18"/>
                <w:szCs w:val="18"/>
              </w:rPr>
              <w:fldChar w:fldCharType="end"/>
            </w:r>
          </w:p>
        </w:tc>
      </w:tr>
      <w:tr w:rsidR="006D1C3F" w14:paraId="5B4719AD" w14:textId="77777777">
        <w:trPr>
          <w:trHeight w:val="289"/>
        </w:trPr>
        <w:tc>
          <w:tcPr>
            <w:tcW w:w="2401" w:type="dxa"/>
            <w:tcBorders>
              <w:top w:val="nil"/>
              <w:left w:val="nil"/>
              <w:bottom w:val="nil"/>
              <w:right w:val="nil"/>
            </w:tcBorders>
            <w:vAlign w:val="center"/>
          </w:tcPr>
          <w:p w14:paraId="1FA72EB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Rash</w:t>
            </w:r>
          </w:p>
        </w:tc>
        <w:tc>
          <w:tcPr>
            <w:tcW w:w="1970" w:type="dxa"/>
            <w:tcBorders>
              <w:top w:val="nil"/>
              <w:left w:val="nil"/>
              <w:bottom w:val="nil"/>
              <w:right w:val="nil"/>
            </w:tcBorders>
            <w:vAlign w:val="center"/>
          </w:tcPr>
          <w:p w14:paraId="6BB70FF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0.10</w:t>
            </w:r>
          </w:p>
        </w:tc>
        <w:tc>
          <w:tcPr>
            <w:tcW w:w="2390" w:type="dxa"/>
            <w:tcBorders>
              <w:top w:val="nil"/>
              <w:left w:val="nil"/>
              <w:bottom w:val="nil"/>
              <w:right w:val="nil"/>
            </w:tcBorders>
            <w:vAlign w:val="center"/>
          </w:tcPr>
          <w:p w14:paraId="68ED7F5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0.08~0.12</w:t>
            </w:r>
          </w:p>
        </w:tc>
        <w:tc>
          <w:tcPr>
            <w:tcW w:w="1535" w:type="dxa"/>
            <w:tcBorders>
              <w:top w:val="nil"/>
              <w:left w:val="nil"/>
              <w:bottom w:val="nil"/>
              <w:right w:val="nil"/>
            </w:tcBorders>
            <w:vAlign w:val="center"/>
          </w:tcPr>
          <w:p w14:paraId="7A3B981A"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{"citationID":"IRab00Id","properties":{"formattedCitation":"(29)","plainCitation":"(29)","noteIndex":0},"citationItems":[{"id":413,"uris":["http://zotero.org/users/local/eBJtW3GH/items/ZBHVACMW"],"itemData":{"id":413,"type":"article-journal","abstract":"BACKGROUND: Lung cancer is imposing significant pressure on the national health insurance system worldwide, especially under the COVID-19 pandemic. However, the cost-effectiveness of all available first-line treatments for patients with advanced epidermal growth factor receptor (EGFR) mutated non-small cell lung cancer (NSCLC) is still uncertain. The aim of this study was to evaluate the cost-effectiveness of 12 first-line treatments for patients with advanced EGFR mutated NSCLC from the perspective of the United Kingdom (UK) National Health Service and Chinese health care system.\nMETHODS: We used a Markov model to estimate the cost-effectiveness of 12 treatments, including 6 EGFR tyrosine kinase inhibitors, 4 combination treatments and 2 chemotherapies. The key clinical efficacy and safety data were from a network meta-analysis. The cost and health preference were mainly collected from the literature. The most cost-effective treatment was inferred through a sequential analysis. Uncertainty was tested with one-way sensitivity analyses, scenario analyses, and probabilistic sensitivity analyses. Quality-adjusted life years (QALYs), direct medical costs, and incremental cost-effectiveness ratio (ICER) were estimated, at willingness-to-pay thresholds of £20000 to £50000 and £8000 to £24000 per QALY in the UK and China respectively.\nRESULTS: For clinical effectiveness, osimertinib and gefitinib plus pemetrexed based chemotherapy (PbCT) yielded the highest QALYs, while two chemotherapy treatments gained the lowest QALYs. For costs, gefitinib treatment was the cheapest option in both countries (£24529 in the UK and £12961 in China). For cost-effectiveness, 4 treatments including gefitinib, gefitinib plus pemetrexed, gefitinib plus PbCT, and osimertinib formed the cost-effectiveness frontier in both countries. Gefitinib alone (70.7% and 80.0% under the threshold of £20000 and £8000 per QALY in the UK and China, respectively) and gefitinib plus PbCT (62.3% and 71.2% under the threshold of £50000 and £24000 per QALY in the UK and China, respectively) were most likely to be cost-effective compared with other first-line treatments.\nCONCLUSIONS: Gefitinib and gefitinib plus PbCT were likely to be cost-effective for patients with advanced EGFR mutated NSCLC in both countries.","container-title":"Frontiers in Oncology","DOI":"10.3389/fonc.2022.819674","ISSN":"2234-943X","journalAbbreviation":"Front Oncol","language":"en","note":"PMID: 35785198\nPMCID: PMC9241581","page":"819674","source":"PubMed","title":"Cost-Effectiveness of 12 First-Line Treatments for Patients With Advanced EGFR Mutated NSCLC in the United Kingdom and China","volume":"12","author":[{"family":"Guan","given":"Haijing"},{"family":"Wang","given":"Chunping"},{"family":"Chen","given":"Chen"},{"family":"Han","given":"Sheng"},{"family":"Zhao","given":"Zhigang"}],"issued":{"date-parts":[["2022"]]}}}],"schema":"https://github.com/citation-style-language/schema/raw/master/csl-citation.json"} </w:instrText>
            </w:r>
            <w:r>
              <w:rPr>
                <w:rFonts w:eastAsiaTheme="minorEastAsia"/>
                <w:b w:val="0"/>
                <w:bCs w:val="0"/>
                <w:sz w:val="18"/>
                <w:szCs w:val="18"/>
              </w:rPr>
              <w:fldChar w:fldCharType="separate"/>
            </w:r>
            <w:r>
              <w:rPr>
                <w:b w:val="0"/>
                <w:bCs w:val="0"/>
                <w:sz w:val="18"/>
              </w:rPr>
              <w:t>[29]</w:t>
            </w:r>
            <w:r>
              <w:rPr>
                <w:rFonts w:eastAsiaTheme="minorEastAsia"/>
                <w:b w:val="0"/>
                <w:bCs w:val="0"/>
                <w:sz w:val="18"/>
                <w:szCs w:val="18"/>
              </w:rPr>
              <w:fldChar w:fldCharType="end"/>
            </w:r>
          </w:p>
        </w:tc>
      </w:tr>
      <w:tr w:rsidR="006D1C3F" w14:paraId="74E22461" w14:textId="77777777">
        <w:trPr>
          <w:trHeight w:val="289"/>
        </w:trPr>
        <w:tc>
          <w:tcPr>
            <w:tcW w:w="2401" w:type="dxa"/>
            <w:tcBorders>
              <w:top w:val="nil"/>
              <w:left w:val="nil"/>
              <w:bottom w:val="nil"/>
              <w:right w:val="nil"/>
            </w:tcBorders>
            <w:vAlign w:val="center"/>
          </w:tcPr>
          <w:p w14:paraId="51B0E1F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Neutrophil count decreased</w:t>
            </w:r>
          </w:p>
        </w:tc>
        <w:tc>
          <w:tcPr>
            <w:tcW w:w="1970" w:type="dxa"/>
            <w:tcBorders>
              <w:top w:val="nil"/>
              <w:left w:val="nil"/>
              <w:bottom w:val="nil"/>
              <w:right w:val="nil"/>
            </w:tcBorders>
            <w:vAlign w:val="center"/>
          </w:tcPr>
          <w:p w14:paraId="09DA35C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0.20</w:t>
            </w:r>
          </w:p>
        </w:tc>
        <w:tc>
          <w:tcPr>
            <w:tcW w:w="2390" w:type="dxa"/>
            <w:tcBorders>
              <w:top w:val="nil"/>
              <w:left w:val="nil"/>
              <w:bottom w:val="nil"/>
              <w:right w:val="nil"/>
            </w:tcBorders>
            <w:vAlign w:val="center"/>
          </w:tcPr>
          <w:p w14:paraId="134CB8E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0.16~0.24</w:t>
            </w:r>
          </w:p>
        </w:tc>
        <w:tc>
          <w:tcPr>
            <w:tcW w:w="1535" w:type="dxa"/>
            <w:tcBorders>
              <w:top w:val="nil"/>
              <w:left w:val="nil"/>
              <w:bottom w:val="nil"/>
              <w:right w:val="nil"/>
            </w:tcBorders>
            <w:vAlign w:val="center"/>
          </w:tcPr>
          <w:p w14:paraId="015D5713"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{"citationID":"v7SMUQ1j","properties":{"formattedCitation":"(34)","plainCitation":"(34)","noteIndex":0},"citationItems":[{"id":427,"uris":["http://zotero.org/users/local/eBJtW3GH/items/KY3DNSQA"],"itemData":{"id":427,"type":"article-journal","abstract":"BACKGROUND: Serplulimab is a potential valuable therapy, while patients, physicians, and decision-makers are uncertain about the cost-effectiveness of this novel drug and its corresponding reasonable price. This study aimed to simulate the price at which serplulimab was cost-effective as first-line therapy for United States (US) and Chinese extensive-stage small-cell lung cancer (ES-SCLC) patients.\nMETHODS: In this economic evaluation, a partitioned survival model was constructed from the perspective of US and Chinese payers. Baseline characteristics of patients and critical clinical data were obtained from ASTRUM-005. Costs and utilities were collected from open-access databases and published literature. Cumulative costs (in US dollars), life years, quality-adjusted life years (QALYs), and incremental cost-effectiveness ratios (ICERs) were measured and compared. Price simulation was conducted to inform the pricing strategy at the given willingness-to-pay (WTP) threshold. The robustness of the model was assessed via sensitivity analyses and scenario analyses; subgroup analyses were also included.\nRESULTS: Base-case analysis indicated that serplulimab ($818.16/100 mg) would be cost-effective in the US at the WTP threshold of $150,000, with improved effectiveness of 0.61 QALYs and an additional cost of $64,918 (ICER $106,757). Serplulimab ($818.16/100 mg, patient assistance program considered) was cost-effective in China, with improved effectiveness of 0.58 QALYs and an increased overall cost of $19,369 (ICER $33,392). The price simulation results indicated that serplulimab was favored in the US when the price was less than $762.11/100 mg and $1261.57/100 mg at the WTP threshold of $100,000 and $150,000, respectively; it was cost-effective at the WTP threshold of $38,184 when the price was less than $373.37/100 mg in China. Sensitivity analyses revealed that the above results were stable. Subgroup analysis results indicated an overall trend for subgroups with better survival advantages to have a higher probability of cost-effectiveness, despite serplulimab not being cost-effective in some subgroups.\nCONCLUSIONS: Serplulimab might be a valuable and cost-effective therapy in both the US and China. The evidence-based pricing strategy provided by this study could benefit decision-makers in making optimal decisions and clinicians in general clinical practice. More evidence about the budget impact and affordability for patients is needed.","container-title":"BioDrugs: Clinical Immunotherapeutics, Biopharmaceuticals and Gene Therapy","DOI":"10.1007/s40259-023-00586-6","ISSN":"1179-190X","issue":"3","journalAbbreviation":"BioDrugs","language":"en","note":"PMID: 36840914","page":"421-432","source":"PubMed","title":"Serplulimab Plus Chemotherapy vs Chemotherapy for Treatment of US and Chinese Patients with Extensive-Stage Small-Cell Lung Cancer: A Cost-Effectiveness Analysis to Inform Drug Pricing","title-short":"Serplulimab Plus Chemotherapy vs Chemotherapy for Treatment of US and Chinese Patients with Extensive-Stage Small-Cell Lung Cancer","volume":"37","author":[{"family":"Shao","given":"Taihang"},{"family":"Zhao","given":"Mingye"},{"family":"Liang","given":"Leyi"},{"family":"Tang","given":"Wenxi"}],"issued":{"date-parts":[["2023",5]]}}}],"schema":"https://github.com/citation-style-language/schema/raw/master/csl-citation.json"} </w:instrText>
            </w:r>
            <w:r>
              <w:rPr>
                <w:rFonts w:eastAsiaTheme="minorEastAsia"/>
                <w:b w:val="0"/>
                <w:bCs w:val="0"/>
                <w:sz w:val="18"/>
                <w:szCs w:val="18"/>
              </w:rPr>
              <w:fldChar w:fldCharType="separate"/>
            </w:r>
            <w:r>
              <w:rPr>
                <w:b w:val="0"/>
                <w:bCs w:val="0"/>
                <w:sz w:val="18"/>
              </w:rPr>
              <w:t>[34]</w:t>
            </w:r>
            <w:r>
              <w:rPr>
                <w:rFonts w:eastAsiaTheme="minorEastAsia"/>
                <w:b w:val="0"/>
                <w:bCs w:val="0"/>
                <w:sz w:val="18"/>
                <w:szCs w:val="18"/>
              </w:rPr>
              <w:fldChar w:fldCharType="end"/>
            </w:r>
          </w:p>
        </w:tc>
      </w:tr>
      <w:tr w:rsidR="006D1C3F" w14:paraId="388170C6" w14:textId="77777777">
        <w:trPr>
          <w:trHeight w:val="289"/>
        </w:trPr>
        <w:tc>
          <w:tcPr>
            <w:tcW w:w="2401" w:type="dxa"/>
            <w:tcBorders>
              <w:top w:val="nil"/>
              <w:left w:val="nil"/>
              <w:bottom w:val="nil"/>
              <w:right w:val="nil"/>
            </w:tcBorders>
            <w:vAlign w:val="center"/>
          </w:tcPr>
          <w:p w14:paraId="229A8B1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Anemia</w:t>
            </w:r>
          </w:p>
        </w:tc>
        <w:tc>
          <w:tcPr>
            <w:tcW w:w="1970" w:type="dxa"/>
            <w:tcBorders>
              <w:top w:val="nil"/>
              <w:left w:val="nil"/>
              <w:bottom w:val="nil"/>
              <w:right w:val="nil"/>
            </w:tcBorders>
            <w:vAlign w:val="center"/>
          </w:tcPr>
          <w:p w14:paraId="1DD694F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0.07</w:t>
            </w:r>
          </w:p>
        </w:tc>
        <w:tc>
          <w:tcPr>
            <w:tcW w:w="2390" w:type="dxa"/>
            <w:tcBorders>
              <w:top w:val="nil"/>
              <w:left w:val="nil"/>
              <w:bottom w:val="nil"/>
              <w:right w:val="nil"/>
            </w:tcBorders>
            <w:vAlign w:val="center"/>
          </w:tcPr>
          <w:p w14:paraId="4C1CEC7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0.06~0.08</w:t>
            </w:r>
          </w:p>
        </w:tc>
        <w:tc>
          <w:tcPr>
            <w:tcW w:w="1535" w:type="dxa"/>
            <w:tcBorders>
              <w:top w:val="nil"/>
              <w:left w:val="nil"/>
              <w:bottom w:val="nil"/>
              <w:right w:val="nil"/>
            </w:tcBorders>
            <w:vAlign w:val="center"/>
          </w:tcPr>
          <w:p w14:paraId="0CA8884C"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{"citationID":"v2pIWHq2","properties":{"formattedCitation":"(34)","plainCitation":"(34)","noteIndex":0},"citationItems":[{"id":427,"uris":["http://zotero.org/users/local/eBJtW3GH/items/KY3DNSQA"],"itemData":{"id":427,"type":"article-journal","abstract":"BACKGROUND: Serplulimab is a potential valuable therapy, while patients, physicians, and decision-makers are uncertain about the cost-effectiveness of this novel drug and its corresponding reasonable price. This study aimed to simulate the price at which serplulimab was cost-effective as first-line therapy for United States (US) and Chinese extensive-stage small-cell lung cancer (ES-SCLC) patients.\nMETHODS: In this economic evaluation, a partitioned survival model was constructed from the perspective of US and Chinese payers. Baseline characteristics of patients and critical clinical data were obtained from ASTRUM-005. Costs and utilities were collected from open-access databases and published literature. Cumulative costs (in US dollars), life years, quality-adjusted life years (QALYs), and incremental cost-effectiveness ratios (ICERs) were measured and compared. Price simulation was conducted to inform the pricing strategy at the given willingness-to-pay (WTP) threshold. The robustness of the model was assessed via sensitivity analyses and scenario analyses; subgroup analyses were also included.\nRESULTS: Base-case analysis indicated that serplulimab ($818.16/100 mg) would be cost-effective in the US at the WTP threshold of $150,000, with improved effectiveness of 0.61 QALYs and an additional cost of $64,918 (ICER $106,757). Serplulimab ($818.16/100 mg, patient assistance program considered) was cost-effective in China, with improved effectiveness of 0.58 QALYs and an increased overall cost of $19,369 (ICER $33,392). The price simulation results indicated that serplulimab was favored in the US when the price was less than $762.11/100 mg and $1261.57/100 mg at the WTP threshold of $100,000 and $150,000, respectively; it was cost-effective at the WTP threshold of $38,184 when the price was less than $373.37/100 mg in China. Sensitivity analyses revealed that the above results were stable. Subgroup analysis results indicated an overall trend for subgroups with better survival advantages to have a higher probability of cost-effectiveness, despite serplulimab not being cost-effective in some subgroups.\nCONCLUSIONS: Serplulimab might be a valuable and cost-effective therapy in both the US and China. The evidence-based pricing strategy provided by this study could benefit decision-makers in making optimal decisions and clinicians in general clinical practice. More evidence about the budget impact and affordability for patients is needed.","container-title":"BioDrugs: Clinical Immunotherapeutics, Biopharmaceuticals and Gene Therapy","DOI":"10.1007/s40259-023-00586-6","ISSN":"1179-190X","issue":"3","journalAbbreviation":"BioDrugs","language":"en","note":"PMID: 36840914","page":"421-432","source":"PubMed","title":"Serplulimab Plus Chemotherapy vs Chemotherapy for Treatment of US and Chinese Patients with Extensive-Stage Small-Cell Lung Cancer: A Cost-Effectiveness Analysis to Inform Drug Pricing","title-short":"Serplulimab Plus Chemotherapy vs Chemotherapy for Treatment of US and Chinese Patients with Extensive-Stage Small-Cell Lung Cancer","volume":"37","author":[{"family":"Shao","given":"Taihang"},{"family":"Zhao","given":"Mingye"},{"family":"Liang","given":"Leyi"},{"family":"Tang","given":"Wenxi"}],"issued":{"date-parts":[["2023",5]]}}}],"schema":"https://github.com/citation-style-language/schema/raw/master/csl-citation.json"} </w:instrText>
            </w:r>
            <w:r>
              <w:rPr>
                <w:rFonts w:eastAsiaTheme="minorEastAsia"/>
                <w:b w:val="0"/>
                <w:bCs w:val="0"/>
                <w:sz w:val="18"/>
                <w:szCs w:val="18"/>
              </w:rPr>
              <w:fldChar w:fldCharType="separate"/>
            </w:r>
            <w:r>
              <w:rPr>
                <w:b w:val="0"/>
                <w:bCs w:val="0"/>
                <w:sz w:val="18"/>
              </w:rPr>
              <w:t>[34]</w:t>
            </w:r>
            <w:r>
              <w:rPr>
                <w:rFonts w:eastAsiaTheme="minorEastAsia"/>
                <w:b w:val="0"/>
                <w:bCs w:val="0"/>
                <w:sz w:val="18"/>
                <w:szCs w:val="18"/>
              </w:rPr>
              <w:fldChar w:fldCharType="end"/>
            </w:r>
          </w:p>
        </w:tc>
      </w:tr>
      <w:tr w:rsidR="006D1C3F" w14:paraId="393AD93E" w14:textId="77777777">
        <w:trPr>
          <w:trHeight w:val="289"/>
        </w:trPr>
        <w:tc>
          <w:tcPr>
            <w:tcW w:w="2401" w:type="dxa"/>
            <w:tcBorders>
              <w:top w:val="nil"/>
              <w:left w:val="nil"/>
              <w:bottom w:val="nil"/>
              <w:right w:val="nil"/>
            </w:tcBorders>
            <w:vAlign w:val="center"/>
          </w:tcPr>
          <w:p w14:paraId="58D0395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Diarrhea</w:t>
            </w:r>
          </w:p>
        </w:tc>
        <w:tc>
          <w:tcPr>
            <w:tcW w:w="1970" w:type="dxa"/>
            <w:tcBorders>
              <w:top w:val="nil"/>
              <w:left w:val="nil"/>
              <w:bottom w:val="nil"/>
              <w:right w:val="nil"/>
            </w:tcBorders>
            <w:vAlign w:val="center"/>
          </w:tcPr>
          <w:p w14:paraId="4735920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6D30104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67EE3A2E"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{"citationID":"Oo8Vx2Em","properties":{"formattedCitation":"(30)","plainCitation":"(30)","noteIndex":0},"citationItems":[{"id":416,"uris":["http://zotero.org/users/local/eBJtW3GH/items/AQJAPH7L"],"itemData":{"id":416,"type":"article-journal","abstract":"BACKGROUND AND OBJECTIVE: Unresectable hepatocellular carcinoma (uHCC) is the main histological subtype of liver cancer and causes a great disease burden in China. We aimed to evaluate the cost-effectiveness of five first-line systemic treatments newly approved in the Chinese market for the treatment of uHCC, namely, sorafenib, lenvatinib, donafenib, sintilimab plus bevacizumab (D + A), and atezolizumab plus bevacizumab (T + A) from the perspective of China's healthcare system, to provide a basis for decision-making.\nMETHODS: We constructed a network meta-analysis of 4 clinical trials and used fractional polynomial models to indirectly compare the effectiveness of treatments. The partitioned survival model was used for cost-effectiveness analysis. Primary model outcomes included the costs in US dollars and health outcomes in quality-adjusted life-years (QALYs) and the incremental cost-effectiveness ratio (ICER) under a willingness-to-pay threshold of $33,521 (3 times the per capita gross domestic product in China) per QALY. We performed deterministic and probabilistic sensitivity analyses to investigate the robustness. To test the effect of active treatment duration on the conclusions, we performed a scenario analysis.\nRESULTS: Compared with sorafenib, lenvatinib, donafenib, D + A, and T + A regimens, it yielded an increase of 0.25, 0.30, 0.95, and 1.46 life-years, respectively. Correspondingly, these four therapies yielded an additional 0.16, 0.19, 0.51, and 0.86 QALYs and all four ICERs, $40,667.92/QALY gained, $27,630.63/QALY gained, $51,877.36/QALY gained, and $130,508.44/QALY gained, were higher than $33,521 except for donafenib. T + A was the most effective treatment and donafenib was the most economical option. Sensitivity and scenario analysis results showed that the base-case analysis was highly reliable.\nCONCLUSION: Although combination therapy could greatly improve patients with uHCC survival benefits, under the current WTP, donafenib is still the most economical option.","container-title":"Frontiers in Public Health","DOI":"10.3389/fpubh.2022.869960","ISSN":"2296-2565","journalAbbreviation":"Front Public Health","language":"en","note":"PMID: 35493395\nPMCID: PMC9051228","page":"869960","source":"PubMed","title":"Cost-Effectiveness Analysis of Five Systemic Treatments for Unresectable Hepatocellular Carcinoma in China: An Economic Evaluation Based on Network Meta-Analysis","title-short":"Cost-Effectiveness Analysis of Five Systemic Treatments for Unresectable Hepatocellular Carcinoma in China","volume":"10","author":[{"family":"Zhao","given":"Mingye"},{"family":"Pan","given":"Xingming"},{"family":"Yin","given":"Yue"},{"family":"Hu","given":"Hongfei"},{"family":"Wei","given":"Jifu"},{"family":"Bai","given":"Zhaoshi"},{"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[30]</w:t>
            </w:r>
            <w:r>
              <w:rPr>
                <w:rFonts w:eastAsiaTheme="minorEastAsia"/>
                <w:b w:val="0"/>
                <w:bCs w:val="0"/>
                <w:sz w:val="18"/>
                <w:szCs w:val="18"/>
              </w:rPr>
              <w:fldChar w:fldCharType="end"/>
            </w:r>
          </w:p>
        </w:tc>
      </w:tr>
      <w:tr w:rsidR="006D1C3F" w14:paraId="6522FBB0" w14:textId="77777777">
        <w:trPr>
          <w:trHeight w:val="289"/>
        </w:trPr>
        <w:tc>
          <w:tcPr>
            <w:tcW w:w="2401" w:type="dxa"/>
            <w:tcBorders>
              <w:top w:val="nil"/>
              <w:left w:val="nil"/>
              <w:bottom w:val="nil"/>
              <w:right w:val="nil"/>
            </w:tcBorders>
            <w:vAlign w:val="center"/>
          </w:tcPr>
          <w:p w14:paraId="21ACF3E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Decreased appetite</w:t>
            </w:r>
          </w:p>
        </w:tc>
        <w:tc>
          <w:tcPr>
            <w:tcW w:w="1970" w:type="dxa"/>
            <w:tcBorders>
              <w:top w:val="nil"/>
              <w:left w:val="nil"/>
              <w:bottom w:val="nil"/>
              <w:right w:val="nil"/>
            </w:tcBorders>
            <w:vAlign w:val="center"/>
          </w:tcPr>
          <w:p w14:paraId="03155FE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0.20</w:t>
            </w:r>
          </w:p>
        </w:tc>
        <w:tc>
          <w:tcPr>
            <w:tcW w:w="2390" w:type="dxa"/>
            <w:tcBorders>
              <w:top w:val="nil"/>
              <w:left w:val="nil"/>
              <w:bottom w:val="nil"/>
              <w:right w:val="nil"/>
            </w:tcBorders>
            <w:vAlign w:val="center"/>
          </w:tcPr>
          <w:p w14:paraId="660CCDD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0.16~0.24</w:t>
            </w:r>
          </w:p>
        </w:tc>
        <w:tc>
          <w:tcPr>
            <w:tcW w:w="1535" w:type="dxa"/>
            <w:tcBorders>
              <w:top w:val="nil"/>
              <w:left w:val="nil"/>
              <w:bottom w:val="nil"/>
              <w:right w:val="nil"/>
            </w:tcBorders>
            <w:vAlign w:val="center"/>
          </w:tcPr>
          <w:p w14:paraId="1442E39F"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{"citationID":"T81jGZZW","properties":{"formattedCitation":"(35)","plainCitation":"(35)","noteIndex":0},"citationItems":[{"id":431,"uris":["http://zotero.org/users/local/eBJtW3GH/items/2V9QLV8Q"],"itemData":{"id":431,"type":"article-journal","abstract":"BACKGROUND: Pembrolizumab and cemiplimab have been approved as treatment for advanced non-small-cell lung cancer (NSCLC) with high programmed death ligand-1 (PD-L1) expression. This study aimed to evaluate the cost-effectiveness of pembrolizumab compared with that of cemiplimab in the treatment of advanced NSCLC with high PD-L1 expression from a societal perspective in the United States.\nMATERIALS AND METHODS: Cost-effectiveness analysis integration of the network meta-analysis framework was performed using data from the EMPOWER-Lung 1, KEYNOTE 024, and KEYNOTE 042 phase 3 randomized clinical trials. A network meta-analysis including 2289 patients was constructed, and the Markov and partitioned survival (PS) models were use</w:instrText>
            </w:r>
            <w:r>
              <w:rPr>
                <w:rFonts w:eastAsiaTheme="minorEastAsia" w:hint="eastAsia"/>
                <w:b w:val="0"/>
                <w:bCs w:val="0"/>
                <w:sz w:val="18"/>
                <w:szCs w:val="18"/>
              </w:rPr>
              <w:instrText>d to assess the cost-effectiveness of pembrolizumab compared with that of cemiplimab for the treatment of high PD-L1 expression (</w:instrText>
            </w:r>
            <w:r>
              <w:rPr>
                <w:rFonts w:eastAsiaTheme="minorEastAsia" w:hint="eastAsia"/>
                <w:b w:val="0"/>
                <w:bCs w:val="0"/>
                <w:sz w:val="18"/>
                <w:szCs w:val="18"/>
              </w:rPr>
              <w:instrText>≥</w:instrText>
            </w:r>
            <w:r>
              <w:rPr>
                <w:rFonts w:eastAsiaTheme="minorEastAsia" w:hint="eastAsia"/>
                <w:b w:val="0"/>
                <w:bCs w:val="0"/>
                <w:sz w:val="18"/>
                <w:szCs w:val="18"/>
              </w:rPr>
              <w:instrText>50% of tumor cells). The time horizon was 10 years. The main outcomes were overall costs, incremental cost-effectiveness rati</w:instrText>
            </w:r>
            <w:r>
              <w:rPr>
                <w:rFonts w:eastAsiaTheme="minorEastAsia"/>
                <w:b w:val="0"/>
                <w:bCs w:val="0"/>
                <w:sz w:val="18"/>
                <w:szCs w:val="18"/>
              </w:rPr>
              <w:instrText xml:space="preserve">os (ICERs), quality-adjusted life-years (QALYs), life-years, incremental net health benefits (INHB), and incremental net monetary benefits (INMB). The robustness of the model was verified using one-way and probabilistic sensitivity analyses, and subgroup analyses were conducted.\nRESULTS: Treatment of advanced NSCLC with high PD-L1 expression with pembrolizumab achieved 0.093 QALYs and was associated with an incremental cost of $10,657 compared with cemiplimab, yielding an ICER of $114,246/QALY. The ICER in the PS model was similar to that in the Markov model, with a difference of $3,093/QALY. At a willingness-to-pay (WTP) threshold of $100,000/QALY, INHB, and INMB of pembrolizumab were -0.013 QALYs and -$1,329, respectively, and the probability of cemiplimab was 51% when compared with pembrolizumab. When the WTP threshold increased to $150,000/QALY, the INHB and INMB of pembrolizumab were 0.022 QALYs and $3,335, respectively, and the probability of pembrolizumab was 51.85%. One-way sensitivity analysis indicated that the models were sensitive to pembrolizumab and cemiplimab costs. Subgroup analysis revealed that treatment with pembrolizumab was related to a higher INHB in several subgroups, including patients with brain metastases at baseline.\nCONCLUSION: Our findings suggest that the WTP threshold should be considered when choosing between cemiplimab and pembrolizumab to treat advanced NSCLC with high PD-L1 expression. Reducing the cost of pembrolizumab may lead to valuable outcomes.","container-title":"Frontiers in Oncology","DOI":"10.3389/fonc.2022.878054","ISSN":"2234-943X","journalAbbreviation":"Front Oncol","language":"en","note":"PMID: 36226060\nPMCID: PMC9549171","page":"878054","source":"PubMed","title":"Pembrolizumab vs cemiplimab for the treatment of advanced non-small cell lung cancer with PD-L1 expression levels of at least 50%: A network meta-analysis and cost-effectiveness analysis","title-short":"Pembrolizumab vs cemiplimab for the treatment of advanced non-small cell lung cancer with PD-L1 expression levels of at least 50%","volume":"12","author":[{"family":"Li","given":"Yan"},{"family":"Liang","given":"Xueyan"},{"family":"Yang","given":"Tong"},{"family":"Guo","given":"Sitong"},{"family":"Chen","given":"Xiaoyu"}],"issued":{"date-parts":[["2022"]]}}}],"schema":"https://github.com/citation-style-language/schema/raw/master/csl-citation.json"} </w:instrText>
            </w:r>
            <w:r>
              <w:rPr>
                <w:rFonts w:eastAsiaTheme="minorEastAsia"/>
                <w:b w:val="0"/>
                <w:bCs w:val="0"/>
                <w:sz w:val="18"/>
                <w:szCs w:val="18"/>
              </w:rPr>
              <w:fldChar w:fldCharType="separate"/>
            </w:r>
            <w:r>
              <w:rPr>
                <w:b w:val="0"/>
                <w:bCs w:val="0"/>
                <w:sz w:val="18"/>
              </w:rPr>
              <w:t>[35]</w:t>
            </w:r>
            <w:r>
              <w:rPr>
                <w:rFonts w:eastAsiaTheme="minorEastAsia"/>
                <w:b w:val="0"/>
                <w:bCs w:val="0"/>
                <w:sz w:val="18"/>
                <w:szCs w:val="18"/>
              </w:rPr>
              <w:fldChar w:fldCharType="end"/>
            </w:r>
          </w:p>
        </w:tc>
      </w:tr>
      <w:tr w:rsidR="006D1C3F" w14:paraId="5E573CA8" w14:textId="77777777">
        <w:trPr>
          <w:trHeight w:val="289"/>
        </w:trPr>
        <w:tc>
          <w:tcPr>
            <w:tcW w:w="2401" w:type="dxa"/>
            <w:tcBorders>
              <w:top w:val="nil"/>
              <w:left w:val="nil"/>
              <w:bottom w:val="nil"/>
              <w:right w:val="nil"/>
            </w:tcBorders>
            <w:vAlign w:val="center"/>
          </w:tcPr>
          <w:p w14:paraId="0A1E803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Hyponatremia</w:t>
            </w:r>
          </w:p>
        </w:tc>
        <w:tc>
          <w:tcPr>
            <w:tcW w:w="1970" w:type="dxa"/>
            <w:tcBorders>
              <w:top w:val="nil"/>
              <w:left w:val="nil"/>
              <w:bottom w:val="nil"/>
              <w:right w:val="nil"/>
            </w:tcBorders>
            <w:vAlign w:val="center"/>
          </w:tcPr>
          <w:p w14:paraId="4F2A237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0.09</w:t>
            </w:r>
          </w:p>
        </w:tc>
        <w:tc>
          <w:tcPr>
            <w:tcW w:w="2390" w:type="dxa"/>
            <w:tcBorders>
              <w:top w:val="nil"/>
              <w:left w:val="nil"/>
              <w:bottom w:val="nil"/>
              <w:right w:val="nil"/>
            </w:tcBorders>
            <w:vAlign w:val="center"/>
          </w:tcPr>
          <w:p w14:paraId="1EA033E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0.07~0.11</w:t>
            </w:r>
          </w:p>
        </w:tc>
        <w:tc>
          <w:tcPr>
            <w:tcW w:w="1535" w:type="dxa"/>
            <w:tcBorders>
              <w:top w:val="nil"/>
              <w:left w:val="nil"/>
              <w:bottom w:val="nil"/>
              <w:right w:val="nil"/>
            </w:tcBorders>
            <w:vAlign w:val="center"/>
          </w:tcPr>
          <w:p w14:paraId="02F3CEF5"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{"citationID":"WZn6eVLD","properties":{"formattedCitation":"(33)","plainCitation":"(33)","noteIndex":0},"citationItems":[{"id":424,"uris":["http://zotero.org/users/local/eBJtW3GH/items/UVBW6KQ5"],"itemData":{"id":424,"type":"article-journal","abstract":"BACKGROUND: Metastatic Merkel cell carcinoma (mMCC) is a rare and aggressive skin cancer. Until recently, there were no licensed treatment options for patients with mMCC, and prognosis was poor. A cost-effectiveness analysis was conducted for avelumab, a newly available treatment option for mMCC, versus standard care (SC), from a UK National Health Service perspective.\nMETHODS: A partitioned survival model was developed to assess the lifetime costs and effects of avelumab versus SC. Data from the JAVELIN Merkel 200 trial (NCT02155647) were used to inform estimates of quality-adjusted life-years (QALYs). Unit costs and associated frequencies of use were informed by published literature and clinical expert opinion. Results were presented as incremental cost-effectiveness ratios (ICERs, i.e. the cost per QALY gained) for treatment-experienced (TE) and treatment-naïve (TN) patients. Uncertainty was explored through a range of sensitivity analyses.\nRESULTS: Discounting costs and QALYs at 3.5% per annum, avelumab was associated with ICERs of £35,274 (TE)/£39,178 (TN) per QALY gained. Probabilistic sensitivity analysis results demonstrated that avelumab was associated with an 88.3% (TE)/69.3% (TN) probability of being cost effective at a willingness-to-pay threshold for end-of-life treatments of £50,000 per QALY gained. Results were most sensitive to alternative survival extrapolations and dosing assumptions.\nCONCLUSIONS: The analysis results suggest that avelumab is likely to be a cost-effective treatment option for UK mMCC patients. The results for TN patients are subject to some uncertainty, and a confirmatory analysis will be conducted with more mature data.","container-title":"PharmacoEconomics - Open","DOI":"10.1007/s41669-018-0115-y","ISSN":"2509-4254","issue":"3","journalAbbreviation":"Pharmacoecon Open","language":"en","note":"PMID: 30680676\nPMCID: PMC6710317","page":"377-390","source":"PubMed","title":"Cost Effectiveness of Avelumab for Metastatic Merkel Cell Carcinoma","volume":"3","author":[{"family":"Bullement","given":"Ash"},{"family":"Nathan","given":"Paul"},{"family":"Willis","given":"Anna"},{"family":"Amin","given":"Amerah"},{"family":"Lilley","given":"Cameron"},{"family":"Stapelkamp","given":"Ceilidh"},{"family":"Hatswell","given":"Anthony"},{"family":"Pescott","given":"Chris"},{"family":"Bharmal","given":"Murtuza"}],"issued":{"date-parts":[["2019",9]]}}}],"schema":"https://github.com/citation-style-language/schema/raw/master/csl-citation.json"} </w:instrText>
            </w:r>
            <w:r>
              <w:rPr>
                <w:rFonts w:eastAsiaTheme="minorEastAsia"/>
                <w:b w:val="0"/>
                <w:bCs w:val="0"/>
                <w:sz w:val="18"/>
                <w:szCs w:val="18"/>
              </w:rPr>
              <w:fldChar w:fldCharType="separate"/>
            </w:r>
            <w:r>
              <w:rPr>
                <w:b w:val="0"/>
                <w:bCs w:val="0"/>
                <w:sz w:val="18"/>
              </w:rPr>
              <w:t>[33]</w:t>
            </w:r>
            <w:r>
              <w:rPr>
                <w:rFonts w:eastAsiaTheme="minorEastAsia"/>
                <w:b w:val="0"/>
                <w:bCs w:val="0"/>
                <w:sz w:val="18"/>
                <w:szCs w:val="18"/>
              </w:rPr>
              <w:fldChar w:fldCharType="end"/>
            </w:r>
          </w:p>
        </w:tc>
      </w:tr>
      <w:tr w:rsidR="006D1C3F" w14:paraId="5E3BD4E5" w14:textId="77777777">
        <w:trPr>
          <w:trHeight w:val="289"/>
        </w:trPr>
        <w:tc>
          <w:tcPr>
            <w:tcW w:w="2401" w:type="dxa"/>
            <w:tcBorders>
              <w:top w:val="nil"/>
              <w:left w:val="nil"/>
              <w:bottom w:val="nil"/>
              <w:right w:val="nil"/>
            </w:tcBorders>
            <w:vAlign w:val="center"/>
          </w:tcPr>
          <w:p w14:paraId="53BEE6F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Hypercholesterolemia</w:t>
            </w:r>
          </w:p>
        </w:tc>
        <w:tc>
          <w:tcPr>
            <w:tcW w:w="1970" w:type="dxa"/>
            <w:tcBorders>
              <w:top w:val="nil"/>
              <w:left w:val="nil"/>
              <w:bottom w:val="nil"/>
              <w:right w:val="nil"/>
            </w:tcBorders>
            <w:vAlign w:val="center"/>
          </w:tcPr>
          <w:p w14:paraId="5DAEFB0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1CE113F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01C784BC"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{"citationID":"c6MBerqA","properties":{"formattedCitation":"(35)","plainCitation":"(35)","noteIndex":0},"citationItems":[{"id":431,"uris":["http://zotero.org/users/local/eBJtW3GH/items/2V9QLV8Q"],"itemData":{"id":431,"type":"article-journal","abstract":"BACKGROUND: Pembrolizumab and cemiplimab have been approved as treatment for advanced non-small-cell lung cancer (NSCLC) with high programmed death ligand-1 (PD-L1) expression. This study aimed to evaluate the cost-effectiveness of pembrolizumab compared with that of cemiplimab in the treatment of advanced NSCLC with high PD-L1 expression from a societal perspective in the United States.\nMATERIALS AND METHODS: Cost-effectiveness analysis integration of the network meta-analysis framework was performed using data from the EMPOWER-Lung 1, KEYNOTE 024, and KEYNOTE 042 phase 3 randomized clinical trials. A network meta-analysis including 2289 patients was constructed, and the Markov and partitioned survival (PS) models were use</w:instrText>
            </w:r>
            <w:r>
              <w:rPr>
                <w:rFonts w:eastAsiaTheme="minorEastAsia" w:hint="eastAsia"/>
                <w:b w:val="0"/>
                <w:bCs w:val="0"/>
                <w:sz w:val="18"/>
                <w:szCs w:val="18"/>
              </w:rPr>
              <w:instrText>d to assess the cost-effectiveness of pembrolizumab compared with that of cemiplimab for the treatment of high PD-L1 expression (</w:instrText>
            </w:r>
            <w:r>
              <w:rPr>
                <w:rFonts w:eastAsiaTheme="minorEastAsia" w:hint="eastAsia"/>
                <w:b w:val="0"/>
                <w:bCs w:val="0"/>
                <w:sz w:val="18"/>
                <w:szCs w:val="18"/>
              </w:rPr>
              <w:instrText>≥</w:instrText>
            </w:r>
            <w:r>
              <w:rPr>
                <w:rFonts w:eastAsiaTheme="minorEastAsia" w:hint="eastAsia"/>
                <w:b w:val="0"/>
                <w:bCs w:val="0"/>
                <w:sz w:val="18"/>
                <w:szCs w:val="18"/>
              </w:rPr>
              <w:instrText>50% of tumor cells). The time horizon was 10 years. The main outcomes were overall costs, incremental cost-effectiveness rati</w:instrText>
            </w:r>
            <w:r>
              <w:rPr>
                <w:rFonts w:eastAsiaTheme="minorEastAsia"/>
                <w:b w:val="0"/>
                <w:bCs w:val="0"/>
                <w:sz w:val="18"/>
                <w:szCs w:val="18"/>
              </w:rPr>
              <w:instrText xml:space="preserve">os (ICERs), quality-adjusted life-years (QALYs), life-years, incremental net health benefits (INHB), and incremental net monetary benefits (INMB). The robustness of the model was verified using one-way and probabilistic sensitivity analyses, and subgroup analyses were conducted.\nRESULTS: Treatment of advanced NSCLC with high PD-L1 expression with pembrolizumab achieved 0.093 QALYs and was associated with an incremental cost of $10,657 compared with cemiplimab, yielding an ICER of $114,246/QALY. The ICER in the PS model was similar to that in the Markov model, with a difference of $3,093/QALY. At a willingness-to-pay (WTP) threshold of $100,000/QALY, INHB, and INMB of pembrolizumab were -0.013 QALYs and -$1,329, respectively, and the probability of cemiplimab was 51% when compared with pembrolizumab. When the WTP threshold increased to $150,000/QALY, the INHB and INMB of pembrolizumab were 0.022 QALYs and $3,335, respectively, and the probability of pembrolizumab was 51.85%. One-way sensitivity analysis indicated that the models were sensitive to pembrolizumab and cemiplimab costs. Subgroup analysis revealed that treatment with pembrolizumab was related to a higher INHB in several subgroups, including patients with brain metastases at baseline.\nCONCLUSION: Our findings suggest that the WTP threshold should be considered when choosing between cemiplimab and pembrolizumab to treat advanced NSCLC with high PD-L1 expression. Reducing the cost of pembrolizumab may lead to valuable outcomes.","container-title":"Frontiers in Oncology","DOI":"10.3389/fonc.2022.878054","ISSN":"2234-943X","journalAbbreviation":"Front Oncol","language":"en","note":"PMID: 36226060\nPMCID: PMC9549171","page":"878054","source":"PubMed","title":"Pembrolizumab vs cemiplimab for the treatment of advanced non-small cell lung cancer with PD-L1 expression levels of at least 50%: A network meta-analysis and cost-effectiveness analysis","title-short":"Pembrolizumab vs cemiplimab for the treatment of advanced non-small cell lung cancer with PD-L1 expression levels of at least 50%","volume":"12","author":[{"family":"Li","given":"Yan"},{"family":"Liang","given":"Xueyan"},{"family":"Yang","given":"Tong"},{"family":"Guo","given":"Sitong"},{"family":"Chen","given":"Xiaoyu"}],"issued":{"date-parts":[["2022"]]}}}],"schema":"https://github.com/citation-style-language/schema/raw/master/csl-citation.json"} </w:instrText>
            </w:r>
            <w:r>
              <w:rPr>
                <w:rFonts w:eastAsiaTheme="minorEastAsia"/>
                <w:b w:val="0"/>
                <w:bCs w:val="0"/>
                <w:sz w:val="18"/>
                <w:szCs w:val="18"/>
              </w:rPr>
              <w:fldChar w:fldCharType="separate"/>
            </w:r>
            <w:r>
              <w:rPr>
                <w:b w:val="0"/>
                <w:bCs w:val="0"/>
                <w:sz w:val="18"/>
              </w:rPr>
              <w:t>[35]</w:t>
            </w:r>
            <w:r>
              <w:rPr>
                <w:rFonts w:eastAsiaTheme="minorEastAsia"/>
                <w:b w:val="0"/>
                <w:bCs w:val="0"/>
                <w:sz w:val="18"/>
                <w:szCs w:val="18"/>
              </w:rPr>
              <w:fldChar w:fldCharType="end"/>
            </w:r>
          </w:p>
        </w:tc>
      </w:tr>
      <w:tr w:rsidR="006D1C3F" w14:paraId="735A853A" w14:textId="77777777">
        <w:trPr>
          <w:trHeight w:val="289"/>
        </w:trPr>
        <w:tc>
          <w:tcPr>
            <w:tcW w:w="2401" w:type="dxa"/>
            <w:tcBorders>
              <w:top w:val="nil"/>
              <w:left w:val="nil"/>
              <w:bottom w:val="nil"/>
              <w:right w:val="nil"/>
            </w:tcBorders>
            <w:vAlign w:val="center"/>
          </w:tcPr>
          <w:p w14:paraId="386342A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Hypertriglyceridemia</w:t>
            </w:r>
          </w:p>
        </w:tc>
        <w:tc>
          <w:tcPr>
            <w:tcW w:w="1970" w:type="dxa"/>
            <w:tcBorders>
              <w:top w:val="nil"/>
              <w:left w:val="nil"/>
              <w:bottom w:val="nil"/>
              <w:right w:val="nil"/>
            </w:tcBorders>
            <w:vAlign w:val="center"/>
          </w:tcPr>
          <w:p w14:paraId="53014CB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73E839C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2EFE7851"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{"citationID":"usWoUl2f","properties":{"formattedCitation":"(30)","plainCitation":"(30)","noteIndex":0},"citationItems":[{"id":416,"uris":["http://zotero.org/users/local/eBJtW3GH/items/AQJAPH7L"],"itemData":{"id":416,"type":"article-journal","abstract":"BACKGROUND AND OBJECTIVE: Unresectable hepatocellular carcinoma (uHCC) is the main histological subtype of liver cancer and causes a great disease burden in China. We aimed to evaluate the cost-effectiveness of five first-line systemic treatments newly approved in the Chinese market for the treatment of uHCC, namely, sorafenib, lenvatinib, donafenib, sintilimab plus bevacizumab (D + A), and atezolizumab plus bevacizumab (T + A) from the perspective of China's healthcare system, to provide a basis for decision-making.\nMETHODS: We constructed a network meta-analysis of 4 clinical trials and used fractional polynomial models to indirectly compare the effectiveness of treatments. The partitioned survival model was used for cost-effectiveness analysis. Primary model outcomes included the costs in US dollars and health outcomes in quality-adjusted life-years (QALYs) and the incremental cost-effectiveness ratio (ICER) under a willingness-to-pay threshold of $33,521 (3 times the per capita gross domestic product in China) per QALY. We performed deterministic and probabilistic sensitivity analyses to investigate the robustness. To test the effect of active treatment duration on the conclusions, we performed a scenario analysis.\nRESULTS: Compared with sorafenib, lenvatinib, donafenib, D + A, and T + A regimens, it yielded an increase of 0.25, 0.30, 0.95, and 1.46 life-years, respectively. Correspondingly, these four therapies yielded an additional 0.16, 0.19, 0.51, and 0.86 QALYs and all four ICERs, $40,667.92/QALY gained, $27,630.63/QALY gained, $51,877.36/QALY gained, and $130,508.44/QALY gained, were higher than $33,521 except for donafenib. T + A was the most effective treatment and donafenib was the most economical option. Sensitivity and scenario analysis results showed that the base-case analysis was highly reliable.\nCONCLUSION: Although combination therapy could greatly improve patients with uHCC survival benefits, under the current WTP, donafenib is still the most economical option.","container-title":"Frontiers in Public Health","DOI":"10.3389/fpubh.2022.869960","ISSN":"2296-2565","journalAbbreviation":"Front Public Health","language":"en","note":"PMID: 35493395\nPMCID: PMC9051228","page":"869960","source":"PubMed","title":"Cost-Effectiveness Analysis of Five Systemic Treatments for Unresectable Hepatocellular Carcinoma in China: An Economic Evaluation Based on Network Meta-Analysis","title-short":"Cost-Effectiveness Analysis of Five Systemic Treatments for Unresectable Hepatocellular Carcinoma in China","volume":"10","author":[{"family":"Zhao","given":"Mingye"},{"family":"Pan","given":"Xingming"},{"family":"Yin","given":"Yue"},{"family":"Hu","given":"Hongfei"},{"family":"Wei","given":"Jifu"},{"family":"Bai","given":"Zhaoshi"},{"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[30]</w:t>
            </w:r>
            <w:r>
              <w:rPr>
                <w:rFonts w:eastAsiaTheme="minorEastAsia"/>
                <w:b w:val="0"/>
                <w:bCs w:val="0"/>
                <w:sz w:val="18"/>
                <w:szCs w:val="18"/>
              </w:rPr>
              <w:fldChar w:fldCharType="end"/>
            </w:r>
          </w:p>
        </w:tc>
      </w:tr>
      <w:tr w:rsidR="006D1C3F" w14:paraId="4ED890DF" w14:textId="77777777">
        <w:trPr>
          <w:trHeight w:val="289"/>
        </w:trPr>
        <w:tc>
          <w:tcPr>
            <w:tcW w:w="2401" w:type="dxa"/>
            <w:tcBorders>
              <w:top w:val="nil"/>
              <w:left w:val="nil"/>
              <w:bottom w:val="nil"/>
              <w:right w:val="nil"/>
            </w:tcBorders>
            <w:vAlign w:val="center"/>
          </w:tcPr>
          <w:p w14:paraId="72B5FF0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Weight increased</w:t>
            </w:r>
          </w:p>
        </w:tc>
        <w:tc>
          <w:tcPr>
            <w:tcW w:w="1970" w:type="dxa"/>
            <w:tcBorders>
              <w:top w:val="nil"/>
              <w:left w:val="nil"/>
              <w:bottom w:val="nil"/>
              <w:right w:val="nil"/>
            </w:tcBorders>
            <w:vAlign w:val="center"/>
          </w:tcPr>
          <w:p w14:paraId="4B066EA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0.16</w:t>
            </w:r>
          </w:p>
        </w:tc>
        <w:tc>
          <w:tcPr>
            <w:tcW w:w="2390" w:type="dxa"/>
            <w:tcBorders>
              <w:top w:val="nil"/>
              <w:left w:val="nil"/>
              <w:bottom w:val="nil"/>
              <w:right w:val="nil"/>
            </w:tcBorders>
            <w:vAlign w:val="center"/>
          </w:tcPr>
          <w:p w14:paraId="50D03A9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0.11~0.20</w:t>
            </w:r>
          </w:p>
        </w:tc>
        <w:tc>
          <w:tcPr>
            <w:tcW w:w="1535" w:type="dxa"/>
            <w:tcBorders>
              <w:top w:val="nil"/>
              <w:left w:val="nil"/>
              <w:bottom w:val="nil"/>
              <w:right w:val="nil"/>
            </w:tcBorders>
            <w:vAlign w:val="center"/>
          </w:tcPr>
          <w:p w14:paraId="5F655E1E"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{"citationID":"kiUmAy5s","properties":{"formattedCitation":"(30)","plainCitation":"(30)","noteIndex":0},"citationItems":[{"id":416,"uris":["http://zotero.org/users/local/eBJtW3GH/items/AQJAPH7L"],"itemData":{"id":416,"type":"article-journal","abstract":"BACKGROUND AND OBJECTIVE: Unresectable hepatocellular carcinoma (uHCC) is the main histological subtype of liver cancer and causes a great disease burden in China. We aimed to evaluate the cost-effectiveness of five first-line systemic treatments newly approved in the Chinese market for the treatment of uHCC, namely, sorafenib, lenvatinib, donafenib, sintilimab plus bevacizumab (D + A), and atezolizumab plus bevacizumab (T + A) from the perspective of China's healthcare system, to provide a basis for decision-making.\nMETHODS: We constructed a network meta-analysis of 4 clinical trials and used fractional polynomial models to indirectly compare the effectiveness of treatments. The partitioned survival model was used for cost-effectiveness analysis. Primary model outcomes included the costs in US dollars and health outcomes in quality-adjusted life-years (QALYs) and the incremental cost-effectiveness ratio (ICER) under a willingness-to-pay threshold of $33,521 (3 times the per capita gross domestic product in China) per QALY. We performed deterministic and probabilistic sensitivity analyses to investigate the robustness. To test the effect of active treatment duration on the conclusions, we performed a scenario analysis.\nRESULTS: Compared with sorafenib, lenvatinib, donafenib, D + A, and T + A regimens, it yielded an increase of 0.25, 0.30, 0.95, and 1.46 life-years, respectively. Correspondingly, these four therapies yielded an additional 0.16, 0.19, 0.51, and 0.86 QALYs and all four ICERs, $40,667.92/QALY gained, $27,630.63/QALY gained, $51,877.36/QALY gained, and $130,508.44/QALY gained, were higher than $33,521 except for donafenib. T + A was the most effective treatment and donafenib was the most economical option. Sensitivity and scenario analysis results showed that the base-case analysis was highly reliable.\nCONCLUSION: Although combination therapy could greatly improve patients with uHCC survival benefits, under the current WTP, donafenib is still the most economical option.","container-title":"Frontiers in Public Health","DOI":"10.3389/fpubh.2022.869960","ISSN":"2296-2565","journalAbbreviation":"Front Public Health","language":"en","note":"PMID: 35493395\nPMCID: PMC9051228","page":"869960","source":"PubMed","title":"Cost-Effectiveness Analysis of Five Systemic Treatments for Unresectable Hepatocellular Carcinoma in China: An Economic Evaluation Based on Network Meta-Analysis","title-short":"Cost-Effectiveness Analysis of Five Systemic Treatments for Unresectable Hepatocellular Carcinoma in China","volume":"10","author":[{"family":"Zhao","given":"Mingye"},{"family":"Pan","given":"Xingming"},{"family":"Yin","given":"Yue"},{"family":"Hu","given":"Hongfei"},{"family":"Wei","given":"Jifu"},{"family":"Bai","given":"Zhaoshi"},{"family":"Tang","given":"Wenxi"}],"issued":{"date-parts":[["2022"]]}}}],"schema":"https://github.com/citation-style-language/schema/raw/master/csl-citation.json"} </w:instrText>
            </w:r>
            <w:r>
              <w:rPr>
                <w:rFonts w:eastAsiaTheme="minorEastAsia"/>
                <w:b w:val="0"/>
                <w:bCs w:val="0"/>
                <w:sz w:val="18"/>
                <w:szCs w:val="18"/>
              </w:rPr>
              <w:fldChar w:fldCharType="separate"/>
            </w:r>
            <w:r>
              <w:rPr>
                <w:b w:val="0"/>
                <w:bCs w:val="0"/>
                <w:sz w:val="18"/>
              </w:rPr>
              <w:t>[30]</w:t>
            </w:r>
            <w:r>
              <w:rPr>
                <w:rFonts w:eastAsiaTheme="minorEastAsia"/>
                <w:b w:val="0"/>
                <w:bCs w:val="0"/>
                <w:sz w:val="18"/>
                <w:szCs w:val="18"/>
              </w:rPr>
              <w:fldChar w:fldCharType="end"/>
            </w:r>
          </w:p>
        </w:tc>
      </w:tr>
      <w:tr w:rsidR="006D1C3F" w14:paraId="6AFD5569" w14:textId="77777777">
        <w:trPr>
          <w:trHeight w:val="289"/>
        </w:trPr>
        <w:tc>
          <w:tcPr>
            <w:tcW w:w="2401" w:type="dxa"/>
            <w:tcBorders>
              <w:top w:val="nil"/>
              <w:left w:val="nil"/>
              <w:bottom w:val="single" w:sz="12" w:space="0" w:color="auto"/>
              <w:right w:val="nil"/>
            </w:tcBorders>
            <w:vAlign w:val="center"/>
          </w:tcPr>
          <w:p w14:paraId="653A8B08" w14:textId="77777777" w:rsidR="006D1C3F" w:rsidRDefault="00000000">
            <w:pPr>
              <w:ind w:firstLine="360"/>
              <w:jc w:val="center"/>
              <w:rPr>
                <w:rFonts w:cstheme="minorBidi"/>
                <w:b w:val="0"/>
                <w:bCs w:val="0"/>
                <w:sz w:val="18"/>
                <w:szCs w:val="18"/>
              </w:rPr>
            </w:pPr>
            <w:r>
              <w:rPr>
                <w:rFonts w:cstheme="minorBidi" w:hint="eastAsia"/>
                <w:b w:val="0"/>
                <w:bCs w:val="0"/>
                <w:sz w:val="18"/>
                <w:szCs w:val="18"/>
              </w:rPr>
              <w:lastRenderedPageBreak/>
              <w:t>Mild adverse reaction</w:t>
            </w:r>
          </w:p>
        </w:tc>
        <w:tc>
          <w:tcPr>
            <w:tcW w:w="1970" w:type="dxa"/>
            <w:tcBorders>
              <w:top w:val="nil"/>
              <w:left w:val="nil"/>
              <w:bottom w:val="single" w:sz="12" w:space="0" w:color="auto"/>
              <w:right w:val="nil"/>
            </w:tcBorders>
            <w:vAlign w:val="center"/>
          </w:tcPr>
          <w:p w14:paraId="11F4B1D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0.01</w:t>
            </w:r>
          </w:p>
        </w:tc>
        <w:tc>
          <w:tcPr>
            <w:tcW w:w="2390" w:type="dxa"/>
            <w:tcBorders>
              <w:top w:val="nil"/>
              <w:left w:val="nil"/>
              <w:bottom w:val="single" w:sz="12" w:space="0" w:color="auto"/>
              <w:right w:val="nil"/>
            </w:tcBorders>
            <w:vAlign w:val="center"/>
          </w:tcPr>
          <w:p w14:paraId="73562E5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0.08~0.12</w:t>
            </w:r>
          </w:p>
        </w:tc>
        <w:tc>
          <w:tcPr>
            <w:tcW w:w="1535" w:type="dxa"/>
            <w:tcBorders>
              <w:top w:val="nil"/>
              <w:left w:val="nil"/>
              <w:bottom w:val="single" w:sz="12" w:space="0" w:color="auto"/>
              <w:right w:val="nil"/>
            </w:tcBorders>
            <w:vAlign w:val="center"/>
          </w:tcPr>
          <w:p w14:paraId="4C3D694C"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{"citationID":"YtRhshCR","properties":{"formattedCitation":"(32)","plainCitation":"(32)","noteIndex":0},"citationItems":[{"id":422,"uris":["http://zotero.org/users/local/eBJtW3GH/items/FY43ZIN5"],"itemData":{"id":422,"type":"article-journal","abstract":"BACKGROUND: Trastuzumab emtansine is the current standard treatment for patients with human epidermal growth factor receptor 2 (HER2)-positive metastatic breast cancer whose disease progresses after treatment with a combination of anti-HER2 antibodies and a taxane.\nMETHODS: We conducted a phase 3, multicenter, open-label, randomized trial to compare the efficacy and safety of trastuzumab deruxtecan (a HER2 antibody-drug conjugate) with those of trastuzumab emtansine in patients with HER2-positive metastatic breast cancer previously treated with trastuzumab and a taxane. The primary end point was progression-free survival (as determined by blinded independent central review); secondary end points included overall survival, objective response, and safety.\nRESULTS: Among 524 randomly assigned patients, the percentage of those who were alive without disease progression at 12 months was 75.8% (95% confidence interval [CI], 69.8 to 80.7) with trastuzumab deruxtecan and 34.1% (95% CI, 27.7 to 40.5) with trastuzumab emtansine (hazard ratio for progression or death from any cause, 0.28; 95% CI, 0.22 to 0.37; P&lt;0.001). The percentage of patients who were alive at 12 months was 94.1% (95% CI, 90.3 to 96.4) with trastuzumab deruxtecan and 85.9% (95% CI, 80.9 to 89.7) with trastuzumab emtansine (hazard ratio for death, 0.55; 95% CI, 0.36 to 0.86; prespecified significance boundary not reached). An overall response (a complete or partial response) occurred in 79.7% (95% CI, 74.3 to 84.4) of the patients who received trastuzumab deruxtecan and in 34.2% (95% CI, 28.5 to 40.3) of those who received trastuzumab emtansine. The incidence of drug-related adverse events of any grade was 98.1% with trastuzumab deruxtecan and 86.6% with trastuzumab emtansine, and the incidence of drug-related adverse events of grade 3 or 4 was 45.1% and 39.8%, respectively. Adjudicated drug-related interstitial lung disease or pneumonitis occurred in 10.5% of the patients in the trastuzumab deruxtecan group and in 1.9% of those in the trastuzumab emtansine group; none of these events were of grade 4 or 5.\nCONCLUSIONS: Among patients with HER2-positive metastatic breast cancer previously treated with trastuzumab and a taxane, the risk of disease progression or death was lower among those who received trastuzumab deruxtecan than among those who received trastuzumab emtansine. Treatment with trastuzumab deruxtecan was associated with interstitial lung disease and pneumonitis. (Funded by Daiichi Sankyo and AstraZeneca; DESTINY-Breast03 ClinicalTrials.gov number, NCT03529110.).","container-title":"The New England Journal of Medicine","DOI":"10.1056/NEJMoa2115022","ISSN":"1533-4406","issue":"12","journalAbbreviation":"N Engl J Med","language":"en","note":"PMID: 35320644","page":"1143-1154","source":"PubMed","title":"Trastuzumab Deruxtecan versus Trastuzumab Emtansine for Breast Cancer","volume":"386","author":[{"family":"Cortés","given":"Javier"},{"family":"Kim","given":"Sung-Bae"},{"family":"Chung","given":"Wei-Pang"},{"family":"Im","given":"Seock-Ah"},{"family":"Park","given":"Yeon Hee"},{"family":"Hegg","given":"Roberto"},{"family":"Kim","given":"Min Hwan"},{"family":"Tseng","given":"Ling-Ming"},{"family":"Petry","given":"Vanessa"},{"family":"Chung","given":"Chi-Feng"},{"family":"Iwata","given":"Hiroji"},{"family":"Hamilton","given":"Erika"},{"family":"Curigliano","given":"Giuseppe"},{"family":"Xu","given":"Binghe"},{"family":"Huang","given":"Chiun-Sheng"},{"family":"Kim","given":"Jee Hyun"},{"family":"Chiu","given":"Joanne W. Y."},{"family":"Pedrini","given":"Jose Luiz"},{"family":"Lee","given":"Caleb"},{"family":"Liu","given":"Yali"},{"family":"Cathcart","given":"Jillian"},{"family":"Bako","given":"Emarjola"},{"family":"Verma","given":"Sunil"},{"family":"Hurvitz","given":"Sara A."},{"literal":"DESTINY-Breast03 Trial Investigators"}],"issued":{"date-parts":[["2022",3,24]]}}}],"schema":"https://github.com/citation-style-language/schema/raw/master/csl-citation.json"} </w:instrText>
            </w:r>
            <w:r>
              <w:rPr>
                <w:rFonts w:eastAsiaTheme="minorEastAsia"/>
                <w:b w:val="0"/>
                <w:bCs w:val="0"/>
                <w:sz w:val="18"/>
                <w:szCs w:val="18"/>
              </w:rPr>
              <w:fldChar w:fldCharType="separate"/>
            </w:r>
            <w:r>
              <w:rPr>
                <w:b w:val="0"/>
                <w:bCs w:val="0"/>
                <w:sz w:val="18"/>
              </w:rPr>
              <w:t>[32]</w:t>
            </w:r>
            <w:r>
              <w:rPr>
                <w:rFonts w:eastAsiaTheme="minorEastAsia"/>
                <w:b w:val="0"/>
                <w:bCs w:val="0"/>
                <w:sz w:val="18"/>
                <w:szCs w:val="18"/>
              </w:rPr>
              <w:fldChar w:fldCharType="end"/>
            </w:r>
          </w:p>
        </w:tc>
      </w:tr>
    </w:tbl>
    <w:p w14:paraId="13C27DF4" w14:textId="77777777" w:rsidR="006D1C3F" w:rsidRDefault="006D1C3F"/>
    <w:tbl>
      <w:tblPr>
        <w:tblStyle w:val="aa"/>
        <w:tblpPr w:leftFromText="180" w:rightFromText="180" w:vertAnchor="text" w:tblpX="10214" w:tblpY="-5665"/>
        <w:tblOverlap w:val="never"/>
        <w:tblW w:w="0" w:type="auto"/>
        <w:tblLook w:val="04A0" w:firstRow="1" w:lastRow="0" w:firstColumn="1" w:lastColumn="0" w:noHBand="0" w:noVBand="1"/>
      </w:tblPr>
      <w:tblGrid>
        <w:gridCol w:w="324"/>
      </w:tblGrid>
      <w:tr w:rsidR="006D1C3F" w14:paraId="2CF47C91" w14:textId="77777777">
        <w:trPr>
          <w:trHeight w:val="30"/>
        </w:trPr>
        <w:tc>
          <w:tcPr>
            <w:tcW w:w="324" w:type="dxa"/>
          </w:tcPr>
          <w:p w14:paraId="2766C731" w14:textId="77777777" w:rsidR="006D1C3F" w:rsidRDefault="006D1C3F"/>
        </w:tc>
      </w:tr>
    </w:tbl>
    <w:p w14:paraId="3A5B9161" w14:textId="77777777" w:rsidR="006D1C3F" w:rsidRDefault="006D1C3F"/>
    <w:p w14:paraId="65E513BF" w14:textId="77777777" w:rsidR="006D1C3F" w:rsidRDefault="006D1C3F">
      <w:pPr>
        <w:keepNext/>
        <w:keepLines/>
        <w:pageBreakBefore/>
        <w:spacing w:before="340" w:after="156" w:line="240" w:lineRule="auto"/>
        <w:ind w:firstLineChars="0" w:firstLine="0"/>
        <w:outlineLvl w:val="0"/>
        <w:rPr>
          <w:rFonts w:eastAsiaTheme="minorEastAsia" w:cstheme="minorBidi"/>
          <w:b w:val="0"/>
          <w:bCs w:val="0"/>
          <w:kern w:val="44"/>
        </w:rPr>
      </w:pPr>
      <w:hyperlink w:anchor="_Toc31821" w:history="1">
        <w:bookmarkStart w:id="17" w:name="_Toc225844808"/>
        <w:r>
          <w:rPr>
            <w:rFonts w:eastAsia="Times New Roman" w:cstheme="minorBidi" w:hint="eastAsia"/>
            <w:b w:val="0"/>
            <w:bCs w:val="0"/>
            <w:kern w:val="44"/>
          </w:rPr>
          <w:t xml:space="preserve">Table S4 </w:t>
        </w:r>
      </w:hyperlink>
      <w:r w:rsidR="00000000">
        <w:rPr>
          <w:rFonts w:eastAsia="Times New Roman" w:cstheme="minorBidi"/>
          <w:b w:val="0"/>
          <w:bCs w:val="0"/>
          <w:kern w:val="44"/>
        </w:rPr>
        <w:t>Drug Prices</w:t>
      </w:r>
      <w:bookmarkEnd w:id="17"/>
      <w:r w:rsidR="00000000">
        <w:rPr>
          <w:rFonts w:eastAsia="Times New Roman" w:cstheme="minorBidi"/>
          <w:b w:val="0"/>
          <w:bCs w:val="0"/>
          <w:kern w:val="44"/>
        </w:rPr>
        <w:t xml:space="preserve"> </w:t>
      </w:r>
    </w:p>
    <w:tbl>
      <w:tblPr>
        <w:tblStyle w:val="5"/>
        <w:tblW w:w="0" w:type="auto"/>
        <w:tblInd w:w="0" w:type="dxa"/>
        <w:tblBorders>
          <w:top w:val="none" w:sz="0" w:space="0" w:color="auto"/>
          <w:left w:val="none" w:sz="0" w:space="0" w:color="auto"/>
          <w:bottom w:val="none" w:sz="0" w:space="0" w:color="auto"/>
          <w:right w:val="none" w:sz="0" w:space="0" w:color="auto"/>
        </w:tblBorders>
        <w:tblLayout w:type="fixed"/>
        <w:tblCellMar>
          <w:left w:w="108" w:type="dxa"/>
          <w:right w:w="108" w:type="dxa"/>
        </w:tblCellMar>
        <w:tblLook w:val="04A0" w:firstRow="1" w:lastRow="0" w:firstColumn="1" w:lastColumn="0" w:noHBand="0" w:noVBand="1"/>
      </w:tblPr>
      <w:tblGrid>
        <w:gridCol w:w="1659"/>
        <w:gridCol w:w="1455"/>
        <w:gridCol w:w="1276"/>
        <w:gridCol w:w="2246"/>
        <w:gridCol w:w="1660"/>
      </w:tblGrid>
      <w:tr w:rsidR="006D1C3F" w14:paraId="03E50BA9" w14:textId="77777777">
        <w:tc>
          <w:tcPr>
            <w:tcW w:w="1659" w:type="dxa"/>
            <w:tcBorders>
              <w:top w:val="single" w:sz="12" w:space="0" w:color="auto"/>
              <w:left w:val="nil"/>
              <w:bottom w:val="single" w:sz="6" w:space="0" w:color="auto"/>
              <w:right w:val="nil"/>
            </w:tcBorders>
            <w:vAlign w:val="center"/>
          </w:tcPr>
          <w:p w14:paraId="20337A9A" w14:textId="77777777" w:rsidR="006D1C3F" w:rsidRDefault="00000000">
            <w:pPr>
              <w:widowControl/>
              <w:spacing w:line="240" w:lineRule="auto"/>
              <w:ind w:firstLineChars="0" w:firstLine="361"/>
              <w:jc w:val="center"/>
              <w:rPr>
                <w:b w:val="0"/>
                <w:bCs w:val="0"/>
                <w:kern w:val="0"/>
                <w:sz w:val="18"/>
                <w:szCs w:val="18"/>
              </w:rPr>
            </w:pPr>
            <w:r>
              <w:rPr>
                <w:b w:val="0"/>
                <w:bCs w:val="0"/>
                <w:kern w:val="0"/>
                <w:sz w:val="18"/>
                <w:szCs w:val="18"/>
              </w:rPr>
              <w:t>Drug (Generic Name)</w:t>
            </w:r>
          </w:p>
        </w:tc>
        <w:tc>
          <w:tcPr>
            <w:tcW w:w="1455" w:type="dxa"/>
            <w:tcBorders>
              <w:top w:val="single" w:sz="12" w:space="0" w:color="auto"/>
              <w:left w:val="nil"/>
              <w:bottom w:val="single" w:sz="6" w:space="0" w:color="auto"/>
              <w:right w:val="nil"/>
            </w:tcBorders>
            <w:vAlign w:val="center"/>
          </w:tcPr>
          <w:p w14:paraId="71F33537" w14:textId="77777777" w:rsidR="006D1C3F" w:rsidRDefault="00000000">
            <w:pPr>
              <w:widowControl/>
              <w:spacing w:line="240" w:lineRule="auto"/>
              <w:ind w:firstLineChars="0" w:firstLine="361"/>
              <w:jc w:val="center"/>
              <w:rPr>
                <w:b w:val="0"/>
                <w:bCs w:val="0"/>
                <w:kern w:val="0"/>
                <w:sz w:val="18"/>
                <w:szCs w:val="18"/>
              </w:rPr>
            </w:pPr>
            <w:r>
              <w:rPr>
                <w:b w:val="0"/>
                <w:bCs w:val="0"/>
                <w:kern w:val="0"/>
                <w:sz w:val="18"/>
                <w:szCs w:val="18"/>
              </w:rPr>
              <w:t>Originator Price ($)</w:t>
            </w:r>
          </w:p>
        </w:tc>
        <w:tc>
          <w:tcPr>
            <w:tcW w:w="1276" w:type="dxa"/>
            <w:tcBorders>
              <w:top w:val="single" w:sz="12" w:space="0" w:color="auto"/>
              <w:left w:val="nil"/>
              <w:bottom w:val="single" w:sz="6" w:space="0" w:color="auto"/>
              <w:right w:val="nil"/>
            </w:tcBorders>
            <w:vAlign w:val="center"/>
          </w:tcPr>
          <w:p w14:paraId="1A4D85EE" w14:textId="77777777" w:rsidR="006D1C3F" w:rsidRDefault="00000000">
            <w:pPr>
              <w:widowControl/>
              <w:spacing w:line="240" w:lineRule="auto"/>
              <w:ind w:firstLineChars="0" w:firstLine="361"/>
              <w:jc w:val="center"/>
              <w:rPr>
                <w:b w:val="0"/>
                <w:bCs w:val="0"/>
                <w:kern w:val="0"/>
                <w:sz w:val="18"/>
                <w:szCs w:val="18"/>
              </w:rPr>
            </w:pPr>
            <w:r>
              <w:rPr>
                <w:b w:val="0"/>
                <w:bCs w:val="0"/>
                <w:kern w:val="0"/>
                <w:sz w:val="18"/>
                <w:szCs w:val="18"/>
              </w:rPr>
              <w:t>Specification</w:t>
            </w:r>
          </w:p>
        </w:tc>
        <w:tc>
          <w:tcPr>
            <w:tcW w:w="2246" w:type="dxa"/>
            <w:tcBorders>
              <w:top w:val="single" w:sz="12" w:space="0" w:color="auto"/>
              <w:left w:val="nil"/>
              <w:bottom w:val="single" w:sz="6" w:space="0" w:color="auto"/>
              <w:right w:val="nil"/>
            </w:tcBorders>
            <w:vAlign w:val="center"/>
          </w:tcPr>
          <w:p w14:paraId="2B17B42F" w14:textId="77777777" w:rsidR="006D1C3F" w:rsidRDefault="00000000">
            <w:pPr>
              <w:widowControl/>
              <w:spacing w:line="240" w:lineRule="auto"/>
              <w:ind w:firstLineChars="0" w:firstLine="361"/>
              <w:jc w:val="center"/>
              <w:rPr>
                <w:b w:val="0"/>
                <w:bCs w:val="0"/>
                <w:kern w:val="0"/>
                <w:sz w:val="18"/>
                <w:szCs w:val="18"/>
              </w:rPr>
            </w:pPr>
            <w:r>
              <w:rPr>
                <w:b w:val="0"/>
                <w:bCs w:val="0"/>
                <w:kern w:val="0"/>
                <w:sz w:val="18"/>
                <w:szCs w:val="18"/>
              </w:rPr>
              <w:t>Dosage</w:t>
            </w:r>
          </w:p>
        </w:tc>
        <w:tc>
          <w:tcPr>
            <w:tcW w:w="1660" w:type="dxa"/>
            <w:tcBorders>
              <w:top w:val="single" w:sz="12" w:space="0" w:color="auto"/>
              <w:left w:val="nil"/>
              <w:bottom w:val="single" w:sz="6" w:space="0" w:color="auto"/>
              <w:right w:val="nil"/>
            </w:tcBorders>
            <w:vAlign w:val="center"/>
          </w:tcPr>
          <w:p w14:paraId="476835CE" w14:textId="77777777" w:rsidR="006D1C3F" w:rsidRDefault="00000000">
            <w:pPr>
              <w:widowControl/>
              <w:spacing w:line="240" w:lineRule="auto"/>
              <w:ind w:firstLineChars="0" w:firstLine="361"/>
              <w:jc w:val="center"/>
              <w:rPr>
                <w:b w:val="0"/>
                <w:bCs w:val="0"/>
                <w:kern w:val="0"/>
                <w:sz w:val="18"/>
                <w:szCs w:val="18"/>
              </w:rPr>
            </w:pPr>
            <w:r>
              <w:rPr>
                <w:b w:val="0"/>
                <w:bCs w:val="0"/>
                <w:kern w:val="0"/>
                <w:sz w:val="18"/>
                <w:szCs w:val="18"/>
              </w:rPr>
              <w:t>Source</w:t>
            </w:r>
          </w:p>
        </w:tc>
      </w:tr>
      <w:tr w:rsidR="006D1C3F" w14:paraId="0E611F37" w14:textId="77777777">
        <w:tc>
          <w:tcPr>
            <w:tcW w:w="1659" w:type="dxa"/>
            <w:tcBorders>
              <w:top w:val="single" w:sz="6" w:space="0" w:color="auto"/>
              <w:left w:val="nil"/>
              <w:bottom w:val="nil"/>
              <w:right w:val="nil"/>
            </w:tcBorders>
            <w:shd w:val="clear" w:color="auto" w:fill="FFFFFF"/>
            <w:vAlign w:val="center"/>
          </w:tcPr>
          <w:p w14:paraId="04FD147C"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Crizotinib</w:t>
            </w:r>
          </w:p>
        </w:tc>
        <w:tc>
          <w:tcPr>
            <w:tcW w:w="1455" w:type="dxa"/>
            <w:tcBorders>
              <w:top w:val="single" w:sz="6" w:space="0" w:color="auto"/>
              <w:left w:val="nil"/>
              <w:bottom w:val="nil"/>
              <w:right w:val="nil"/>
            </w:tcBorders>
            <w:shd w:val="clear" w:color="auto" w:fill="FFFFFF"/>
            <w:vAlign w:val="center"/>
          </w:tcPr>
          <w:p w14:paraId="7C079476"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23.80</w:t>
            </w:r>
          </w:p>
        </w:tc>
        <w:tc>
          <w:tcPr>
            <w:tcW w:w="1276" w:type="dxa"/>
            <w:tcBorders>
              <w:top w:val="single" w:sz="6" w:space="0" w:color="auto"/>
              <w:left w:val="nil"/>
              <w:bottom w:val="nil"/>
              <w:right w:val="nil"/>
            </w:tcBorders>
            <w:shd w:val="clear" w:color="auto" w:fill="FFFFFF"/>
            <w:vAlign w:val="center"/>
          </w:tcPr>
          <w:p w14:paraId="49D774A5"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250mg</w:t>
            </w:r>
          </w:p>
        </w:tc>
        <w:tc>
          <w:tcPr>
            <w:tcW w:w="2246" w:type="dxa"/>
            <w:tcBorders>
              <w:top w:val="single" w:sz="6" w:space="0" w:color="auto"/>
              <w:left w:val="nil"/>
              <w:bottom w:val="nil"/>
              <w:right w:val="nil"/>
            </w:tcBorders>
            <w:shd w:val="clear" w:color="auto" w:fill="FFFFFF"/>
            <w:vAlign w:val="center"/>
          </w:tcPr>
          <w:p w14:paraId="69A2A87E"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500 mg/day</w:t>
            </w:r>
          </w:p>
        </w:tc>
        <w:tc>
          <w:tcPr>
            <w:tcW w:w="1660" w:type="dxa"/>
            <w:tcBorders>
              <w:top w:val="single" w:sz="6" w:space="0" w:color="auto"/>
              <w:left w:val="nil"/>
              <w:bottom w:val="nil"/>
              <w:right w:val="nil"/>
            </w:tcBorders>
            <w:shd w:val="clear" w:color="auto" w:fill="FFFFFF"/>
            <w:vAlign w:val="center"/>
          </w:tcPr>
          <w:p w14:paraId="2026DFB6"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2024 NRDL Listed Price</w:t>
            </w:r>
          </w:p>
        </w:tc>
      </w:tr>
      <w:tr w:rsidR="006D1C3F" w14:paraId="5AF1FA72" w14:textId="77777777">
        <w:tc>
          <w:tcPr>
            <w:tcW w:w="1659" w:type="dxa"/>
            <w:tcBorders>
              <w:top w:val="nil"/>
              <w:left w:val="nil"/>
              <w:bottom w:val="nil"/>
              <w:right w:val="nil"/>
            </w:tcBorders>
            <w:shd w:val="clear" w:color="auto" w:fill="FFFFFF"/>
            <w:vAlign w:val="center"/>
          </w:tcPr>
          <w:p w14:paraId="3EF72924" w14:textId="77777777" w:rsidR="006D1C3F" w:rsidRDefault="00000000">
            <w:pPr>
              <w:widowControl/>
              <w:spacing w:line="240" w:lineRule="auto"/>
              <w:ind w:firstLineChars="0" w:firstLine="353"/>
              <w:jc w:val="center"/>
              <w:rPr>
                <w:b w:val="0"/>
                <w:bCs w:val="0"/>
                <w:kern w:val="0"/>
                <w:sz w:val="18"/>
                <w:szCs w:val="18"/>
              </w:rPr>
            </w:pPr>
            <w:proofErr w:type="spellStart"/>
            <w:r>
              <w:rPr>
                <w:b w:val="0"/>
                <w:bCs w:val="0"/>
                <w:color w:val="000000"/>
                <w:spacing w:val="-2"/>
                <w:kern w:val="0"/>
                <w:sz w:val="18"/>
                <w:szCs w:val="18"/>
              </w:rPr>
              <w:t>Alectinib</w:t>
            </w:r>
            <w:proofErr w:type="spellEnd"/>
          </w:p>
        </w:tc>
        <w:tc>
          <w:tcPr>
            <w:tcW w:w="1455" w:type="dxa"/>
            <w:tcBorders>
              <w:top w:val="nil"/>
              <w:left w:val="nil"/>
              <w:bottom w:val="nil"/>
              <w:right w:val="nil"/>
            </w:tcBorders>
            <w:shd w:val="clear" w:color="auto" w:fill="FFFFFF"/>
            <w:vAlign w:val="center"/>
          </w:tcPr>
          <w:p w14:paraId="2AF231B5"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7.89</w:t>
            </w:r>
          </w:p>
        </w:tc>
        <w:tc>
          <w:tcPr>
            <w:tcW w:w="1276" w:type="dxa"/>
            <w:tcBorders>
              <w:top w:val="nil"/>
              <w:left w:val="nil"/>
              <w:bottom w:val="nil"/>
              <w:right w:val="nil"/>
            </w:tcBorders>
            <w:shd w:val="clear" w:color="auto" w:fill="FFFFFF"/>
            <w:vAlign w:val="center"/>
          </w:tcPr>
          <w:p w14:paraId="2869A840"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150mg</w:t>
            </w:r>
          </w:p>
        </w:tc>
        <w:tc>
          <w:tcPr>
            <w:tcW w:w="2246" w:type="dxa"/>
            <w:tcBorders>
              <w:top w:val="nil"/>
              <w:left w:val="nil"/>
              <w:bottom w:val="nil"/>
              <w:right w:val="nil"/>
            </w:tcBorders>
            <w:shd w:val="clear" w:color="auto" w:fill="FFFFFF"/>
            <w:vAlign w:val="center"/>
          </w:tcPr>
          <w:p w14:paraId="78685B44"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1200 mg/day</w:t>
            </w:r>
          </w:p>
        </w:tc>
        <w:tc>
          <w:tcPr>
            <w:tcW w:w="1660" w:type="dxa"/>
            <w:tcBorders>
              <w:top w:val="nil"/>
              <w:left w:val="nil"/>
              <w:bottom w:val="nil"/>
              <w:right w:val="nil"/>
            </w:tcBorders>
            <w:shd w:val="clear" w:color="auto" w:fill="FFFFFF"/>
            <w:vAlign w:val="center"/>
          </w:tcPr>
          <w:p w14:paraId="56822C7F"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2024 NRDL Listed Price</w:t>
            </w:r>
          </w:p>
        </w:tc>
      </w:tr>
      <w:tr w:rsidR="006D1C3F" w14:paraId="4F7C105A" w14:textId="77777777">
        <w:tc>
          <w:tcPr>
            <w:tcW w:w="1659" w:type="dxa"/>
            <w:tcBorders>
              <w:top w:val="nil"/>
              <w:left w:val="nil"/>
              <w:bottom w:val="nil"/>
              <w:right w:val="nil"/>
            </w:tcBorders>
            <w:shd w:val="clear" w:color="auto" w:fill="FFFFFF"/>
            <w:vAlign w:val="center"/>
          </w:tcPr>
          <w:p w14:paraId="1021E05A" w14:textId="77777777" w:rsidR="006D1C3F" w:rsidRDefault="00000000">
            <w:pPr>
              <w:widowControl/>
              <w:spacing w:line="240" w:lineRule="auto"/>
              <w:ind w:firstLineChars="0" w:firstLine="353"/>
              <w:jc w:val="center"/>
              <w:rPr>
                <w:b w:val="0"/>
                <w:bCs w:val="0"/>
                <w:kern w:val="0"/>
                <w:sz w:val="18"/>
                <w:szCs w:val="18"/>
              </w:rPr>
            </w:pPr>
            <w:proofErr w:type="spellStart"/>
            <w:r>
              <w:rPr>
                <w:b w:val="0"/>
                <w:bCs w:val="0"/>
                <w:color w:val="000000"/>
                <w:spacing w:val="-2"/>
                <w:kern w:val="0"/>
                <w:sz w:val="18"/>
                <w:szCs w:val="18"/>
              </w:rPr>
              <w:t>Brigatinib</w:t>
            </w:r>
            <w:proofErr w:type="spellEnd"/>
          </w:p>
        </w:tc>
        <w:tc>
          <w:tcPr>
            <w:tcW w:w="1455" w:type="dxa"/>
            <w:tcBorders>
              <w:top w:val="nil"/>
              <w:left w:val="nil"/>
              <w:bottom w:val="nil"/>
              <w:right w:val="nil"/>
            </w:tcBorders>
            <w:shd w:val="clear" w:color="auto" w:fill="FFFFFF"/>
            <w:vAlign w:val="center"/>
          </w:tcPr>
          <w:p w14:paraId="7EA8969D"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47.02</w:t>
            </w:r>
          </w:p>
        </w:tc>
        <w:tc>
          <w:tcPr>
            <w:tcW w:w="1276" w:type="dxa"/>
            <w:tcBorders>
              <w:top w:val="nil"/>
              <w:left w:val="nil"/>
              <w:bottom w:val="nil"/>
              <w:right w:val="nil"/>
            </w:tcBorders>
            <w:shd w:val="clear" w:color="auto" w:fill="FFFFFF"/>
            <w:vAlign w:val="center"/>
          </w:tcPr>
          <w:p w14:paraId="24A6EE89"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180mg</w:t>
            </w:r>
          </w:p>
        </w:tc>
        <w:tc>
          <w:tcPr>
            <w:tcW w:w="2246" w:type="dxa"/>
            <w:tcBorders>
              <w:top w:val="nil"/>
              <w:left w:val="nil"/>
              <w:bottom w:val="nil"/>
              <w:right w:val="nil"/>
            </w:tcBorders>
            <w:shd w:val="clear" w:color="auto" w:fill="FFFFFF"/>
            <w:vAlign w:val="center"/>
          </w:tcPr>
          <w:p w14:paraId="3319CE05"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90 mg/day for the first 7 days; then 180 mg/day</w:t>
            </w:r>
          </w:p>
        </w:tc>
        <w:tc>
          <w:tcPr>
            <w:tcW w:w="1660" w:type="dxa"/>
            <w:tcBorders>
              <w:top w:val="nil"/>
              <w:left w:val="nil"/>
              <w:bottom w:val="nil"/>
              <w:right w:val="nil"/>
            </w:tcBorders>
            <w:shd w:val="clear" w:color="auto" w:fill="FFFFFF"/>
            <w:vAlign w:val="center"/>
          </w:tcPr>
          <w:p w14:paraId="00015DE7"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2024 NRDL Listed Price</w:t>
            </w:r>
          </w:p>
        </w:tc>
      </w:tr>
      <w:tr w:rsidR="006D1C3F" w14:paraId="543BBAAD" w14:textId="77777777">
        <w:tc>
          <w:tcPr>
            <w:tcW w:w="1659" w:type="dxa"/>
            <w:tcBorders>
              <w:top w:val="nil"/>
              <w:left w:val="nil"/>
              <w:bottom w:val="nil"/>
              <w:right w:val="nil"/>
            </w:tcBorders>
            <w:shd w:val="clear" w:color="auto" w:fill="FFFFFF"/>
            <w:vAlign w:val="center"/>
          </w:tcPr>
          <w:p w14:paraId="658C37B1" w14:textId="77777777" w:rsidR="006D1C3F" w:rsidRDefault="00000000">
            <w:pPr>
              <w:widowControl/>
              <w:spacing w:line="240" w:lineRule="auto"/>
              <w:ind w:firstLineChars="0" w:firstLine="353"/>
              <w:jc w:val="center"/>
              <w:rPr>
                <w:b w:val="0"/>
                <w:bCs w:val="0"/>
                <w:kern w:val="0"/>
                <w:sz w:val="18"/>
                <w:szCs w:val="18"/>
              </w:rPr>
            </w:pPr>
            <w:proofErr w:type="spellStart"/>
            <w:r>
              <w:rPr>
                <w:b w:val="0"/>
                <w:bCs w:val="0"/>
                <w:color w:val="000000"/>
                <w:spacing w:val="-2"/>
                <w:kern w:val="0"/>
                <w:sz w:val="18"/>
                <w:szCs w:val="18"/>
              </w:rPr>
              <w:t>Ceritinib</w:t>
            </w:r>
            <w:proofErr w:type="spellEnd"/>
          </w:p>
        </w:tc>
        <w:tc>
          <w:tcPr>
            <w:tcW w:w="1455" w:type="dxa"/>
            <w:tcBorders>
              <w:top w:val="nil"/>
              <w:left w:val="nil"/>
              <w:bottom w:val="nil"/>
              <w:right w:val="nil"/>
            </w:tcBorders>
            <w:shd w:val="clear" w:color="auto" w:fill="FFFFFF"/>
            <w:vAlign w:val="center"/>
          </w:tcPr>
          <w:p w14:paraId="4F4177B0"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15.01</w:t>
            </w:r>
          </w:p>
        </w:tc>
        <w:tc>
          <w:tcPr>
            <w:tcW w:w="1276" w:type="dxa"/>
            <w:tcBorders>
              <w:top w:val="nil"/>
              <w:left w:val="nil"/>
              <w:bottom w:val="nil"/>
              <w:right w:val="nil"/>
            </w:tcBorders>
            <w:shd w:val="clear" w:color="auto" w:fill="FFFFFF"/>
            <w:vAlign w:val="center"/>
          </w:tcPr>
          <w:p w14:paraId="1D99747B"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150mg</w:t>
            </w:r>
          </w:p>
        </w:tc>
        <w:tc>
          <w:tcPr>
            <w:tcW w:w="2246" w:type="dxa"/>
            <w:tcBorders>
              <w:top w:val="nil"/>
              <w:left w:val="nil"/>
              <w:bottom w:val="nil"/>
              <w:right w:val="nil"/>
            </w:tcBorders>
            <w:shd w:val="clear" w:color="auto" w:fill="FFFFFF"/>
            <w:vAlign w:val="center"/>
          </w:tcPr>
          <w:p w14:paraId="2316487C"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450 mg/day</w:t>
            </w:r>
          </w:p>
        </w:tc>
        <w:tc>
          <w:tcPr>
            <w:tcW w:w="1660" w:type="dxa"/>
            <w:tcBorders>
              <w:top w:val="nil"/>
              <w:left w:val="nil"/>
              <w:bottom w:val="nil"/>
              <w:right w:val="nil"/>
            </w:tcBorders>
            <w:shd w:val="clear" w:color="auto" w:fill="FFFFFF"/>
            <w:vAlign w:val="center"/>
          </w:tcPr>
          <w:p w14:paraId="28E7808F"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2024 NRDL Listed Price</w:t>
            </w:r>
          </w:p>
        </w:tc>
      </w:tr>
      <w:tr w:rsidR="006D1C3F" w14:paraId="18C04FF2" w14:textId="77777777">
        <w:tc>
          <w:tcPr>
            <w:tcW w:w="1659" w:type="dxa"/>
            <w:tcBorders>
              <w:top w:val="nil"/>
              <w:left w:val="nil"/>
              <w:bottom w:val="nil"/>
              <w:right w:val="nil"/>
            </w:tcBorders>
            <w:shd w:val="clear" w:color="auto" w:fill="FFFFFF"/>
            <w:vAlign w:val="center"/>
          </w:tcPr>
          <w:p w14:paraId="127558B1" w14:textId="77777777" w:rsidR="006D1C3F" w:rsidRDefault="00000000">
            <w:pPr>
              <w:widowControl/>
              <w:spacing w:line="240" w:lineRule="auto"/>
              <w:ind w:firstLineChars="0" w:firstLine="353"/>
              <w:jc w:val="center"/>
              <w:rPr>
                <w:b w:val="0"/>
                <w:bCs w:val="0"/>
                <w:kern w:val="0"/>
                <w:sz w:val="18"/>
                <w:szCs w:val="18"/>
              </w:rPr>
            </w:pPr>
            <w:proofErr w:type="spellStart"/>
            <w:r>
              <w:rPr>
                <w:b w:val="0"/>
                <w:bCs w:val="0"/>
                <w:color w:val="000000"/>
                <w:spacing w:val="-2"/>
                <w:kern w:val="0"/>
                <w:sz w:val="18"/>
                <w:szCs w:val="18"/>
              </w:rPr>
              <w:t>Ensartinib</w:t>
            </w:r>
            <w:proofErr w:type="spellEnd"/>
          </w:p>
        </w:tc>
        <w:tc>
          <w:tcPr>
            <w:tcW w:w="1455" w:type="dxa"/>
            <w:tcBorders>
              <w:top w:val="nil"/>
              <w:left w:val="nil"/>
              <w:bottom w:val="nil"/>
              <w:right w:val="nil"/>
            </w:tcBorders>
            <w:shd w:val="clear" w:color="auto" w:fill="FFFFFF"/>
            <w:vAlign w:val="center"/>
          </w:tcPr>
          <w:p w14:paraId="3AD8299C"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19.69</w:t>
            </w:r>
          </w:p>
        </w:tc>
        <w:tc>
          <w:tcPr>
            <w:tcW w:w="1276" w:type="dxa"/>
            <w:tcBorders>
              <w:top w:val="nil"/>
              <w:left w:val="nil"/>
              <w:bottom w:val="nil"/>
              <w:right w:val="nil"/>
            </w:tcBorders>
            <w:shd w:val="clear" w:color="auto" w:fill="FFFFFF"/>
            <w:vAlign w:val="center"/>
          </w:tcPr>
          <w:p w14:paraId="11C11F11"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100mg</w:t>
            </w:r>
          </w:p>
        </w:tc>
        <w:tc>
          <w:tcPr>
            <w:tcW w:w="2246" w:type="dxa"/>
            <w:tcBorders>
              <w:top w:val="nil"/>
              <w:left w:val="nil"/>
              <w:bottom w:val="nil"/>
              <w:right w:val="nil"/>
            </w:tcBorders>
            <w:shd w:val="clear" w:color="auto" w:fill="FFFFFF"/>
            <w:vAlign w:val="center"/>
          </w:tcPr>
          <w:p w14:paraId="38D1770A"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225 mg/day</w:t>
            </w:r>
          </w:p>
        </w:tc>
        <w:tc>
          <w:tcPr>
            <w:tcW w:w="1660" w:type="dxa"/>
            <w:tcBorders>
              <w:top w:val="nil"/>
              <w:left w:val="nil"/>
              <w:bottom w:val="nil"/>
              <w:right w:val="nil"/>
            </w:tcBorders>
            <w:shd w:val="clear" w:color="auto" w:fill="FFFFFF"/>
            <w:vAlign w:val="center"/>
          </w:tcPr>
          <w:p w14:paraId="56D08662"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2024 NRDL Listed Price</w:t>
            </w:r>
          </w:p>
        </w:tc>
      </w:tr>
      <w:tr w:rsidR="006D1C3F" w14:paraId="54DAB4CA" w14:textId="77777777">
        <w:tc>
          <w:tcPr>
            <w:tcW w:w="1659" w:type="dxa"/>
            <w:tcBorders>
              <w:top w:val="nil"/>
              <w:left w:val="nil"/>
              <w:bottom w:val="nil"/>
              <w:right w:val="nil"/>
            </w:tcBorders>
            <w:shd w:val="clear" w:color="auto" w:fill="FFFFFF"/>
            <w:vAlign w:val="center"/>
          </w:tcPr>
          <w:p w14:paraId="24C7B16F" w14:textId="77777777" w:rsidR="006D1C3F" w:rsidRDefault="00000000">
            <w:pPr>
              <w:widowControl/>
              <w:spacing w:line="240" w:lineRule="auto"/>
              <w:ind w:firstLineChars="0" w:firstLine="353"/>
              <w:jc w:val="center"/>
              <w:rPr>
                <w:b w:val="0"/>
                <w:bCs w:val="0"/>
                <w:kern w:val="0"/>
                <w:sz w:val="18"/>
                <w:szCs w:val="18"/>
              </w:rPr>
            </w:pPr>
            <w:proofErr w:type="spellStart"/>
            <w:r>
              <w:rPr>
                <w:b w:val="0"/>
                <w:bCs w:val="0"/>
                <w:color w:val="000000"/>
                <w:spacing w:val="-2"/>
                <w:kern w:val="0"/>
                <w:sz w:val="18"/>
                <w:szCs w:val="18"/>
              </w:rPr>
              <w:t>Lorlatinib</w:t>
            </w:r>
            <w:proofErr w:type="spellEnd"/>
          </w:p>
        </w:tc>
        <w:tc>
          <w:tcPr>
            <w:tcW w:w="1455" w:type="dxa"/>
            <w:tcBorders>
              <w:top w:val="nil"/>
              <w:left w:val="nil"/>
              <w:bottom w:val="nil"/>
              <w:right w:val="nil"/>
            </w:tcBorders>
            <w:shd w:val="clear" w:color="auto" w:fill="FFFFFF"/>
            <w:vAlign w:val="center"/>
          </w:tcPr>
          <w:p w14:paraId="1BEEC3D9"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73.07</w:t>
            </w:r>
          </w:p>
        </w:tc>
        <w:tc>
          <w:tcPr>
            <w:tcW w:w="1276" w:type="dxa"/>
            <w:tcBorders>
              <w:top w:val="nil"/>
              <w:left w:val="nil"/>
              <w:bottom w:val="nil"/>
              <w:right w:val="nil"/>
            </w:tcBorders>
            <w:shd w:val="clear" w:color="auto" w:fill="FFFFFF"/>
            <w:vAlign w:val="center"/>
          </w:tcPr>
          <w:p w14:paraId="31DC0B1D"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100mg</w:t>
            </w:r>
          </w:p>
        </w:tc>
        <w:tc>
          <w:tcPr>
            <w:tcW w:w="2246" w:type="dxa"/>
            <w:tcBorders>
              <w:top w:val="nil"/>
              <w:left w:val="nil"/>
              <w:bottom w:val="nil"/>
              <w:right w:val="nil"/>
            </w:tcBorders>
            <w:shd w:val="clear" w:color="auto" w:fill="FFFFFF"/>
            <w:vAlign w:val="center"/>
          </w:tcPr>
          <w:p w14:paraId="61A3229D"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100 mg/day</w:t>
            </w:r>
          </w:p>
        </w:tc>
        <w:tc>
          <w:tcPr>
            <w:tcW w:w="1660" w:type="dxa"/>
            <w:tcBorders>
              <w:top w:val="nil"/>
              <w:left w:val="nil"/>
              <w:bottom w:val="nil"/>
              <w:right w:val="nil"/>
            </w:tcBorders>
            <w:shd w:val="clear" w:color="auto" w:fill="FFFFFF"/>
            <w:vAlign w:val="center"/>
          </w:tcPr>
          <w:p w14:paraId="4A73BB06"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2024 NRDL Listed Price</w:t>
            </w:r>
          </w:p>
        </w:tc>
      </w:tr>
      <w:tr w:rsidR="006D1C3F" w14:paraId="1238FBA1" w14:textId="77777777">
        <w:tc>
          <w:tcPr>
            <w:tcW w:w="1659" w:type="dxa"/>
            <w:tcBorders>
              <w:top w:val="nil"/>
              <w:left w:val="nil"/>
              <w:bottom w:val="nil"/>
              <w:right w:val="nil"/>
            </w:tcBorders>
            <w:shd w:val="clear" w:color="auto" w:fill="FFFFFF"/>
            <w:vAlign w:val="center"/>
          </w:tcPr>
          <w:p w14:paraId="65567A87"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Pemetrexed</w:t>
            </w:r>
          </w:p>
        </w:tc>
        <w:tc>
          <w:tcPr>
            <w:tcW w:w="1455" w:type="dxa"/>
            <w:tcBorders>
              <w:top w:val="nil"/>
              <w:left w:val="nil"/>
              <w:bottom w:val="nil"/>
              <w:right w:val="nil"/>
            </w:tcBorders>
            <w:shd w:val="clear" w:color="auto" w:fill="FFFFFF"/>
            <w:vAlign w:val="center"/>
          </w:tcPr>
          <w:p w14:paraId="41A78262"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7.63</w:t>
            </w:r>
          </w:p>
        </w:tc>
        <w:tc>
          <w:tcPr>
            <w:tcW w:w="1276" w:type="dxa"/>
            <w:tcBorders>
              <w:top w:val="nil"/>
              <w:left w:val="nil"/>
              <w:bottom w:val="nil"/>
              <w:right w:val="nil"/>
            </w:tcBorders>
            <w:shd w:val="clear" w:color="auto" w:fill="FFFFFF"/>
            <w:vAlign w:val="center"/>
          </w:tcPr>
          <w:p w14:paraId="5241AE4F"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100mg</w:t>
            </w:r>
          </w:p>
        </w:tc>
        <w:tc>
          <w:tcPr>
            <w:tcW w:w="2246" w:type="dxa"/>
            <w:tcBorders>
              <w:top w:val="nil"/>
              <w:left w:val="nil"/>
              <w:bottom w:val="nil"/>
              <w:right w:val="nil"/>
            </w:tcBorders>
            <w:shd w:val="clear" w:color="auto" w:fill="FFFFFF"/>
            <w:vAlign w:val="center"/>
          </w:tcPr>
          <w:p w14:paraId="3CC8FC31"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500 mg/m²</w:t>
            </w:r>
          </w:p>
        </w:tc>
        <w:tc>
          <w:tcPr>
            <w:tcW w:w="1660" w:type="dxa"/>
            <w:tcBorders>
              <w:top w:val="nil"/>
              <w:left w:val="nil"/>
              <w:bottom w:val="nil"/>
              <w:right w:val="nil"/>
            </w:tcBorders>
            <w:shd w:val="clear" w:color="auto" w:fill="FFFFFF"/>
            <w:vAlign w:val="center"/>
          </w:tcPr>
          <w:p w14:paraId="057FC86F"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Lowest Centralized Procurement Price (Past Year)​</w:t>
            </w:r>
          </w:p>
        </w:tc>
      </w:tr>
      <w:tr w:rsidR="006D1C3F" w14:paraId="07C19CCA" w14:textId="77777777">
        <w:tc>
          <w:tcPr>
            <w:tcW w:w="1659" w:type="dxa"/>
            <w:tcBorders>
              <w:top w:val="nil"/>
              <w:left w:val="nil"/>
              <w:bottom w:val="nil"/>
              <w:right w:val="nil"/>
            </w:tcBorders>
            <w:shd w:val="clear" w:color="auto" w:fill="FFFFFF"/>
            <w:vAlign w:val="center"/>
          </w:tcPr>
          <w:p w14:paraId="2F1A16E5"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Docetaxel</w:t>
            </w:r>
          </w:p>
        </w:tc>
        <w:tc>
          <w:tcPr>
            <w:tcW w:w="1455" w:type="dxa"/>
            <w:tcBorders>
              <w:top w:val="nil"/>
              <w:left w:val="nil"/>
              <w:bottom w:val="nil"/>
              <w:right w:val="nil"/>
            </w:tcBorders>
            <w:shd w:val="clear" w:color="auto" w:fill="FFFFFF"/>
            <w:vAlign w:val="center"/>
          </w:tcPr>
          <w:p w14:paraId="16ED2D01"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3.13</w:t>
            </w:r>
          </w:p>
        </w:tc>
        <w:tc>
          <w:tcPr>
            <w:tcW w:w="1276" w:type="dxa"/>
            <w:tcBorders>
              <w:top w:val="nil"/>
              <w:left w:val="nil"/>
              <w:bottom w:val="nil"/>
              <w:right w:val="nil"/>
            </w:tcBorders>
            <w:shd w:val="clear" w:color="auto" w:fill="FFFFFF"/>
            <w:vAlign w:val="center"/>
          </w:tcPr>
          <w:p w14:paraId="23E442BA"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20mg</w:t>
            </w:r>
          </w:p>
        </w:tc>
        <w:tc>
          <w:tcPr>
            <w:tcW w:w="2246" w:type="dxa"/>
            <w:tcBorders>
              <w:top w:val="nil"/>
              <w:left w:val="nil"/>
              <w:bottom w:val="nil"/>
              <w:right w:val="nil"/>
            </w:tcBorders>
            <w:shd w:val="clear" w:color="auto" w:fill="FFFFFF"/>
            <w:vAlign w:val="center"/>
          </w:tcPr>
          <w:p w14:paraId="06E0985D"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75 mg/m²</w:t>
            </w:r>
          </w:p>
        </w:tc>
        <w:tc>
          <w:tcPr>
            <w:tcW w:w="1660" w:type="dxa"/>
            <w:tcBorders>
              <w:top w:val="nil"/>
              <w:left w:val="nil"/>
              <w:bottom w:val="nil"/>
              <w:right w:val="nil"/>
            </w:tcBorders>
            <w:shd w:val="clear" w:color="auto" w:fill="FFFFFF"/>
            <w:vAlign w:val="center"/>
          </w:tcPr>
          <w:p w14:paraId="7141E380"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Lowest Centralized Procurement Price (Past Year)​</w:t>
            </w:r>
          </w:p>
        </w:tc>
      </w:tr>
      <w:tr w:rsidR="006D1C3F" w14:paraId="143D2472" w14:textId="77777777">
        <w:tc>
          <w:tcPr>
            <w:tcW w:w="1659" w:type="dxa"/>
            <w:tcBorders>
              <w:top w:val="nil"/>
              <w:left w:val="nil"/>
              <w:bottom w:val="nil"/>
              <w:right w:val="nil"/>
            </w:tcBorders>
            <w:shd w:val="clear" w:color="auto" w:fill="FFFFFF"/>
            <w:vAlign w:val="center"/>
          </w:tcPr>
          <w:p w14:paraId="29A8AB74"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Cisplatin</w:t>
            </w:r>
          </w:p>
        </w:tc>
        <w:tc>
          <w:tcPr>
            <w:tcW w:w="1455" w:type="dxa"/>
            <w:tcBorders>
              <w:top w:val="nil"/>
              <w:left w:val="nil"/>
              <w:bottom w:val="nil"/>
              <w:right w:val="nil"/>
            </w:tcBorders>
            <w:shd w:val="clear" w:color="auto" w:fill="FFFFFF"/>
            <w:vAlign w:val="center"/>
          </w:tcPr>
          <w:p w14:paraId="46C65237"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1.69</w:t>
            </w:r>
          </w:p>
        </w:tc>
        <w:tc>
          <w:tcPr>
            <w:tcW w:w="1276" w:type="dxa"/>
            <w:tcBorders>
              <w:top w:val="nil"/>
              <w:left w:val="nil"/>
              <w:bottom w:val="nil"/>
              <w:right w:val="nil"/>
            </w:tcBorders>
            <w:shd w:val="clear" w:color="auto" w:fill="FFFFFF"/>
            <w:vAlign w:val="center"/>
          </w:tcPr>
          <w:p w14:paraId="414CCFFD"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20mg</w:t>
            </w:r>
          </w:p>
        </w:tc>
        <w:tc>
          <w:tcPr>
            <w:tcW w:w="2246" w:type="dxa"/>
            <w:tcBorders>
              <w:top w:val="nil"/>
              <w:left w:val="nil"/>
              <w:bottom w:val="nil"/>
              <w:right w:val="nil"/>
            </w:tcBorders>
            <w:shd w:val="clear" w:color="auto" w:fill="FFFFFF"/>
            <w:vAlign w:val="center"/>
          </w:tcPr>
          <w:p w14:paraId="3AD3E5BE"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75 mg/m²</w:t>
            </w:r>
          </w:p>
        </w:tc>
        <w:tc>
          <w:tcPr>
            <w:tcW w:w="1660" w:type="dxa"/>
            <w:tcBorders>
              <w:top w:val="nil"/>
              <w:left w:val="nil"/>
              <w:bottom w:val="nil"/>
              <w:right w:val="nil"/>
            </w:tcBorders>
            <w:shd w:val="clear" w:color="auto" w:fill="FFFFFF"/>
            <w:vAlign w:val="center"/>
          </w:tcPr>
          <w:p w14:paraId="6E2172C7"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Lowest Centralized Procurement Price (Past Year)​</w:t>
            </w:r>
          </w:p>
        </w:tc>
      </w:tr>
      <w:tr w:rsidR="006D1C3F" w14:paraId="44B7B4E1" w14:textId="77777777">
        <w:tc>
          <w:tcPr>
            <w:tcW w:w="1659" w:type="dxa"/>
            <w:tcBorders>
              <w:top w:val="nil"/>
              <w:left w:val="nil"/>
              <w:bottom w:val="nil"/>
              <w:right w:val="nil"/>
            </w:tcBorders>
            <w:shd w:val="clear" w:color="auto" w:fill="FFFFFF"/>
            <w:vAlign w:val="center"/>
          </w:tcPr>
          <w:p w14:paraId="08ABEF7A" w14:textId="77777777" w:rsidR="006D1C3F" w:rsidRDefault="00000000">
            <w:pPr>
              <w:widowControl/>
              <w:spacing w:line="240" w:lineRule="auto"/>
              <w:ind w:firstLineChars="0" w:firstLine="353"/>
              <w:jc w:val="center"/>
              <w:rPr>
                <w:b w:val="0"/>
                <w:bCs w:val="0"/>
                <w:kern w:val="0"/>
                <w:sz w:val="18"/>
                <w:szCs w:val="18"/>
              </w:rPr>
            </w:pPr>
            <w:proofErr w:type="spellStart"/>
            <w:r>
              <w:rPr>
                <w:b w:val="0"/>
                <w:bCs w:val="0"/>
                <w:color w:val="000000"/>
                <w:spacing w:val="-2"/>
                <w:kern w:val="0"/>
                <w:sz w:val="18"/>
                <w:szCs w:val="18"/>
              </w:rPr>
              <w:t>Iruplinalkib</w:t>
            </w:r>
            <w:proofErr w:type="spellEnd"/>
          </w:p>
        </w:tc>
        <w:tc>
          <w:tcPr>
            <w:tcW w:w="1455" w:type="dxa"/>
            <w:tcBorders>
              <w:top w:val="nil"/>
              <w:left w:val="nil"/>
              <w:bottom w:val="nil"/>
              <w:right w:val="nil"/>
            </w:tcBorders>
            <w:shd w:val="clear" w:color="auto" w:fill="FFFFFF"/>
            <w:vAlign w:val="center"/>
          </w:tcPr>
          <w:p w14:paraId="470EC86D"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20.11</w:t>
            </w:r>
          </w:p>
        </w:tc>
        <w:tc>
          <w:tcPr>
            <w:tcW w:w="1276" w:type="dxa"/>
            <w:tcBorders>
              <w:top w:val="nil"/>
              <w:left w:val="nil"/>
              <w:bottom w:val="nil"/>
              <w:right w:val="nil"/>
            </w:tcBorders>
            <w:shd w:val="clear" w:color="auto" w:fill="FFFFFF"/>
            <w:vAlign w:val="center"/>
          </w:tcPr>
          <w:p w14:paraId="1D2BE4C7"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60mg</w:t>
            </w:r>
          </w:p>
        </w:tc>
        <w:tc>
          <w:tcPr>
            <w:tcW w:w="2246" w:type="dxa"/>
            <w:tcBorders>
              <w:top w:val="nil"/>
              <w:left w:val="nil"/>
              <w:bottom w:val="nil"/>
              <w:right w:val="nil"/>
            </w:tcBorders>
            <w:shd w:val="clear" w:color="auto" w:fill="FFFFFF"/>
            <w:vAlign w:val="center"/>
          </w:tcPr>
          <w:p w14:paraId="37F45E57"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180 mg/day</w:t>
            </w:r>
          </w:p>
        </w:tc>
        <w:tc>
          <w:tcPr>
            <w:tcW w:w="1660" w:type="dxa"/>
            <w:tcBorders>
              <w:top w:val="nil"/>
              <w:left w:val="nil"/>
              <w:bottom w:val="nil"/>
              <w:right w:val="nil"/>
            </w:tcBorders>
            <w:shd w:val="clear" w:color="auto" w:fill="FFFFFF"/>
            <w:vAlign w:val="center"/>
          </w:tcPr>
          <w:p w14:paraId="34D4045A"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2024 NRDL Listed Price</w:t>
            </w:r>
          </w:p>
        </w:tc>
      </w:tr>
      <w:tr w:rsidR="006D1C3F" w14:paraId="291532FD" w14:textId="77777777">
        <w:tc>
          <w:tcPr>
            <w:tcW w:w="1659" w:type="dxa"/>
            <w:tcBorders>
              <w:top w:val="nil"/>
              <w:left w:val="nil"/>
              <w:bottom w:val="single" w:sz="12" w:space="0" w:color="auto"/>
              <w:right w:val="nil"/>
            </w:tcBorders>
            <w:shd w:val="clear" w:color="auto" w:fill="FFFFFF"/>
            <w:vAlign w:val="center"/>
          </w:tcPr>
          <w:p w14:paraId="56A300D1" w14:textId="77777777" w:rsidR="006D1C3F" w:rsidRDefault="00000000">
            <w:pPr>
              <w:widowControl/>
              <w:spacing w:line="240" w:lineRule="auto"/>
              <w:ind w:firstLineChars="0" w:firstLine="353"/>
              <w:jc w:val="center"/>
              <w:rPr>
                <w:b w:val="0"/>
                <w:bCs w:val="0"/>
                <w:kern w:val="0"/>
                <w:sz w:val="18"/>
                <w:szCs w:val="18"/>
              </w:rPr>
            </w:pPr>
            <w:proofErr w:type="spellStart"/>
            <w:r>
              <w:rPr>
                <w:rFonts w:hint="eastAsia"/>
                <w:b w:val="0"/>
                <w:bCs w:val="0"/>
                <w:color w:val="000000"/>
                <w:spacing w:val="-2"/>
                <w:kern w:val="0"/>
                <w:sz w:val="18"/>
                <w:szCs w:val="18"/>
              </w:rPr>
              <w:t>Envonalkib</w:t>
            </w:r>
            <w:proofErr w:type="spellEnd"/>
          </w:p>
        </w:tc>
        <w:tc>
          <w:tcPr>
            <w:tcW w:w="1455" w:type="dxa"/>
            <w:tcBorders>
              <w:top w:val="nil"/>
              <w:left w:val="nil"/>
              <w:bottom w:val="single" w:sz="12" w:space="0" w:color="auto"/>
              <w:right w:val="nil"/>
            </w:tcBorders>
            <w:shd w:val="clear" w:color="auto" w:fill="FFFFFF"/>
            <w:vAlign w:val="center"/>
          </w:tcPr>
          <w:p w14:paraId="46632D0A" w14:textId="77777777" w:rsidR="006D1C3F" w:rsidRDefault="00000000">
            <w:pPr>
              <w:widowControl/>
              <w:spacing w:line="240" w:lineRule="auto"/>
              <w:ind w:firstLineChars="0" w:firstLine="0"/>
              <w:jc w:val="center"/>
              <w:rPr>
                <w:b w:val="0"/>
                <w:bCs w:val="0"/>
                <w:kern w:val="0"/>
                <w:sz w:val="18"/>
                <w:szCs w:val="18"/>
              </w:rPr>
            </w:pPr>
            <w:r>
              <w:rPr>
                <w:rFonts w:hint="eastAsia"/>
                <w:b w:val="0"/>
                <w:bCs w:val="0"/>
                <w:kern w:val="0"/>
                <w:szCs w:val="20"/>
              </w:rPr>
              <w:t>3.80</w:t>
            </w:r>
          </w:p>
        </w:tc>
        <w:tc>
          <w:tcPr>
            <w:tcW w:w="1276" w:type="dxa"/>
            <w:tcBorders>
              <w:top w:val="nil"/>
              <w:left w:val="nil"/>
              <w:bottom w:val="single" w:sz="12" w:space="0" w:color="auto"/>
              <w:right w:val="nil"/>
            </w:tcBorders>
            <w:shd w:val="clear" w:color="auto" w:fill="FFFFFF"/>
            <w:vAlign w:val="center"/>
          </w:tcPr>
          <w:p w14:paraId="65C3ADAD"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100mg</w:t>
            </w:r>
          </w:p>
        </w:tc>
        <w:tc>
          <w:tcPr>
            <w:tcW w:w="2246" w:type="dxa"/>
            <w:tcBorders>
              <w:top w:val="nil"/>
              <w:left w:val="nil"/>
              <w:bottom w:val="single" w:sz="12" w:space="0" w:color="auto"/>
              <w:right w:val="nil"/>
            </w:tcBorders>
            <w:shd w:val="clear" w:color="auto" w:fill="FFFFFF"/>
            <w:vAlign w:val="center"/>
          </w:tcPr>
          <w:p w14:paraId="1EEAA5E8"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1200 mg/day</w:t>
            </w:r>
          </w:p>
        </w:tc>
        <w:tc>
          <w:tcPr>
            <w:tcW w:w="1660" w:type="dxa"/>
            <w:tcBorders>
              <w:top w:val="nil"/>
              <w:left w:val="nil"/>
              <w:bottom w:val="single" w:sz="12" w:space="0" w:color="auto"/>
              <w:right w:val="nil"/>
            </w:tcBorders>
            <w:shd w:val="clear" w:color="auto" w:fill="FFFFFF"/>
            <w:vAlign w:val="center"/>
          </w:tcPr>
          <w:p w14:paraId="2AEB89E0" w14:textId="77777777" w:rsidR="006D1C3F" w:rsidRDefault="00000000">
            <w:pPr>
              <w:widowControl/>
              <w:spacing w:line="240" w:lineRule="auto"/>
              <w:ind w:firstLineChars="0" w:firstLine="353"/>
              <w:jc w:val="center"/>
              <w:rPr>
                <w:b w:val="0"/>
                <w:bCs w:val="0"/>
                <w:kern w:val="0"/>
                <w:sz w:val="18"/>
                <w:szCs w:val="18"/>
              </w:rPr>
            </w:pPr>
            <w:r>
              <w:rPr>
                <w:b w:val="0"/>
                <w:bCs w:val="0"/>
                <w:color w:val="000000"/>
                <w:spacing w:val="-2"/>
                <w:kern w:val="0"/>
                <w:sz w:val="18"/>
                <w:szCs w:val="18"/>
              </w:rPr>
              <w:t>2024 NRDL Listed Price</w:t>
            </w:r>
          </w:p>
        </w:tc>
      </w:tr>
    </w:tbl>
    <w:p w14:paraId="2D51DADE" w14:textId="77777777" w:rsidR="006D1C3F" w:rsidRDefault="006D1C3F">
      <w:pPr>
        <w:keepNext/>
        <w:keepLines/>
        <w:pageBreakBefore/>
        <w:spacing w:before="340" w:after="156" w:line="240" w:lineRule="auto"/>
        <w:ind w:firstLineChars="0" w:firstLine="0"/>
        <w:outlineLvl w:val="0"/>
        <w:rPr>
          <w:rFonts w:eastAsia="Times New Roman" w:cstheme="minorBidi"/>
          <w:b w:val="0"/>
          <w:bCs w:val="0"/>
          <w:kern w:val="44"/>
        </w:rPr>
      </w:pPr>
      <w:hyperlink w:anchor="_Toc31821" w:history="1">
        <w:bookmarkStart w:id="18" w:name="_Toc225844809"/>
        <w:r>
          <w:rPr>
            <w:rFonts w:eastAsia="Times New Roman" w:cstheme="minorBidi" w:hint="eastAsia"/>
            <w:b w:val="0"/>
            <w:bCs w:val="0"/>
            <w:kern w:val="44"/>
          </w:rPr>
          <w:t>Table S</w:t>
        </w:r>
        <w:r>
          <w:rPr>
            <w:rFonts w:eastAsiaTheme="minorEastAsia" w:cstheme="minorBidi" w:hint="eastAsia"/>
            <w:b w:val="0"/>
            <w:bCs w:val="0"/>
            <w:kern w:val="44"/>
          </w:rPr>
          <w:t>5</w:t>
        </w:r>
        <w:r>
          <w:rPr>
            <w:rFonts w:eastAsia="Times New Roman" w:cstheme="minorBidi" w:hint="eastAsia"/>
            <w:b w:val="0"/>
            <w:bCs w:val="0"/>
            <w:kern w:val="44"/>
          </w:rPr>
          <w:t xml:space="preserve"> </w:t>
        </w:r>
        <w:r>
          <w:rPr>
            <w:rFonts w:eastAsia="Times New Roman" w:cstheme="minorBidi"/>
            <w:b w:val="0"/>
            <w:bCs w:val="0"/>
            <w:kern w:val="44"/>
          </w:rPr>
          <w:t>Costs of Adverse Reactions​</w:t>
        </w:r>
        <w:bookmarkEnd w:id="18"/>
      </w:hyperlink>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743"/>
        <w:gridCol w:w="2074"/>
        <w:gridCol w:w="2074"/>
      </w:tblGrid>
      <w:tr w:rsidR="006D1C3F" w14:paraId="10A43369" w14:textId="77777777">
        <w:trPr>
          <w:trHeight w:val="432"/>
          <w:jc w:val="center"/>
        </w:trPr>
        <w:tc>
          <w:tcPr>
            <w:tcW w:w="2405" w:type="dxa"/>
            <w:tcBorders>
              <w:top w:val="single" w:sz="4" w:space="0" w:color="auto"/>
              <w:bottom w:val="single" w:sz="4" w:space="0" w:color="auto"/>
            </w:tcBorders>
            <w:vAlign w:val="center"/>
          </w:tcPr>
          <w:p w14:paraId="3846510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Adverse Reaction</w:t>
            </w:r>
          </w:p>
        </w:tc>
        <w:tc>
          <w:tcPr>
            <w:tcW w:w="1743" w:type="dxa"/>
            <w:tcBorders>
              <w:top w:val="single" w:sz="4" w:space="0" w:color="auto"/>
              <w:bottom w:val="single" w:sz="4" w:space="0" w:color="auto"/>
            </w:tcBorders>
            <w:vAlign w:val="center"/>
          </w:tcPr>
          <w:p w14:paraId="7C9EBC2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Mean Cost ($)</w:t>
            </w:r>
          </w:p>
        </w:tc>
        <w:tc>
          <w:tcPr>
            <w:tcW w:w="2074" w:type="dxa"/>
            <w:tcBorders>
              <w:top w:val="single" w:sz="4" w:space="0" w:color="auto"/>
              <w:bottom w:val="single" w:sz="4" w:space="0" w:color="auto"/>
            </w:tcBorders>
            <w:vAlign w:val="center"/>
          </w:tcPr>
          <w:p w14:paraId="70A5ED4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Variation range</w:t>
            </w:r>
          </w:p>
        </w:tc>
        <w:tc>
          <w:tcPr>
            <w:tcW w:w="2074" w:type="dxa"/>
            <w:tcBorders>
              <w:top w:val="single" w:sz="4" w:space="0" w:color="auto"/>
              <w:bottom w:val="single" w:sz="4" w:space="0" w:color="auto"/>
            </w:tcBorders>
            <w:vAlign w:val="center"/>
          </w:tcPr>
          <w:p w14:paraId="288BA77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Source</w:t>
            </w:r>
          </w:p>
        </w:tc>
      </w:tr>
      <w:tr w:rsidR="006D1C3F" w14:paraId="53C5B405" w14:textId="77777777">
        <w:trPr>
          <w:trHeight w:val="289"/>
          <w:jc w:val="center"/>
        </w:trPr>
        <w:tc>
          <w:tcPr>
            <w:tcW w:w="2405" w:type="dxa"/>
            <w:tcBorders>
              <w:top w:val="single" w:sz="4" w:space="0" w:color="auto"/>
            </w:tcBorders>
            <w:vAlign w:val="center"/>
          </w:tcPr>
          <w:p w14:paraId="0654F8F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Increased blood creatine kinase</w:t>
            </w:r>
          </w:p>
        </w:tc>
        <w:tc>
          <w:tcPr>
            <w:tcW w:w="1743" w:type="dxa"/>
            <w:tcBorders>
              <w:top w:val="single" w:sz="4" w:space="0" w:color="auto"/>
            </w:tcBorders>
            <w:vAlign w:val="center"/>
          </w:tcPr>
          <w:p w14:paraId="04DF1F6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362.17</w:t>
            </w:r>
          </w:p>
        </w:tc>
        <w:tc>
          <w:tcPr>
            <w:tcW w:w="2074" w:type="dxa"/>
            <w:tcBorders>
              <w:top w:val="single" w:sz="4" w:space="0" w:color="auto"/>
            </w:tcBorders>
            <w:vAlign w:val="center"/>
          </w:tcPr>
          <w:p w14:paraId="7EC5655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271.63–452.71</w:t>
            </w:r>
          </w:p>
        </w:tc>
        <w:tc>
          <w:tcPr>
            <w:tcW w:w="2074" w:type="dxa"/>
            <w:tcBorders>
              <w:top w:val="single" w:sz="4" w:space="0" w:color="auto"/>
            </w:tcBorders>
            <w:vAlign w:val="center"/>
          </w:tcPr>
          <w:p w14:paraId="75CCFAFD"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{"citationID":"y4758En7","properties":{"formattedCitation":"(36)","plainCitation":"(36)","noteIndex":0},"citationItems":[{"id":434,"uris":["http://zotero.org/users/local/eBJtW3GH/items/AGZAASJS"],"itemData":{"id":434,"type":"article-journal","abstract":"BACKGROUND: This study aimed to analyze the cost-effectiveness of crizotinib versus ceritinib or alectinib as first-line-targeted drug therapy for anaplastic lymphoma kinase-positive advanced non-small cell lung cancer in China.\nMETHODS: The Markov model was used to simulate the medical cost and quality-adjusted life years (QALYs) of patients using crizotinib, ceritinib, or alectinib over a 10-year period by establishing three health states: progression-free, post-progression, and death. Randomized controlled clinical data were collected from the open-label, randomized phase 3 trials ALEX and ASCEND-4. Cost and utility values were derived from local charges and literature. Sensitivity analyses included one-way and probabilistic sensitivity analyses.\nRESULTS: Compared with patients who used crizotinib as first-line treatment, patients in the ceritinib and alectinib groups yielded an additional 1.32 and 3.30 QALYs with an incremental cost of $84,728.20 and $339,114.36, respectively. Thus, the incremental cost-effectiveness ratio (ICER) was $64,398.83 and $102,675.74 per QALY in the ceritinib and alectinib groups, respectively. Alectinib was estimated to be more effective (4.68 QALY) and more costly ($432,063.06) with an ICER of $128,019.42 per QALY compared with ceritinib (2.69 QALY and $177,676.90). Results were robust to deterministic and probabilistic sensitivity analyses.\nCONCLUSION: As a first-line treatment regimen, ceritinib and alectinib can extend the survival time of patients compared with crizotinib, but the medical cost also increases accordingly. According to the World Health Organization's three-percent GDP measurement, first-line treatment with Crizotinib is the most cost-effective.","container-title":"Cancer Management and Research","DOI":"10.2147/CMAR.S223441","ISSN":"1179-1322","journalAbbreviation":"Cancer Manag Res","language":"en","note":"PMID: 31749634\nPMCID: PMC6818540","page":"9195-9202","source":"PubMed","title":"Cost-Effectiveness Analysis Of Ceritinib And Alectinib Versus Crizotinib In The Treatment Of Anaplastic Lymphoma Kinase-Positive Advanced Non-Small Cell Lung Cancer","volume":"11","author":[{"family":"Liu","given":"Maobai"},{"family":"Zhang","given":"Longfeng"},{"family":"Huang","given":"Qishu"},{"family":"Li","given":"Na"},{"family":"Zheng","given":"Bin"},{"family":"Cai","given":"Hongfu"}],"issued":{"date-parts":[["2019"]]}}}],"schema":"https://github.com/citation-style-language/schema/raw/master/csl-citation.json"} </w:instrText>
            </w:r>
            <w:r>
              <w:rPr>
                <w:rFonts w:eastAsiaTheme="minorEastAsia"/>
                <w:b w:val="0"/>
                <w:bCs w:val="0"/>
                <w:sz w:val="18"/>
                <w:szCs w:val="18"/>
              </w:rPr>
              <w:fldChar w:fldCharType="separate"/>
            </w:r>
            <w:r>
              <w:rPr>
                <w:b w:val="0"/>
                <w:bCs w:val="0"/>
                <w:sz w:val="18"/>
              </w:rPr>
              <w:t>[36]</w:t>
            </w:r>
            <w:r>
              <w:rPr>
                <w:rFonts w:eastAsiaTheme="minorEastAsia"/>
                <w:b w:val="0"/>
                <w:bCs w:val="0"/>
                <w:sz w:val="18"/>
                <w:szCs w:val="18"/>
              </w:rPr>
              <w:fldChar w:fldCharType="end"/>
            </w:r>
          </w:p>
        </w:tc>
      </w:tr>
      <w:tr w:rsidR="006D1C3F" w14:paraId="55C5E532" w14:textId="77777777">
        <w:trPr>
          <w:trHeight w:val="289"/>
          <w:jc w:val="center"/>
        </w:trPr>
        <w:tc>
          <w:tcPr>
            <w:tcW w:w="2405" w:type="dxa"/>
            <w:vAlign w:val="center"/>
          </w:tcPr>
          <w:p w14:paraId="6298043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Lipase increased</w:t>
            </w:r>
          </w:p>
        </w:tc>
        <w:tc>
          <w:tcPr>
            <w:tcW w:w="1743" w:type="dxa"/>
            <w:vAlign w:val="center"/>
          </w:tcPr>
          <w:p w14:paraId="7CE7DC5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44.3</w:t>
            </w:r>
          </w:p>
        </w:tc>
        <w:tc>
          <w:tcPr>
            <w:tcW w:w="2074" w:type="dxa"/>
            <w:vAlign w:val="center"/>
          </w:tcPr>
          <w:p w14:paraId="65FC242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35.44~53.16</w:t>
            </w:r>
          </w:p>
        </w:tc>
        <w:tc>
          <w:tcPr>
            <w:tcW w:w="2074" w:type="dxa"/>
            <w:vAlign w:val="center"/>
          </w:tcPr>
          <w:p w14:paraId="150401CD"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{"citationID":"D8QtMQ6M","properties":{"formattedCitation":"(37)","plainCitation":"(37)","noteIndex":0},"citationItems":[{"id":437,"uris":["http://zotero.org/users/local/eBJtW3GH/items/EPJVS2TU"],"itemData":{"id":437,"type":"article-journal","abstract":"OBJECTIVE: The purpose of this study was to evaluate the cost-effectiveness of nivolumab plus chemotherapy vs. chemotherapy as first-line therapy in patients with advanced gastric cancer/gastroesophageal junction cancer/esophageal adenocarcinoma from the perspective of the Chinese healthcare system.\nMETHODS: This economic evaluation used a state-transition Markov model to assess the cost and effectiveness of nivolumab plus chemotherapy vs. chemotherapy as first-line treatment for advanced gastric cancer/gastroesophageal junction cancer/esophageal adenocarcinoma. The characteristics of patients in the model came from a phase 3 open-label randomized clinical trial (CheckMate 649). Key clinical data were based on the CheckMate 649 trial conducted from March 2017 to April 2019, and costs and utilities were collected from the published literature. The total cost of treatment per patient, quality-adjusted life-years (QALYs), and incremental cost-effectiveness ratio (ICER) were calculated for the two treatment strategies. Deterministic sensitivity analysis and probabilistic sensitivity analysis were performed.\nRESULTS: In the baseline analysis, the incremental effectiveness and cost of nivolumab plus chemotherapy vs. chemotherapy were 0.28 QALYs and $78,626.53, resulting in an ICER of $278,658.71/QALY, higher than the willingness-to-pay (WTP) threshold of China ($31,498.70/QALY). The model was sensitive to the duration of progression-free survival (PFS) for the nivolumab plus chemotherapy group, the cost of nivolumab per 100 mg, and the utility of PFS.\nCONCLUSION: Nivolumab plus chemotherapy was clearly not a cost-effective treatment strategy compared with chemotherapy as first-line therapy for patients with advanced gastric cancer/gastroesophageal junction cancer/esophageal adenocarcinoma in China. Reducing the price of nivolumab may improve its cost-effectiveness.","container-title":"Frontiers in Oncology","DOI":"10.3389/fonc.2022.851522","ISSN":"2234-943X","journalAbbreviation":"Front Oncol","language":"en","note":"PMID: 35515123\nPMCID: PMC9065445","page":"851522","source":"PubMed","title":"Cost-Effectiveness of Nivolumab Plus Chemotherapy vs. Chemotherapy as First-Line Treatment for Advanced Gastric Cancer/Gastroesophageal Junction Cancer/Esophagel Adenocarcinoma in China","volume":"12","author":[{"family":"Shu","given":"Yamin"},{"family":"Ding","given":"Yufeng"},{"family":"Zhang","given":"Qilin"}],"issued":{"date-parts":[["2022"]]}}}],"schema":"https://github.com/citation-style-language/schema/raw/master/csl-citation.json"} </w:instrText>
            </w:r>
            <w:r>
              <w:rPr>
                <w:rFonts w:eastAsiaTheme="minorEastAsia"/>
                <w:b w:val="0"/>
                <w:bCs w:val="0"/>
                <w:sz w:val="18"/>
                <w:szCs w:val="18"/>
              </w:rPr>
              <w:fldChar w:fldCharType="separate"/>
            </w:r>
            <w:r>
              <w:rPr>
                <w:b w:val="0"/>
                <w:bCs w:val="0"/>
                <w:sz w:val="18"/>
              </w:rPr>
              <w:t>[37]</w:t>
            </w:r>
            <w:r>
              <w:rPr>
                <w:rFonts w:eastAsiaTheme="minorEastAsia"/>
                <w:b w:val="0"/>
                <w:bCs w:val="0"/>
                <w:sz w:val="18"/>
                <w:szCs w:val="18"/>
              </w:rPr>
              <w:fldChar w:fldCharType="end"/>
            </w:r>
          </w:p>
        </w:tc>
      </w:tr>
      <w:tr w:rsidR="006D1C3F" w14:paraId="6BCBF9B2" w14:textId="77777777">
        <w:trPr>
          <w:trHeight w:val="289"/>
          <w:jc w:val="center"/>
        </w:trPr>
        <w:tc>
          <w:tcPr>
            <w:tcW w:w="2405" w:type="dxa"/>
            <w:vAlign w:val="center"/>
          </w:tcPr>
          <w:p w14:paraId="23F6933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Hypertension</w:t>
            </w:r>
          </w:p>
        </w:tc>
        <w:tc>
          <w:tcPr>
            <w:tcW w:w="1743" w:type="dxa"/>
            <w:vAlign w:val="center"/>
          </w:tcPr>
          <w:p w14:paraId="4579AB7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10</w:t>
            </w:r>
          </w:p>
        </w:tc>
        <w:tc>
          <w:tcPr>
            <w:tcW w:w="2074" w:type="dxa"/>
            <w:vAlign w:val="center"/>
          </w:tcPr>
          <w:p w14:paraId="67B31CC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8~12</w:t>
            </w:r>
          </w:p>
        </w:tc>
        <w:tc>
          <w:tcPr>
            <w:tcW w:w="2074" w:type="dxa"/>
            <w:vAlign w:val="center"/>
          </w:tcPr>
          <w:p w14:paraId="5D644C32"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{"citationID":"gIWSJ5T9","properties":{"formattedCitation":"(28)","plainCitation":"(28)","noteIndex":0},"citationItems":[{"id":411,"uris":["http://zotero.org/users/local/eBJtW3GH/items/2QYXWXS4"],"itemData":{"id":411,"type":"article-journal","abstract":"INTRODUCTION: In the phase 3 study entitled ALK in Lung cancer Trial of brigAtinib in 1st Line (ALTA-1L), which is a study of brigatinib in ALK inhibitor-naive advanced ALK-positive NSCLC, brigatinib exhibited superior progression-free survival (PFS) versus crizotinib in the two planned interim analyses. Here, we report the final efficacy, safety, and exploratory results.\nMETHODS: Patients were randomized to brigatinib 180 mg once daily (7-d lead-in at 90 mg once daily) or crizotinib 250 mg twice daily. The primary end point was a blinded independent review committee-assessed PFS. Genetic alterations in plasma cell-free DNA were assessed in relation to clinical efficacy.\nRESULTS: A total of 275 patients were enrolled (brigatinib, n = 137; crizotinib, n = 138). At study end, (brigatinib median follow-up = 40.4 mo), the 3-year PFS by blinded independent review committee was 43% (brigatinib) versus 19% (crizotinib; median = 24.0 versus 11.1 mo, hazard ratio [HR] = 0.48, 95% confidence interval [CI]: 0.35-0.66). The median overall survival was not reached in either group (HR = 0.81, 95% CI: 0.53-1.22). Posthoc analyses suggested an overall survival benefit for brigatinib in patients with baseline brain metastases (HR = 0.43, 95% CI: 0.21-0.89). Detectable baseline EML4-ALK fusion variant 3 and TP53 mutation in plasma were associated with poor PFS. Brigatinib exhibited superior efficacy compared with crizotinib regardless of EML4-ALK variant and TP53 mutation. Emerging secondary ALK mutations were rare in patients progressing on brigatinib. No new safety signals were observed.\nCONCLUSIONS: In the ALTA-1L final analysis, with longer follow-up, brigatinib continued to exhibit superior efficacy and tolerability versus crizotinib in patients with or without poor prognostic biomarkers. The suggested survival benefit with brigatinib in patients with brain metastases warrants future study.","container-title":"Journal of Thoracic Oncology: Official Publication of the International Association for the Study of Lung Cancer","DOI":"10.1016/j.jtho.2021.07.035","ISSN":"1556-1380","issue":"12","journalAbbreviation":"J Thorac Oncol","language":"en","note":"PMID: 34537440","page":"2091-2108","source":"PubMed","title":"Brigatinib Versus Crizotinib in ALK Inhibitor-Naive Advanced ALK-Positive NSCLC: Final Results of Phase 3 ALTA-1L Trial","title-short":"Brigatinib Versus Crizotinib in ALK Inhibitor-Naive Advanced ALK-Positive NSCLC","volume":"16","author":[{"family":"Camidge","given":"D. Ross"},{"family":"Kim","given":"Hye Ryun"},{"family":"Ahn","given":"Myung-Ju"},{"family":"Yang","given":"James C. H."},{"family":"Han","given":"Ji-Youn"},{"family":"Hochmair","given":"Maximilian J."},{"family":"Lee","given":"Ki Hyeong"},{"family":"Delmonte","given":"Angelo"},{"family":"Garcia Campelo","given":"Maria Rosario"},{"family":"Kim","given":"Dong-Wan"},{"family":"Griesinger","given":"Frank"},{"family":"Felip","given":"Enriqueta"},{"family":"Califano","given":"Raffaele"},{"family":"Spira","given":"Alexander I."},{"family":"Gettinger","given":"Scott N."},{"family":"Tiseo","given":"Marcello"},{"family":"Lin","given":"Huamao M."},{"family":"Liu","given":"Yuyin"},{"family":"Vranceanu","given":"Florin"},{"family":"Niu","given":"Huifeng"},{"family":"Zhang","given":"Pingkuan"},{"family":"Popat","given":"Sanjay"}],"issued":{"date-parts":[["2021",12]]}}}],"schema":"https://github.com/citation-style-language/schema/raw/master/csl-citation.json"} </w:instrText>
            </w:r>
            <w:r>
              <w:rPr>
                <w:rFonts w:eastAsiaTheme="minorEastAsia"/>
                <w:b w:val="0"/>
                <w:bCs w:val="0"/>
                <w:sz w:val="18"/>
                <w:szCs w:val="18"/>
              </w:rPr>
              <w:fldChar w:fldCharType="separate"/>
            </w:r>
            <w:r>
              <w:rPr>
                <w:b w:val="0"/>
                <w:bCs w:val="0"/>
                <w:sz w:val="18"/>
              </w:rPr>
              <w:t>[28]</w:t>
            </w:r>
            <w:r>
              <w:rPr>
                <w:rFonts w:eastAsiaTheme="minorEastAsia"/>
                <w:b w:val="0"/>
                <w:bCs w:val="0"/>
                <w:sz w:val="18"/>
                <w:szCs w:val="18"/>
              </w:rPr>
              <w:fldChar w:fldCharType="end"/>
            </w:r>
          </w:p>
        </w:tc>
      </w:tr>
      <w:tr w:rsidR="006D1C3F" w14:paraId="0F00134E" w14:textId="77777777">
        <w:trPr>
          <w:trHeight w:val="289"/>
          <w:jc w:val="center"/>
        </w:trPr>
        <w:tc>
          <w:tcPr>
            <w:tcW w:w="2405" w:type="dxa"/>
            <w:vAlign w:val="center"/>
          </w:tcPr>
          <w:p w14:paraId="0B37123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Amylase increased</w:t>
            </w:r>
          </w:p>
        </w:tc>
        <w:tc>
          <w:tcPr>
            <w:tcW w:w="1743" w:type="dxa"/>
            <w:vAlign w:val="center"/>
          </w:tcPr>
          <w:p w14:paraId="5AC24E7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362.17</w:t>
            </w:r>
          </w:p>
        </w:tc>
        <w:tc>
          <w:tcPr>
            <w:tcW w:w="2074" w:type="dxa"/>
            <w:vAlign w:val="center"/>
          </w:tcPr>
          <w:p w14:paraId="6B4A56C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271.63–452.71</w:t>
            </w:r>
          </w:p>
        </w:tc>
        <w:tc>
          <w:tcPr>
            <w:tcW w:w="2074" w:type="dxa"/>
            <w:vAlign w:val="center"/>
          </w:tcPr>
          <w:p w14:paraId="1DEFAE57"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{"citationID":"L7Ib6EoS","properties":{"formattedCitation":"(36)","plainCitation":"(36)","noteIndex":0},"citationItems":[{"id":434,"uris":["http://zotero.org/users/local/eBJtW3GH/items/AGZAASJS"],"itemData":{"id":434,"type":"article-journal","abstract":"BACKGROUND: This study aimed to analyze the cost-effectiveness of crizotinib versus ceritinib or alectinib as first-line-targeted drug therapy for anaplastic lymphoma kinase-positive advanced non-small cell lung cancer in China.\nMETHODS: The Markov model was used to simulate the medical cost and quality-adjusted life years (QALYs) of patients using crizotinib, ceritinib, or alectinib over a 10-year period by establishing three health states: progression-free, post-progression, and death. Randomized controlled clinical data were collected from the open-label, randomized phase 3 trials ALEX and ASCEND-4. Cost and utility values were derived from local charges and literature. Sensitivity analyses included one-way and probabilistic sensitivity analyses.\nRESULTS: Compared with patients who used crizotinib as first-line treatment, patients in the ceritinib and alectinib groups yielded an additional 1.32 and 3.30 QALYs with an incremental cost of $84,728.20 and $339,114.36, respectively. Thus, the incremental cost-effectiveness ratio (ICER) was $64,398.83 and $102,675.74 per QALY in the ceritinib and alectinib groups, respectively. Alectinib was estimated to be more effective (4.68 QALY) and more costly ($432,063.06) with an ICER of $128,019.42 per QALY compared with ceritinib (2.69 QALY and $177,676.90). Results were robust to deterministic and probabilistic sensitivity analyses.\nCONCLUSION: As a first-line treatment regimen, ceritinib and alectinib can extend the survival time of patients compared with crizotinib, but the medical cost also increases accordingly. According to the World Health Organization's three-percent GDP measurement, first-line treatment with Crizotinib is the most cost-effective.","container-title":"Cancer Management and Research","DOI":"10.2147/CMAR.S223441","ISSN":"1179-1322","journalAbbreviation":"Cancer Manag Res","language":"en","note":"PMID: 31749634\nPMCID: PMC6818540","page":"9195-9202","source":"PubMed","title":"Cost-Effectiveness Analysis Of Ceritinib And Alectinib Versus Crizotinib In The Treatment Of Anaplastic Lymphoma Kinase-Positive Advanced Non-Small Cell Lung Cancer","volume":"11","author":[{"family":"Liu","given":"Maobai"},{"family":"Zhang","given":"Longfeng"},{"family":"Huang","given":"Qishu"},{"family":"Li","given":"Na"},{"family":"Zheng","given":"Bin"},{"family":"Cai","given":"Hongfu"}],"issued":{"date-parts":[["2019"]]}}}],"schema":"https://github.com/citation-style-language/schema/raw/master/csl-citation.json"} </w:instrText>
            </w:r>
            <w:r>
              <w:rPr>
                <w:rFonts w:eastAsiaTheme="minorEastAsia"/>
                <w:b w:val="0"/>
                <w:bCs w:val="0"/>
                <w:sz w:val="18"/>
                <w:szCs w:val="18"/>
              </w:rPr>
              <w:fldChar w:fldCharType="separate"/>
            </w:r>
            <w:r>
              <w:rPr>
                <w:b w:val="0"/>
                <w:bCs w:val="0"/>
                <w:sz w:val="18"/>
              </w:rPr>
              <w:t>[36]</w:t>
            </w:r>
            <w:r>
              <w:rPr>
                <w:rFonts w:eastAsiaTheme="minorEastAsia"/>
                <w:b w:val="0"/>
                <w:bCs w:val="0"/>
                <w:sz w:val="18"/>
                <w:szCs w:val="18"/>
              </w:rPr>
              <w:fldChar w:fldCharType="end"/>
            </w:r>
          </w:p>
        </w:tc>
      </w:tr>
      <w:tr w:rsidR="006D1C3F" w14:paraId="5FDDCD4A" w14:textId="77777777">
        <w:trPr>
          <w:trHeight w:val="289"/>
          <w:jc w:val="center"/>
        </w:trPr>
        <w:tc>
          <w:tcPr>
            <w:tcW w:w="2405" w:type="dxa"/>
            <w:vAlign w:val="center"/>
          </w:tcPr>
          <w:p w14:paraId="10F146B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Pneumonia</w:t>
            </w:r>
          </w:p>
        </w:tc>
        <w:tc>
          <w:tcPr>
            <w:tcW w:w="1743" w:type="dxa"/>
            <w:vAlign w:val="center"/>
          </w:tcPr>
          <w:p w14:paraId="1331C65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1229.23</w:t>
            </w:r>
          </w:p>
        </w:tc>
        <w:tc>
          <w:tcPr>
            <w:tcW w:w="2074" w:type="dxa"/>
            <w:vAlign w:val="center"/>
          </w:tcPr>
          <w:p w14:paraId="77931A3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983.38~1475.08</w:t>
            </w:r>
          </w:p>
        </w:tc>
        <w:tc>
          <w:tcPr>
            <w:tcW w:w="2074" w:type="dxa"/>
            <w:vAlign w:val="center"/>
          </w:tcPr>
          <w:p w14:paraId="6160F682"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{"citationID":"6MkQIqZN","properties":{"formattedCitation":"(36)","plainCitation":"(36)","noteIndex":0},"citationItems":[{"id":434,"uris":["http://zotero.org/users/local/eBJtW3GH/items/AGZAASJS"],"itemData":{"id":434,"type":"article-journal","abstract":"BACKGROUND: This study aimed to analyze the cost-effectiveness of crizotinib versus ceritinib or alectinib as first-line-targeted drug therapy for anaplastic lymphoma kinase-positive advanced non-small cell lung cancer in China.\nMETHODS: The Markov model was used to simulate the medical cost and quality-adjusted life years (QALYs) of patients using crizotinib, ceritinib, or alectinib over a 10-year period by establishing three health states: progression-free, post-progression, and death. Randomized controlled clinical data were collected from the open-label, randomized phase 3 trials ALEX and ASCEND-4. Cost and utility values were derived from local charges and literature. Sensitivity analyses included one-way and probabilistic sensitivity analyses.\nRESULTS: Compared with patients who used crizotinib as first-line treatment, patients in the ceritinib and alectinib groups yielded an additional 1.32 and 3.30 QALYs with an incremental cost of $84,728.20 and $339,114.36, respectively. Thus, the incremental cost-effectiveness ratio (ICER) was $64,398.83 and $102,675.74 per QALY in the ceritinib and alectinib groups, respectively. Alectinib was estimated to be more effective (4.68 QALY) and more costly ($432,063.06) with an ICER of $128,019.42 per QALY compared with ceritinib (2.69 QALY and $177,676.90). Results were robust to deterministic and probabilistic sensitivity analyses.\nCONCLUSION: As a first-line treatment regimen, ceritinib and alectinib can extend the survival time of patients compared with crizotinib, but the medical cost also increases accordingly. According to the World Health Organization's three-percent GDP measurement, first-line treatment with Crizotinib is the most cost-effective.","container-title":"Cancer Management and Research","DOI":"10.2147/CMAR.S223441","ISSN":"1179-1322","journalAbbreviation":"Cancer Manag Res","language":"en","note":"PMID: 31749634\nPMCID: PMC6818540","page":"9195-9202","source":"PubMed","title":"Cost-Effectiveness Analysis Of Ceritinib And Alectinib Versus Crizotinib In The Treatment Of Anaplastic Lymphoma Kinase-Positive Advanced Non-Small Cell Lung Cancer","volume":"11","author":[{"family":"Liu","given":"Maobai"},{"family":"Zhang","given":"Longfeng"},{"family":"Huang","given":"Qishu"},{"family":"Li","given":"Na"},{"family":"Zheng","given":"Bin"},{"family":"Cai","given":"Hongfu"}],"issued":{"date-parts":[["2019"]]}}}],"schema":"https://github.com/citation-style-language/schema/raw/master/csl-citation.json"} </w:instrText>
            </w:r>
            <w:r>
              <w:rPr>
                <w:rFonts w:eastAsiaTheme="minorEastAsia"/>
                <w:b w:val="0"/>
                <w:bCs w:val="0"/>
                <w:sz w:val="18"/>
                <w:szCs w:val="18"/>
              </w:rPr>
              <w:fldChar w:fldCharType="separate"/>
            </w:r>
            <w:r>
              <w:rPr>
                <w:b w:val="0"/>
                <w:bCs w:val="0"/>
                <w:sz w:val="18"/>
              </w:rPr>
              <w:t>[36]</w:t>
            </w:r>
            <w:r>
              <w:rPr>
                <w:rFonts w:eastAsiaTheme="minorEastAsia"/>
                <w:b w:val="0"/>
                <w:bCs w:val="0"/>
                <w:sz w:val="18"/>
                <w:szCs w:val="18"/>
              </w:rPr>
              <w:fldChar w:fldCharType="end"/>
            </w:r>
          </w:p>
        </w:tc>
      </w:tr>
      <w:tr w:rsidR="006D1C3F" w14:paraId="6F7E70BC" w14:textId="77777777">
        <w:trPr>
          <w:trHeight w:val="289"/>
          <w:jc w:val="center"/>
        </w:trPr>
        <w:tc>
          <w:tcPr>
            <w:tcW w:w="2405" w:type="dxa"/>
            <w:vAlign w:val="center"/>
          </w:tcPr>
          <w:p w14:paraId="5B19779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Alanine aminotransferase increased</w:t>
            </w:r>
          </w:p>
        </w:tc>
        <w:tc>
          <w:tcPr>
            <w:tcW w:w="1743" w:type="dxa"/>
            <w:vAlign w:val="center"/>
          </w:tcPr>
          <w:p w14:paraId="7B0D77F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292.59</w:t>
            </w:r>
          </w:p>
        </w:tc>
        <w:tc>
          <w:tcPr>
            <w:tcW w:w="2074" w:type="dxa"/>
            <w:vAlign w:val="center"/>
          </w:tcPr>
          <w:p w14:paraId="4EBFA9E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234.07~351.11</w:t>
            </w:r>
          </w:p>
        </w:tc>
        <w:tc>
          <w:tcPr>
            <w:tcW w:w="2074" w:type="dxa"/>
            <w:vAlign w:val="center"/>
          </w:tcPr>
          <w:p w14:paraId="29E5C9E0"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{"citationID":"8gMzGPUY","properties":{"formattedCitation":"(38)","plainCitation":"(38)","noteIndex":0},"citationItems":[{"id":440,"uris":["http://zotero.org/users/local/eBJtW3GH/items/8Q5P3IZQ"],"itemData":{"id":440,"type":"article-journal","abstract":"OBJECTIVE: Six anaplastic lymphoma kinase-tyrosine kinase inhibitors (ALK-TKIs), including one domestic (ensartinib) and five imported ALK-TKIs (crizotinib, ceritinib, alectinib, brigatinib, and lorlatinib), have been recommended as first-line treatments for advanced ALK-positive NSCLC in China. This study sought to examine the cost-effectiveness of these six novel therapies in Chinese patients.\nMATERIAL AND METHODS: We constructed a Markov model to compare the cost-effectiveness of the six ALK-TKIs as a first-line treatment for patients with advanced ALK-positive NSCLC from the perspective of the Chinese healthcare system. Transition probabilities were estimated by synthesizing data from the PROFILE 1,029 trial and a network meta-analysis. Health state utilities and costs were sourced from published literature, publicly available national databases, and local general hospitals. The robustness of model was assessed via deterministic sensitivity analyses and probabilistic sensitivity analyses.\nRESULTS: Compared with crizotinib, ensartinib achieved additional 0.12 quality-adjusted life-year (QALY) with marginal costs of $3,249, resulting in an incremental cost-effectiveness ratio (ICER) of $27,553/ QALY. When compared with ceritinib and brigatinib, ensartinib achieved additional 0.06 and 0.03 QALYs with substantially reduced costs. When compared with lorlatinib and alectinib, ensartinib was associated with a lower QALY and decreased total costs; the ICERs for lorlatinib and alectinib were $934,101/ QALY and $164,888/ QALY, respectively.\nCONCLUSION: For Chinese patients with advanced ALK-positive NSCLC, ensartinib was a cost-effective option compared with crizotinib, and was a dominant alternative to ceritinib and brigatinib. Although lorlatinib and alectinib were associated with prolonged survival compared with ensartinib, they were less cost-effective than ensartinib due to the overwhelming total costs.","container-title":"Frontiers in Public Health","DOI":"10.3389/fpubh.2022.985834","ISSN":"2296-2565","journalAbbreviation":"Front Public Health","language":"en","note":"PMID: 36211665\nPMCID: PMC9533130","page":"985834","source":"PubMed","title":"Cost-effectiveness of ensartinib, crizotinib, ceritinib, alectinib, brigatinib and lorlatinib in patients with anaplastic lymphoma kinase-positive non-small cell lung cancer in China","volume":"10","author":[{"family":"Luo","given":"Xia"},{"family":"Zhou","given":"Zhen"},{"family":"Zeng","given":"Xiaohui"},{"family":"Peng","given":"Liubao"},{"family":"Liu","given":"Qiao"}],"issued":{"date-parts":[["2022"]]}}}],"schema":"https://github.com/citation-style-language/schema/raw/master/csl-citation.json"} </w:instrText>
            </w:r>
            <w:r>
              <w:rPr>
                <w:rFonts w:eastAsiaTheme="minorEastAsia"/>
                <w:b w:val="0"/>
                <w:bCs w:val="0"/>
                <w:sz w:val="18"/>
                <w:szCs w:val="18"/>
              </w:rPr>
              <w:fldChar w:fldCharType="separate"/>
            </w:r>
            <w:r>
              <w:rPr>
                <w:b w:val="0"/>
                <w:bCs w:val="0"/>
                <w:sz w:val="18"/>
              </w:rPr>
              <w:t>[38]</w:t>
            </w:r>
            <w:r>
              <w:rPr>
                <w:rFonts w:eastAsiaTheme="minorEastAsia"/>
                <w:b w:val="0"/>
                <w:bCs w:val="0"/>
                <w:sz w:val="18"/>
                <w:szCs w:val="18"/>
              </w:rPr>
              <w:fldChar w:fldCharType="end"/>
            </w:r>
          </w:p>
        </w:tc>
      </w:tr>
      <w:tr w:rsidR="006D1C3F" w14:paraId="2A4C608C" w14:textId="77777777">
        <w:trPr>
          <w:trHeight w:val="289"/>
          <w:jc w:val="center"/>
        </w:trPr>
        <w:tc>
          <w:tcPr>
            <w:tcW w:w="2405" w:type="dxa"/>
            <w:vAlign w:val="center"/>
          </w:tcPr>
          <w:p w14:paraId="60B7DEB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Blood alkaline phosphatase increased</w:t>
            </w:r>
          </w:p>
        </w:tc>
        <w:tc>
          <w:tcPr>
            <w:tcW w:w="1743" w:type="dxa"/>
            <w:vAlign w:val="center"/>
          </w:tcPr>
          <w:p w14:paraId="08E9285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362.17</w:t>
            </w:r>
          </w:p>
        </w:tc>
        <w:tc>
          <w:tcPr>
            <w:tcW w:w="2074" w:type="dxa"/>
            <w:vAlign w:val="center"/>
          </w:tcPr>
          <w:p w14:paraId="73BE75F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271.63–452.71</w:t>
            </w:r>
          </w:p>
        </w:tc>
        <w:tc>
          <w:tcPr>
            <w:tcW w:w="2074" w:type="dxa"/>
            <w:vAlign w:val="center"/>
          </w:tcPr>
          <w:p w14:paraId="6CC05A12"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{"citationID":"m1mLr8KL","properties":{"formattedCitation":"(36)","plainCitation":"(36)","noteIndex":0},"citationItems":[{"id":434,"uris":["http://zotero.org/users/local/eBJtW3GH/items/AGZAASJS"],"itemData":{"id":434,"type":"article-journal","abstract":"BACKGROUND: This study aimed to analyze the cost-effectiveness of crizotinib versus ceritinib or alectinib as first-line-targeted drug therapy for anaplastic lymphoma kinase-positive advanced non-small cell lung cancer in China.\nMETHODS: The Markov model was used to simulate the medical cost and quality-adjusted life years (QALYs) of patients using crizotinib, ceritinib, or alectinib over a 10-year period by establishing three health states: progression-free, post-progression, and death. Randomized controlled clinical data were collected from the open-label, randomized phase 3 trials ALEX and ASCEND-4. Cost and utility values were derived from local charges and literature. Sensitivity analyses included one-way and probabilistic sensitivity analyses.\nRESULTS: Compared with patients who used crizotinib as first-line treatment, patients in the ceritinib and alectinib groups yielded an additional 1.32 and 3.30 QALYs with an incremental cost of $84,728.20 and $339,114.36, respectively. Thus, the incremental cost-effectiveness ratio (ICER) was $64,398.83 and $102,675.74 per QALY in the ceritinib and alectinib groups, respectively. Alectinib was estimated to be more effective (4.68 QALY) and more costly ($432,063.06) with an ICER of $128,019.42 per QALY compared with ceritinib (2.69 QALY and $177,676.90). Results were robust to deterministic and probabilistic sensitivity analyses.\nCONCLUSION: As a first-line treatment regimen, ceritinib and alectinib can extend the survival time of patients compared with crizotinib, but the medical cost also increases accordingly. According to the World Health Organization's three-percent GDP measurement, first-line treatment with Crizotinib is the most cost-effective.","container-title":"Cancer Management and Research","DOI":"10.2147/CMAR.S223441","ISSN":"1179-1322","journalAbbreviation":"Cancer Manag Res","language":"en","note":"PMID: 31749634\nPMCID: PMC6818540","page":"9195-9202","source":"PubMed","title":"Cost-Effectiveness Analysis Of Ceritinib And Alectinib Versus Crizotinib In The Treatment Of Anaplastic Lymphoma Kinase-Positive Advanced Non-Small Cell Lung Cancer","volume":"11","author":[{"family":"Liu","given":"Maobai"},{"family":"Zhang","given":"Longfeng"},{"family":"Huang","given":"Qishu"},{"family":"Li","given":"Na"},{"family":"Zheng","given":"Bin"},{"family":"Cai","given":"Hongfu"}],"issued":{"date-parts":[["2019"]]}}}],"schema":"https://github.com/citation-style-language/schema/raw/master/csl-citation.json"} </w:instrText>
            </w:r>
            <w:r>
              <w:rPr>
                <w:rFonts w:eastAsiaTheme="minorEastAsia"/>
                <w:b w:val="0"/>
                <w:bCs w:val="0"/>
                <w:sz w:val="18"/>
                <w:szCs w:val="18"/>
              </w:rPr>
              <w:fldChar w:fldCharType="separate"/>
            </w:r>
            <w:r>
              <w:rPr>
                <w:b w:val="0"/>
                <w:bCs w:val="0"/>
                <w:sz w:val="18"/>
              </w:rPr>
              <w:t>[36]</w:t>
            </w:r>
            <w:r>
              <w:rPr>
                <w:rFonts w:eastAsiaTheme="minorEastAsia"/>
                <w:b w:val="0"/>
                <w:bCs w:val="0"/>
                <w:sz w:val="18"/>
                <w:szCs w:val="18"/>
              </w:rPr>
              <w:fldChar w:fldCharType="end"/>
            </w:r>
          </w:p>
        </w:tc>
      </w:tr>
      <w:tr w:rsidR="006D1C3F" w14:paraId="0776F584" w14:textId="77777777">
        <w:trPr>
          <w:trHeight w:val="289"/>
          <w:jc w:val="center"/>
        </w:trPr>
        <w:tc>
          <w:tcPr>
            <w:tcW w:w="2405" w:type="dxa"/>
            <w:vAlign w:val="center"/>
          </w:tcPr>
          <w:p w14:paraId="4F20A603"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Aspartate aminotransferase increased</w:t>
            </w:r>
          </w:p>
        </w:tc>
        <w:tc>
          <w:tcPr>
            <w:tcW w:w="1743" w:type="dxa"/>
            <w:vAlign w:val="center"/>
          </w:tcPr>
          <w:p w14:paraId="328DA20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292.59</w:t>
            </w:r>
          </w:p>
        </w:tc>
        <w:tc>
          <w:tcPr>
            <w:tcW w:w="2074" w:type="dxa"/>
            <w:vAlign w:val="center"/>
          </w:tcPr>
          <w:p w14:paraId="7E8E81D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234.07~351.11</w:t>
            </w:r>
          </w:p>
        </w:tc>
        <w:tc>
          <w:tcPr>
            <w:tcW w:w="2074" w:type="dxa"/>
            <w:vAlign w:val="center"/>
          </w:tcPr>
          <w:p w14:paraId="3C18335B"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{"citationID":"cYhXWB3Z","properties":{"formattedCitation":"(38)","plainCitation":"(38)","noteIndex":0},"citationItems":[{"id":440,"uris":["http://zotero.org/users/local/eBJtW3GH/items/8Q5P3IZQ"],"itemData":{"id":440,"type":"article-journal","abstract":"OBJECTIVE: Six anaplastic lymphoma kinase-tyrosine kinase inhibitors (ALK-TKIs), including one domestic (ensartinib) and five imported ALK-TKIs (crizotinib, ceritinib, alectinib, brigatinib, and lorlatinib), have been recommended as first-line treatments for advanced ALK-positive NSCLC in China. This study sought to examine the cost-effectiveness of these six novel therapies in Chinese patients.\nMATERIAL AND METHODS: We constructed a Markov model to compare the cost-effectiveness of the six ALK-TKIs as a first-line treatment for patients with advanced ALK-positive NSCLC from the perspective of the Chinese healthcare system. Transition probabilities were estimated by synthesizing data from the PROFILE 1,029 trial and a network meta-analysis. Health state utilities and costs were sourced from published literature, publicly available national databases, and local general hospitals. The robustness of model was assessed via deterministic sensitivity analyses and probabilistic sensitivity analyses.\nRESULTS: Compared with crizotinib, ensartinib achieved additional 0.12 quality-adjusted life-year (QALY) with marginal costs of $3,249, resulting in an incremental cost-effectiveness ratio (ICER) of $27,553/ QALY. When compared with ceritinib and brigatinib, ensartinib achieved additional 0.06 and 0.03 QALYs with substantially reduced costs. When compared with lorlatinib and alectinib, ensartinib was associated with a lower QALY and decreased total costs; the ICERs for lorlatinib and alectinib were $934,101/ QALY and $164,888/ QALY, respectively.\nCONCLUSION: For Chinese patients with advanced ALK-positive NSCLC, ensartinib was a cost-effective option compared with crizotinib, and was a dominant alternative to ceritinib and brigatinib. Although lorlatinib and alectinib were associated with prolonged survival compared with ensartinib, they were less cost-effective than ensartinib due to the overwhelming total costs.","container-title":"Frontiers in Public Health","DOI":"10.3389/fpubh.2022.985834","ISSN":"2296-2565","journalAbbreviation":"Front Public Health","language":"en","note":"PMID: 36211665\nPMCID: PMC9533130","page":"985834","source":"PubMed","title":"Cost-effectiveness of ensartinib, crizotinib, ceritinib, alectinib, brigatinib and lorlatinib in patients with anaplastic lymphoma kinase-positive non-small cell lung cancer in China","volume":"10","author":[{"family":"Luo","given":"Xia"},{"family":"Zhou","given":"Zhen"},{"family":"Zeng","given":"Xiaohui"},{"family":"Peng","given":"Liubao"},{"family":"Liu","given":"Qiao"}],"issued":{"date-parts":[["2022"]]}}}],"schema":"https://github.com/citation-style-language/schema/raw/master/csl-citation.json"} </w:instrText>
            </w:r>
            <w:r>
              <w:rPr>
                <w:rFonts w:eastAsiaTheme="minorEastAsia"/>
                <w:b w:val="0"/>
                <w:bCs w:val="0"/>
                <w:sz w:val="18"/>
                <w:szCs w:val="18"/>
              </w:rPr>
              <w:fldChar w:fldCharType="separate"/>
            </w:r>
            <w:r>
              <w:rPr>
                <w:b w:val="0"/>
                <w:bCs w:val="0"/>
                <w:sz w:val="18"/>
              </w:rPr>
              <w:t>[38]</w:t>
            </w:r>
            <w:r>
              <w:rPr>
                <w:rFonts w:eastAsiaTheme="minorEastAsia"/>
                <w:b w:val="0"/>
                <w:bCs w:val="0"/>
                <w:sz w:val="18"/>
                <w:szCs w:val="18"/>
              </w:rPr>
              <w:fldChar w:fldCharType="end"/>
            </w:r>
          </w:p>
        </w:tc>
      </w:tr>
      <w:tr w:rsidR="006D1C3F" w14:paraId="5B4FB4C9" w14:textId="77777777">
        <w:trPr>
          <w:trHeight w:val="289"/>
          <w:jc w:val="center"/>
        </w:trPr>
        <w:tc>
          <w:tcPr>
            <w:tcW w:w="2405" w:type="dxa"/>
            <w:vAlign w:val="center"/>
          </w:tcPr>
          <w:p w14:paraId="79B5790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Gamma-glutamyl transferase increased</w:t>
            </w:r>
          </w:p>
        </w:tc>
        <w:tc>
          <w:tcPr>
            <w:tcW w:w="1743" w:type="dxa"/>
            <w:vAlign w:val="center"/>
          </w:tcPr>
          <w:p w14:paraId="41F1FF7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362.17</w:t>
            </w:r>
          </w:p>
        </w:tc>
        <w:tc>
          <w:tcPr>
            <w:tcW w:w="2074" w:type="dxa"/>
            <w:vAlign w:val="center"/>
          </w:tcPr>
          <w:p w14:paraId="7BE1D83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271.63–452.71</w:t>
            </w:r>
          </w:p>
        </w:tc>
        <w:tc>
          <w:tcPr>
            <w:tcW w:w="2074" w:type="dxa"/>
            <w:vAlign w:val="center"/>
          </w:tcPr>
          <w:p w14:paraId="2231607F"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{"citationID":"zpIt5aW0","properties":{"formattedCitation":"(36)","plainCitation":"(36)","noteIndex":0},"citationItems":[{"id":434,"uris":["http://zotero.org/users/local/eBJtW3GH/items/AGZAASJS"],"itemData":{"id":434,"type":"article-journal","abstract":"BACKGROUND: This study aimed to analyze the cost-effectiveness of crizotinib versus ceritinib or alectinib as first-line-targeted drug therapy for anaplastic lymphoma kinase-positive advanced non-small cell lung cancer in China.\nMETHODS: The Markov model was used to simulate the medical cost and quality-adjusted life years (QALYs) of patients using crizotinib, ceritinib, or alectinib over a 10-year period by establishing three health states: progression-free, post-progression, and death. Randomized controlled clinical data were collected from the open-label, randomized phase 3 trials ALEX and ASCEND-4. Cost and utility values were derived from local charges and literature. Sensitivity analyses included one-way and probabilistic sensitivity analyses.\nRESULTS: Compared with patients who used crizotinib as first-line treatment, patients in the ceritinib and alectinib groups yielded an additional 1.32 and 3.30 QALYs with an incremental cost of $84,728.20 and $339,114.36, respectively. Thus, the incremental cost-effectiveness ratio (ICER) was $64,398.83 and $102,675.74 per QALY in the ceritinib and alectinib groups, respectively. Alectinib was estimated to be more effective (4.68 QALY) and more costly ($432,063.06) with an ICER of $128,019.42 per QALY compared with ceritinib (2.69 QALY and $177,676.90). Results were robust to deterministic and probabilistic sensitivity analyses.\nCONCLUSION: As a first-line treatment regimen, ceritinib and alectinib can extend the survival time of patients compared with crizotinib, but the medical cost also increases accordingly. According to the World Health Organization's three-percent GDP measurement, first-line treatment with Crizotinib is the most cost-effective.","container-title":"Cancer Management and Research","DOI":"10.2147/CMAR.S223441","ISSN":"1179-1322","journalAbbreviation":"Cancer Manag Res","language":"en","note":"PMID: 31749634\nPMCID: PMC6818540","page":"9195-9202","source":"PubMed","title":"Cost-Effectiveness Analysis Of Ceritinib And Alectinib Versus Crizotinib In The Treatment Of Anaplastic Lymphoma Kinase-Positive Advanced Non-Small Cell Lung Cancer","volume":"11","author":[{"family":"Liu","given":"Maobai"},{"family":"Zhang","given":"Longfeng"},{"family":"Huang","given":"Qishu"},{"family":"Li","given":"Na"},{"family":"Zheng","given":"Bin"},{"family":"Cai","given":"Hongfu"}],"issued":{"date-parts":[["2019"]]}}}],"schema":"https://github.com/citation-style-language/schema/raw/master/csl-citation.json"} </w:instrText>
            </w:r>
            <w:r>
              <w:rPr>
                <w:rFonts w:eastAsiaTheme="minorEastAsia"/>
                <w:b w:val="0"/>
                <w:bCs w:val="0"/>
                <w:sz w:val="18"/>
                <w:szCs w:val="18"/>
              </w:rPr>
              <w:fldChar w:fldCharType="separate"/>
            </w:r>
            <w:r>
              <w:rPr>
                <w:b w:val="0"/>
                <w:bCs w:val="0"/>
                <w:sz w:val="18"/>
              </w:rPr>
              <w:t>[36]</w:t>
            </w:r>
            <w:r>
              <w:rPr>
                <w:rFonts w:eastAsiaTheme="minorEastAsia"/>
                <w:b w:val="0"/>
                <w:bCs w:val="0"/>
                <w:sz w:val="18"/>
                <w:szCs w:val="18"/>
              </w:rPr>
              <w:fldChar w:fldCharType="end"/>
            </w:r>
          </w:p>
        </w:tc>
      </w:tr>
      <w:tr w:rsidR="006D1C3F" w14:paraId="044421EC" w14:textId="77777777">
        <w:trPr>
          <w:trHeight w:val="289"/>
          <w:jc w:val="center"/>
        </w:trPr>
        <w:tc>
          <w:tcPr>
            <w:tcW w:w="2405" w:type="dxa"/>
            <w:vAlign w:val="center"/>
          </w:tcPr>
          <w:p w14:paraId="1BD77C4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Fatigue</w:t>
            </w:r>
          </w:p>
        </w:tc>
        <w:tc>
          <w:tcPr>
            <w:tcW w:w="1743" w:type="dxa"/>
            <w:vAlign w:val="center"/>
          </w:tcPr>
          <w:p w14:paraId="34C69F6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99</w:t>
            </w:r>
          </w:p>
        </w:tc>
        <w:tc>
          <w:tcPr>
            <w:tcW w:w="2074" w:type="dxa"/>
            <w:vAlign w:val="center"/>
          </w:tcPr>
          <w:p w14:paraId="42DE31C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79.2~118.8</w:t>
            </w:r>
          </w:p>
        </w:tc>
        <w:tc>
          <w:tcPr>
            <w:tcW w:w="2074" w:type="dxa"/>
            <w:vAlign w:val="center"/>
          </w:tcPr>
          <w:p w14:paraId="612930DB"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{"citationID":"opMGQtDK","properties":{"formattedCitation":"(29)","plainCitation":"(29)","noteIndex":0},"citationItems":[{"id":413,"uris":["http://zotero.org/users/local/eBJtW3GH/items/ZBHVACMW"],"itemData":{"id":413,"type":"article-journal","abstract":"BACKGROUND: Lung cancer is imposing significant pressure on the national health insurance system worldwide, especially under the COVID-19 pandemic. However, the cost-effectiveness of all available first-line treatments for patients with advanced epidermal growth factor receptor (EGFR) mutated non-small cell lung cancer (NSCLC) is still uncertain. The aim of this study was to evaluate the cost-effectiveness of 12 first-line treatments for patients with advanced EGFR mutated NSCLC from the perspective of the United Kingdom (UK) National Health Service and Chinese health care system.\nMETHODS: We used a Markov model to estimate the cost-effectiveness of 12 treatments, including 6 EGFR tyrosine kinase inhibitors, 4 combination treatments and 2 chemotherapies. The key clinical efficacy and safety data were from a network meta-analysis. The cost and health preference were mainly collected from the literature. The most cost-effective treatment was inferred through a sequential analysis. Uncertainty was tested with one-way sensitivity analyses, scenario analyses, and probabilistic sensitivity analyses. Quality-adjusted life years (QALYs), direct medical costs, and incremental cost-effectiveness ratio (ICER) were estimated, at willingness-to-pay thresholds of £20000 to £50000 and £8000 to £24000 per QALY in the UK and China respectively.\nRESULTS: For clinical effectiveness, osimertinib and gefitinib plus pemetrexed based chemotherapy (PbCT) yielded the highest QALYs, while two chemotherapy treatments gained the lowest QALYs. For costs, gefitinib treatment was the cheapest option in both countries (£24529 in the UK and £12961 in China). For cost-effectiveness, 4 treatments including gefitinib, gefitinib plus pemetrexed, gefitinib plus PbCT, and osimertinib formed the cost-effectiveness frontier in both countries. Gefitinib alone (70.7% and 80.0% under the threshold of £20000 and £8000 per QALY in the UK and China, respectively) and gefitinib plus PbCT (62.3% and 71.2% under the threshold of £50000 and £24000 per QALY in the UK and China, respectively) were most likely to be cost-effective compared with other first-line treatments.\nCONCLUSIONS: Gefitinib and gefitinib plus PbCT were likely to be cost-effective for patients with advanced EGFR mutated NSCLC in both countries.","container-title":"Frontiers in Oncology","DOI":"10.3389/fonc.2022.819674","ISSN":"2234-943X","journalAbbreviation":"Front Oncol","language":"en","note":"PMID: 35785198\nPMCID: PMC9241581","page":"819674","source":"PubMed","title":"Cost-Effectiveness of 12 First-Line Treatments for Patients With Advanced EGFR Mutated NSCLC in the United Kingdom and China","volume":"12","author":[{"family":"Guan","given":"Haijing"},{"family":"Wang","given":"Chunping"},{"family":"Chen","given":"Chen"},{"family":"Han","given":"Sheng"},{"family":"Zhao","given":"Zhigang"}],"issued":{"date-parts":[["2022"]]}}}],"schema":"https://github.com/citation-style-language/schema/raw/master/csl-citation.json"} </w:instrText>
            </w:r>
            <w:r>
              <w:rPr>
                <w:rFonts w:eastAsiaTheme="minorEastAsia"/>
                <w:b w:val="0"/>
                <w:bCs w:val="0"/>
                <w:sz w:val="18"/>
                <w:szCs w:val="18"/>
              </w:rPr>
              <w:fldChar w:fldCharType="separate"/>
            </w:r>
            <w:r>
              <w:rPr>
                <w:b w:val="0"/>
                <w:bCs w:val="0"/>
                <w:sz w:val="18"/>
              </w:rPr>
              <w:t>[29]</w:t>
            </w:r>
            <w:r>
              <w:rPr>
                <w:rFonts w:eastAsiaTheme="minorEastAsia"/>
                <w:b w:val="0"/>
                <w:bCs w:val="0"/>
                <w:sz w:val="18"/>
                <w:szCs w:val="18"/>
              </w:rPr>
              <w:fldChar w:fldCharType="end"/>
            </w:r>
          </w:p>
        </w:tc>
      </w:tr>
      <w:tr w:rsidR="006D1C3F" w14:paraId="749CF74B" w14:textId="77777777">
        <w:trPr>
          <w:trHeight w:val="289"/>
          <w:jc w:val="center"/>
        </w:trPr>
        <w:tc>
          <w:tcPr>
            <w:tcW w:w="2405" w:type="dxa"/>
            <w:vAlign w:val="center"/>
          </w:tcPr>
          <w:p w14:paraId="44D5FE7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Vomiting</w:t>
            </w:r>
          </w:p>
        </w:tc>
        <w:tc>
          <w:tcPr>
            <w:tcW w:w="1743" w:type="dxa"/>
            <w:vAlign w:val="center"/>
          </w:tcPr>
          <w:p w14:paraId="60905A7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54</w:t>
            </w:r>
          </w:p>
        </w:tc>
        <w:tc>
          <w:tcPr>
            <w:tcW w:w="2074" w:type="dxa"/>
            <w:vAlign w:val="center"/>
          </w:tcPr>
          <w:p w14:paraId="1CEAB63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43.2~64.8</w:t>
            </w:r>
          </w:p>
        </w:tc>
        <w:tc>
          <w:tcPr>
            <w:tcW w:w="2074" w:type="dxa"/>
            <w:vAlign w:val="center"/>
          </w:tcPr>
          <w:p w14:paraId="735DE812"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{"citationID":"z3mSrdpf","properties":{"formattedCitation":"(29)","plainCitation":"(29)","noteIndex":0},"citationItems":[{"id":413,"uris":["http://zotero.org/users/local/eBJtW3GH/items/ZBHVACMW"],"itemData":{"id":413,"type":"article-journal","abstract":"BACKGROUND: Lung cancer is imposing significant pressure on the national health insurance system worldwide, especially under the COVID-19 pandemic. However, the cost-effectiveness of all available first-line treatments for patients with advanced epidermal growth factor receptor (EGFR) mutated non-small cell lung cancer (NSCLC) is still uncertain. The aim of this study was to evaluate the cost-effectiveness of 12 first-line treatments for patients with advanced EGFR mutated NSCLC from the perspective of the United Kingdom (UK) National Health Service and Chinese health care system.\nMETHODS: We used a Markov model to estimate the cost-effectiveness of 12 treatments, including 6 EGFR tyrosine kinase inhibitors, 4 combination treatments and 2 chemotherapies. The key clinical efficacy and safety data were from a network meta-analysis. The cost and health preference were mainly collected from the literature. The most cost-effective treatment was inferred through a sequential analysis. Uncertainty was tested with one-way sensitivity analyses, scenario analyses, and probabilistic sensitivity analyses. Quality-adjusted life years (QALYs), direct medical costs, and incremental cost-effectiveness ratio (ICER) were estimated, at willingness-to-pay thresholds of £20000 to £50000 and £8000 to £24000 per QALY in the UK and China respectively.\nRESULTS: For clinical effectiveness, osimertinib and gefitinib plus pemetrexed based chemotherapy (PbCT) yielded the highest QALYs, while two chemotherapy treatments gained the lowest QALYs. For costs, gefitinib treatment was the cheapest option in both countries (£24529 in the UK and £12961 in China). For cost-effectiveness, 4 treatments including gefitinib, gefitinib plus pemetrexed, gefitinib plus PbCT, and osimertinib formed the cost-effectiveness frontier in both countries. Gefitinib alone (70.7% and 80.0% under the threshold of £20000 and £8000 per QALY in the UK and China, respectively) and gefitinib plus PbCT (62.3% and 71.2% under the threshold of £50000 and £24000 per QALY in the UK and China, respectively) were most likely to be cost-effective compared with other first-line treatments.\nCONCLUSIONS: Gefitinib and gefitinib plus PbCT were likely to be cost-effective for patients with advanced EGFR mutated NSCLC in both countries.","container-title":"Frontiers in Oncology","DOI":"10.3389/fonc.2022.819674","ISSN":"2234-943X","journalAbbreviation":"Front Oncol","language":"en","note":"PMID: 35785198\nPMCID: PMC9241581","page":"819674","source":"PubMed","title":"Cost-Effectiveness of 12 First-Line Treatments for Patients With Advanced EGFR Mutated NSCLC in the United Kingdom and China","volume":"12","author":[{"family":"Guan","given":"Haijing"},{"family":"Wang","given":"Chunping"},{"family":"Chen","given":"Chen"},{"family":"Han","given":"Sheng"},{"family":"Zhao","given":"Zhigang"}],"issued":{"date-parts":[["2022"]]}}}],"schema":"https://github.com/citation-style-language/schema/raw/master/csl-citation.json"} </w:instrText>
            </w:r>
            <w:r>
              <w:rPr>
                <w:rFonts w:eastAsiaTheme="minorEastAsia"/>
                <w:b w:val="0"/>
                <w:bCs w:val="0"/>
                <w:sz w:val="18"/>
                <w:szCs w:val="18"/>
              </w:rPr>
              <w:fldChar w:fldCharType="separate"/>
            </w:r>
            <w:r>
              <w:rPr>
                <w:b w:val="0"/>
                <w:bCs w:val="0"/>
                <w:sz w:val="18"/>
              </w:rPr>
              <w:t>[29]</w:t>
            </w:r>
            <w:r>
              <w:rPr>
                <w:rFonts w:eastAsiaTheme="minorEastAsia"/>
                <w:b w:val="0"/>
                <w:bCs w:val="0"/>
                <w:sz w:val="18"/>
                <w:szCs w:val="18"/>
              </w:rPr>
              <w:fldChar w:fldCharType="end"/>
            </w:r>
          </w:p>
        </w:tc>
      </w:tr>
      <w:tr w:rsidR="006D1C3F" w14:paraId="4D84C0C7" w14:textId="77777777">
        <w:trPr>
          <w:trHeight w:val="289"/>
          <w:jc w:val="center"/>
        </w:trPr>
        <w:tc>
          <w:tcPr>
            <w:tcW w:w="2405" w:type="dxa"/>
            <w:vAlign w:val="center"/>
          </w:tcPr>
          <w:p w14:paraId="44C7E2B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Dyspnea</w:t>
            </w:r>
          </w:p>
        </w:tc>
        <w:tc>
          <w:tcPr>
            <w:tcW w:w="1743" w:type="dxa"/>
            <w:vAlign w:val="center"/>
          </w:tcPr>
          <w:p w14:paraId="43518B0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8949.61</w:t>
            </w:r>
          </w:p>
        </w:tc>
        <w:tc>
          <w:tcPr>
            <w:tcW w:w="2074" w:type="dxa"/>
            <w:vAlign w:val="center"/>
          </w:tcPr>
          <w:p w14:paraId="2A4F71B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7159.69~10739.53</w:t>
            </w:r>
          </w:p>
        </w:tc>
        <w:tc>
          <w:tcPr>
            <w:tcW w:w="2074" w:type="dxa"/>
            <w:vAlign w:val="center"/>
          </w:tcPr>
          <w:p w14:paraId="44CB7CEF"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{"citationID":"SJqxTlEG","properties":{"formattedCitation":"(29)","plainCitation":"(29)","noteIndex":0},"citationItems":[{"id":413,"uris":["http://zotero.org/users/local/eBJtW3GH/items/ZBHVACMW"],"itemData":{"id":413,"type":"article-journal","abstract":"BACKGROUND: Lung cancer is imposing significant pressure on the national health insurance system worldwide, especially under the COVID-19 pandemic. However, the cost-effectiveness of all available first-line treatments for patients with advanced epidermal growth factor receptor (EGFR) mutated non-small cell lung cancer (NSCLC) is still uncertain. The aim of this study was to evaluate the cost-effectiveness of 12 first-line treatments for patients with advanced EGFR mutated NSCLC from the perspective of the United Kingdom (UK) National Health Service and Chinese health care system.\nMETHODS: We used a Markov model to estimate the cost-effectiveness of 12 treatments, including 6 EGFR tyrosine kinase inhibitors, 4 combination treatments and 2 chemotherapies. The key clinical efficacy and safety data were from a network meta-analysis. The cost and health preference were mainly collected from the literature. The most cost-effective treatment was inferred through a sequential analysis. Uncertainty was tested with one-way sensitivity analyses, scenario analyses, and probabilistic sensitivity analyses. Quality-adjusted life years (QALYs), direct medical costs, and incremental cost-effectiveness ratio (ICER) were estimated, at willingness-to-pay thresholds of £20000 to £50000 and £8000 to £24000 per QALY in the UK and China respectively.\nRESULTS: For clinical effectiveness, osimertinib and gefitinib plus pemetrexed based chemotherapy (PbCT) yielded the highest QALYs, while two chemotherapy treatments gained the lowest QALYs. For costs, gefitinib treatment was the cheapest option in both countries (£24529 in the UK and £12961 in China). For cost-effectiveness, 4 treatments including gefitinib, gefitinib plus pemetrexed, gefitinib plus PbCT, and osimertinib formed the cost-effectiveness frontier in both countries. Gefitinib alone (70.7% and 80.0% under the threshold of £20000 and £8000 per QALY in the UK and China, respectively) and gefitinib plus PbCT (62.3% and 71.2% under the threshold of £50000 and £24000 per QALY in the UK and China, respectively) were most likely to be cost-effective compared with other first-line treatments.\nCONCLUSIONS: Gefitinib and gefitinib plus PbCT were likely to be cost-effective for patients with advanced EGFR mutated NSCLC in both countries.","container-title":"Frontiers in Oncology","DOI":"10.3389/fonc.2022.819674","ISSN":"2234-943X","journalAbbreviation":"Front Oncol","language":"en","note":"PMID: 35785198\nPMCID: PMC9241581","page":"819674","source":"PubMed","title":"Cost-Effectiveness of 12 First-Line Treatments for Patients With Advanced EGFR Mutated NSCLC in the United Kingdom and China","volume":"12","author":[{"family":"Guan","given":"Haijing"},{"family":"Wang","given":"Chunping"},{"family":"Chen","given":"Chen"},{"family":"Han","given":"Sheng"},{"family":"Zhao","given":"Zhigang"}],"issued":{"date-parts":[["2022"]]}}}],"schema":"https://github.com/citation-style-language/schema/raw/master/csl-citation.json"} </w:instrText>
            </w:r>
            <w:r>
              <w:rPr>
                <w:rFonts w:eastAsiaTheme="minorEastAsia"/>
                <w:b w:val="0"/>
                <w:bCs w:val="0"/>
                <w:sz w:val="18"/>
                <w:szCs w:val="18"/>
              </w:rPr>
              <w:fldChar w:fldCharType="separate"/>
            </w:r>
            <w:r>
              <w:rPr>
                <w:b w:val="0"/>
                <w:bCs w:val="0"/>
                <w:sz w:val="18"/>
              </w:rPr>
              <w:t>[29]</w:t>
            </w:r>
            <w:r>
              <w:rPr>
                <w:rFonts w:eastAsiaTheme="minorEastAsia"/>
                <w:b w:val="0"/>
                <w:bCs w:val="0"/>
                <w:sz w:val="18"/>
                <w:szCs w:val="18"/>
              </w:rPr>
              <w:fldChar w:fldCharType="end"/>
            </w:r>
          </w:p>
        </w:tc>
      </w:tr>
      <w:tr w:rsidR="006D1C3F" w14:paraId="16DA10A1" w14:textId="77777777">
        <w:trPr>
          <w:trHeight w:val="289"/>
          <w:jc w:val="center"/>
        </w:trPr>
        <w:tc>
          <w:tcPr>
            <w:tcW w:w="2405" w:type="dxa"/>
            <w:vAlign w:val="center"/>
          </w:tcPr>
          <w:p w14:paraId="78E477F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Rash</w:t>
            </w:r>
          </w:p>
        </w:tc>
        <w:tc>
          <w:tcPr>
            <w:tcW w:w="1743" w:type="dxa"/>
            <w:vAlign w:val="center"/>
          </w:tcPr>
          <w:p w14:paraId="6FDB519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37.9</w:t>
            </w:r>
          </w:p>
        </w:tc>
        <w:tc>
          <w:tcPr>
            <w:tcW w:w="2074" w:type="dxa"/>
            <w:vAlign w:val="center"/>
          </w:tcPr>
          <w:p w14:paraId="4BD5E84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30.4~45.5</w:t>
            </w:r>
          </w:p>
        </w:tc>
        <w:tc>
          <w:tcPr>
            <w:tcW w:w="2074" w:type="dxa"/>
            <w:vAlign w:val="center"/>
          </w:tcPr>
          <w:p w14:paraId="683D6860"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{"citationID":"nGxglUjx","properties":{"formattedCitation":"(39)","plainCitation":"(39)","noteIndex":0},"citationItems":[{"id":443,"uris":["http://zotero.org/users/local/eBJtW3GH/items/UF33SBNR"],"itemData":{"id":443,"type":"article-journal","abstract":"OBJECTIVE: Our previous economic assessment found that nivolumab was not cost-effective for Chinese patients with advanced non-small cell lung cancer (NSCLC) and without EGFR mutations or ALK translocations, when compared with the standard second-line drug docetaxel. However, a greater survival benefit with nivolumab was observed for patients with 1% or greater tumor programmed death ligand 1 (PD-L1) expression. In view of this, we designed the present analysis to explore whether it is cost-effective to use the PD-L1 test to guide second-line nivolumab treatment in China.\nMATERIAL AND METHODS: A Markov model was established to project the lifetime costs and quality-adjusted life-years (QALYs) of three second-line treatment strategies: nivolumab and docetaxel (strategies without a PD-L1 test) and PD-L1 test-based strategy. Deterministic and probabilistic sensitivity analyses were performed to examine the robustness of our results. Additional price reduction and willingness-to-pay (WTP) threshold scenario analyses were performed to explore the impact of economic and health policies with Chinese characteristics on our results.\nRESULTS: The PD-L1 test-based strategy costs approximately CNY 194,607 (USD 28,210) or more and yielded an additional 0.27 QALYs compared to the docetaxel strategy without a PD-L1 test, equating an incremental cost-effectiveness ratio (ICER) of CNY 731,089 (USD 105,978)/QALY. Deterministic sensitivity analyses showed that the price of nivolumab was the strongest source of variation in the ICERs. Probability sensitivity analysis showed that the probability for the PD-L1 test-based strategy being cost-effective increases with the increase of WTP thresholds.\nCONCLUSION: From the perspective of the Chinese healthcare system, using a PD-L1 test to guide second-line nivolumab treatment was not cost-effective. The National Healthcare Security Administration negotiation on the price reduction of nivolumab was found to be the most effective action to improve its cost-effectiveness in China.","container-title":"Frontiers in Oncology","DOI":"10.3389/fonc.2021.745493","ISSN":"2234-943X","journalAbbreviation":"Front Oncol","language":"en","note":"PMID: 34966668\nPMCID: PMC8710478","page":"745493","source":"PubMed",</w:instrText>
            </w:r>
            <w:r>
              <w:rPr>
                <w:rFonts w:eastAsiaTheme="minorEastAsia" w:hint="eastAsia"/>
                <w:b w:val="0"/>
                <w:bCs w:val="0"/>
                <w:sz w:val="18"/>
                <w:szCs w:val="18"/>
              </w:rPr>
              <w:instrText>"title":"PD-L1 Test-Based Strategy With Nivolumab as the Second-Line Treatment in Advanced NSCLC</w:instrText>
            </w:r>
            <w:r>
              <w:rPr>
                <w:rFonts w:eastAsiaTheme="minorEastAsia" w:hint="eastAsia"/>
                <w:b w:val="0"/>
                <w:bCs w:val="0"/>
                <w:sz w:val="18"/>
                <w:szCs w:val="18"/>
              </w:rPr>
              <w:instrText>：</w:instrText>
            </w:r>
            <w:r>
              <w:rPr>
                <w:rFonts w:eastAsiaTheme="minorEastAsia" w:hint="eastAsia"/>
                <w:b w:val="0"/>
                <w:bCs w:val="0"/>
                <w:sz w:val="18"/>
                <w:szCs w:val="18"/>
              </w:rPr>
              <w:instrText xml:space="preserve"> A Cost-Effectiveness Analysis in China","volume":"11","author":[{"family":"Liu","given":"Qiao"},{"family":"Luo","given":"Xia"},{"family":"Zhou","given":"Zhen</w:instrText>
            </w:r>
            <w:r>
              <w:rPr>
                <w:rFonts w:eastAsiaTheme="minorEastAsia"/>
                <w:b w:val="0"/>
                <w:bCs w:val="0"/>
                <w:sz w:val="18"/>
                <w:szCs w:val="18"/>
              </w:rPr>
              <w:instrText xml:space="preserve">"},{"family":"Peng","given":"Liubao"},{"family":"Yi","given":"Lidan"},{"family":"Wan","given":"Xiaomin"},{"family":"Tan","given":"Chongqing"},{"family":"Zeng","given":"Xiaohui"}],"issued":{"date-parts":[["2021"]]}}}],"schema":"https://github.com/citation-style-language/schema/raw/master/csl-citation.json"} </w:instrText>
            </w:r>
            <w:r>
              <w:rPr>
                <w:rFonts w:eastAsiaTheme="minorEastAsia"/>
                <w:b w:val="0"/>
                <w:bCs w:val="0"/>
                <w:sz w:val="18"/>
                <w:szCs w:val="18"/>
              </w:rPr>
              <w:fldChar w:fldCharType="separate"/>
            </w:r>
            <w:r>
              <w:rPr>
                <w:b w:val="0"/>
                <w:bCs w:val="0"/>
                <w:sz w:val="18"/>
              </w:rPr>
              <w:t>[39]</w:t>
            </w:r>
            <w:r>
              <w:rPr>
                <w:rFonts w:eastAsiaTheme="minorEastAsia"/>
                <w:b w:val="0"/>
                <w:bCs w:val="0"/>
                <w:sz w:val="18"/>
                <w:szCs w:val="18"/>
              </w:rPr>
              <w:fldChar w:fldCharType="end"/>
            </w:r>
          </w:p>
        </w:tc>
      </w:tr>
      <w:tr w:rsidR="006D1C3F" w14:paraId="438E448C" w14:textId="77777777">
        <w:trPr>
          <w:trHeight w:val="289"/>
          <w:jc w:val="center"/>
        </w:trPr>
        <w:tc>
          <w:tcPr>
            <w:tcW w:w="2405" w:type="dxa"/>
            <w:vAlign w:val="center"/>
          </w:tcPr>
          <w:p w14:paraId="46BCBD9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Neutrophil count decreased</w:t>
            </w:r>
          </w:p>
        </w:tc>
        <w:tc>
          <w:tcPr>
            <w:tcW w:w="1743" w:type="dxa"/>
            <w:vAlign w:val="center"/>
          </w:tcPr>
          <w:p w14:paraId="51C2202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1094.28</w:t>
            </w:r>
          </w:p>
        </w:tc>
        <w:tc>
          <w:tcPr>
            <w:tcW w:w="2074" w:type="dxa"/>
            <w:vAlign w:val="center"/>
          </w:tcPr>
          <w:p w14:paraId="1F591B6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875.42~1313.14</w:t>
            </w:r>
          </w:p>
        </w:tc>
        <w:tc>
          <w:tcPr>
            <w:tcW w:w="2074" w:type="dxa"/>
            <w:vAlign w:val="center"/>
          </w:tcPr>
          <w:p w14:paraId="387D8CC5"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{"citationID":"YEuFuTFK","properties":{"formattedCitation":"(38)","plainCitation":"(38)","noteIndex":0},"citationItems":[{"id":440,"uris":["http://zotero.org/users/local/eBJtW3GH/items/8Q5P3IZQ"],"itemData":{"id":440,"type":"article-journal","abstract":"OBJECTIVE: Six anaplastic lymphoma kinase-tyrosine kinase inhibitors (ALK-TKIs), including one domestic (ensartinib) and five imported ALK-TKIs (crizotinib, ceritinib, alectinib, brigatinib, and lorlatinib), have been recommended as first-line treatments for advanced ALK-positive NSCLC in China. This study sought to examine the cost-effectiveness of these six novel therapies in Chinese patients.\nMATERIAL AND METHODS: We constructed a Markov model to compare the cost-effectiveness of the six ALK-TKIs as a first-line treatment for patients with advanced ALK-positive NSCLC from the perspective of the Chinese healthcare system. Transition probabilities were estimated by synthesizing data from the PROFILE 1,029 trial and a network meta-analysis. Health state utilities and costs were sourced from published literature, publicly available national databases, and local general hospitals. The robustness of model was assessed via deterministic sensitivity analyses and probabilistic sensitivity analyses.\nRESULTS: Compared with crizotinib, ensartinib achieved additional 0.12 quality-adjusted life-year (QALY) with marginal costs of $3,249, resulting in an incremental cost-effectiveness ratio (ICER) of $27,553/ QALY. When compared with ceritinib and brigatinib, ensartinib achieved additional 0.06 and 0.03 QALYs with substantially reduced costs. When compared with lorlatinib and alectinib, ensartinib was associated with a lower QALY and decreased total costs; the ICERs for lorlatinib and alectinib were $934,101/ QALY and $164,888/ QALY, respectively.\nCONCLUSION: For Chinese patients with advanced ALK-positive NSCLC, ensartinib was a cost-effective option compared with crizotinib, and was a dominant alternative to ceritinib and brigatinib. Although lorlatinib and alectinib were associated with prolonged survival compared with ensartinib, they were less cost-effective than ensartinib due to the overwhelming total costs.","container-title":"Frontiers in Public Health","DOI":"10.3389/fpubh.2022.985834","ISSN":"2296-2565","journalAbbreviation":"Front Public Health","language":"en","note":"PMID: 36211665\nPMCID: PMC9533130","page":"985834","source":"PubMed","title":"Cost-effectiveness of ensartinib, crizotinib, ceritinib, alectinib, brigatinib and lorlatinib in patients with anaplastic lymphoma kinase-positive non-small cell lung cancer in China","volume":"10","author":[{"family":"Luo","given":"Xia"},{"family":"Zhou","given":"Zhen"},{"family":"Zeng","given":"Xiaohui"},{"family":"Peng","given":"Liubao"},{"family":"Liu","given":"Qiao"}],"issued":{"date-parts":[["2022"]]}}}],"schema":"https://github.com/citation-style-language/schema/raw/master/csl-citation.json"} </w:instrText>
            </w:r>
            <w:r>
              <w:rPr>
                <w:rFonts w:eastAsiaTheme="minorEastAsia"/>
                <w:b w:val="0"/>
                <w:bCs w:val="0"/>
                <w:sz w:val="18"/>
                <w:szCs w:val="18"/>
              </w:rPr>
              <w:fldChar w:fldCharType="separate"/>
            </w:r>
            <w:r>
              <w:rPr>
                <w:b w:val="0"/>
                <w:bCs w:val="0"/>
                <w:sz w:val="18"/>
              </w:rPr>
              <w:t>[38]</w:t>
            </w:r>
            <w:r>
              <w:rPr>
                <w:rFonts w:eastAsiaTheme="minorEastAsia"/>
                <w:b w:val="0"/>
                <w:bCs w:val="0"/>
                <w:sz w:val="18"/>
                <w:szCs w:val="18"/>
              </w:rPr>
              <w:fldChar w:fldCharType="end"/>
            </w:r>
          </w:p>
        </w:tc>
      </w:tr>
      <w:tr w:rsidR="006D1C3F" w14:paraId="251536E0" w14:textId="77777777">
        <w:trPr>
          <w:trHeight w:val="289"/>
          <w:jc w:val="center"/>
        </w:trPr>
        <w:tc>
          <w:tcPr>
            <w:tcW w:w="2405" w:type="dxa"/>
            <w:vAlign w:val="center"/>
          </w:tcPr>
          <w:p w14:paraId="43E886A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Anemia</w:t>
            </w:r>
          </w:p>
        </w:tc>
        <w:tc>
          <w:tcPr>
            <w:tcW w:w="1743" w:type="dxa"/>
            <w:vAlign w:val="center"/>
          </w:tcPr>
          <w:p w14:paraId="4A83703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2150.12</w:t>
            </w:r>
          </w:p>
        </w:tc>
        <w:tc>
          <w:tcPr>
            <w:tcW w:w="2074" w:type="dxa"/>
            <w:vAlign w:val="center"/>
          </w:tcPr>
          <w:p w14:paraId="2F73DD5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1720.10~2580.14</w:t>
            </w:r>
          </w:p>
        </w:tc>
        <w:tc>
          <w:tcPr>
            <w:tcW w:w="2074" w:type="dxa"/>
            <w:vAlign w:val="center"/>
          </w:tcPr>
          <w:p w14:paraId="0B0049A0"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{"citationID":"M6gWH7Ik","properties":{"formattedCitation":"(38)","plainCitation":"(38)","noteIndex":0},"citationItems":[{"id":440,"uris":["http://zotero.org/users/local/eBJtW3GH/items/8Q5P3IZQ"],"itemData":{"id":440,"type":"article-journal","abstract":"OBJECTIVE: Six anaplastic lymphoma kinase-tyrosine kinase inhibitors (ALK-TKIs), including one domestic (ensartinib) and five imported ALK-TKIs (crizotinib, ceritinib, alectinib, brigatinib, and lorlatinib), have been recommended as first-line treatments for advanced ALK-positive NSCLC in China. This study sought to examine the cost-effectiveness of these six novel therapies in Chinese patients.\nMATERIAL AND METHODS: We constructed a Markov model to compare the cost-effectiveness of the six ALK-TKIs as a first-line treatment for patients with advanced ALK-positive NSCLC from the perspective of the Chinese healthcare system. Transition probabilities were estimated by synthesizing data from the PROFILE 1,029 trial and a network meta-analysis. Health state utilities and costs were sourced from published literature, publicly available national databases, and local general hospitals. The robustness of model was assessed via deterministic sensitivity analyses and probabilistic sensitivity analyses.\nRESULTS: Compared with crizotinib, ensartinib achieved additional 0.12 quality-adjusted life-year (QALY) with marginal costs of $3,249, resulting in an incremental cost-effectiveness ratio (ICER) of $27,553/ QALY. When compared with ceritinib and brigatinib, ensartinib achieved additional 0.06 and 0.03 QALYs with substantially reduced costs. When compared with lorlatinib and alectinib, ensartinib was associated with a lower QALY and decreased total costs; the ICERs for lorlatinib and alectinib were $934,101/ QALY and $164,888/ QALY, respectively.\nCONCLUSION: For Chinese patients with advanced ALK-positive NSCLC, ensartinib was a cost-effective option compared with crizotinib, and was a dominant alternative to ceritinib and brigatinib. Although lorlatinib and alectinib were associated with prolonged survival compared with ensartinib, they were less cost-effective than ensartinib due to the overwhelming total costs.","container-title":"Frontiers in Public Health","DOI":"10.3389/fpubh.2022.985834","ISSN":"2296-2565","journalAbbreviation":"Front Public Health","language":"en","note":"PMID: 36211665\nPMCID: PMC9533130","page":"985834","source":"PubMed","title":"Cost-effectiveness of ensartinib, crizotinib, ceritinib, alectinib, brigatinib and lorlatinib in patients with anaplastic lymphoma kinase-positive non-small cell lung cancer in China","volume":"10","author":[{"family":"Luo","given":"Xia"},{"family":"Zhou","given":"Zhen"},{"family":"Zeng","given":"Xiaohui"},{"family":"Peng","given":"Liubao"},{"family":"Liu","given":"Qiao"}],"issued":{"date-parts":[["2022"]]}}}],"schema":"https://github.com/citation-style-language/schema/raw/master/csl-citation.json"} </w:instrText>
            </w:r>
            <w:r>
              <w:rPr>
                <w:rFonts w:eastAsiaTheme="minorEastAsia"/>
                <w:b w:val="0"/>
                <w:bCs w:val="0"/>
                <w:sz w:val="18"/>
                <w:szCs w:val="18"/>
              </w:rPr>
              <w:fldChar w:fldCharType="separate"/>
            </w:r>
            <w:r>
              <w:rPr>
                <w:b w:val="0"/>
                <w:bCs w:val="0"/>
                <w:sz w:val="18"/>
              </w:rPr>
              <w:t>[38]</w:t>
            </w:r>
            <w:r>
              <w:rPr>
                <w:rFonts w:eastAsiaTheme="minorEastAsia"/>
                <w:b w:val="0"/>
                <w:bCs w:val="0"/>
                <w:sz w:val="18"/>
                <w:szCs w:val="18"/>
              </w:rPr>
              <w:fldChar w:fldCharType="end"/>
            </w:r>
          </w:p>
        </w:tc>
      </w:tr>
      <w:tr w:rsidR="006D1C3F" w14:paraId="6095CB3E" w14:textId="77777777">
        <w:trPr>
          <w:trHeight w:val="289"/>
          <w:jc w:val="center"/>
        </w:trPr>
        <w:tc>
          <w:tcPr>
            <w:tcW w:w="2405" w:type="dxa"/>
            <w:vAlign w:val="center"/>
          </w:tcPr>
          <w:p w14:paraId="39E6E83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Diarrhea</w:t>
            </w:r>
          </w:p>
        </w:tc>
        <w:tc>
          <w:tcPr>
            <w:tcW w:w="1743" w:type="dxa"/>
            <w:vAlign w:val="center"/>
          </w:tcPr>
          <w:p w14:paraId="6A688D8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339.64</w:t>
            </w:r>
          </w:p>
        </w:tc>
        <w:tc>
          <w:tcPr>
            <w:tcW w:w="2074" w:type="dxa"/>
            <w:vAlign w:val="center"/>
          </w:tcPr>
          <w:p w14:paraId="480B642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271.71~407.57</w:t>
            </w:r>
          </w:p>
        </w:tc>
        <w:tc>
          <w:tcPr>
            <w:tcW w:w="2074" w:type="dxa"/>
            <w:vAlign w:val="center"/>
          </w:tcPr>
          <w:p w14:paraId="780E8874"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{"citationID":"vLkm3ETf","properties":{"formattedCitation":"(38)","plainCitation":"(38)","noteIndex":0},"citationItems":[{"id":440,"uris":["http://zotero.org/users/local/eBJtW3GH/items/8Q5P3IZQ"],"itemData":{"id":440,"type":"article-journal","abstract":"OBJECTIVE: Six anaplastic lymphoma kinase-tyrosine kinase inhibitors (ALK-TKIs), including one domestic (ensartinib) and five imported ALK-TKIs (crizotinib, ceritinib, alectinib, brigatinib, and lorlatinib), have been recommended as first-line treatments for advanced ALK-positive NSCLC in China. This study sought to examine the cost-effectiveness of these six novel therapies in Chinese patients.\nMATERIAL AND METHODS: We constructed a Markov model to compare the cost-effectiveness of the six ALK-TKIs as a first-line treatment for patients with advanced ALK-positive NSCLC from the perspective of the Chinese healthcare system. Transition probabilities were estimated by synthesizing data from the PROFILE 1,029 trial and a network meta-analysis. Health state utilities and costs were sourced from published literature, publicly available national databases, and local general hospitals. The robustness of model was assessed via deterministic sensitivity analyses and probabilistic sensitivity analyses.\nRESULTS: Compared with crizotinib, ensartinib achieved additional 0.12 quality-adjusted life-year (QALY) with marginal costs of $3,249, resulting in an incremental cost-effectiveness ratio (ICER) of $27,553/ QALY. When compared with ceritinib and brigatinib, ensartinib achieved additional 0.06 and 0.03 QALYs with substantially reduced costs. When compared with lorlatinib and alectinib, ensartinib was associated with a lower QALY and decreased total costs; the ICERs for lorlatinib and alectinib were $934,101/ QALY and $164,888/ QALY, respectively.\nCONCLUSION: For Chinese patients with advanced ALK-positive NSCLC, ensartinib was a cost-effective option compared with crizotinib, and was a dominant alternative to ceritinib and brigatinib. Although lorlatinib and alectinib were associated with prolonged survival compared with ensartinib, they were less cost-effective than ensartinib due to the overwhelming total costs.","container-title":"Frontiers in Public Health","DOI":"10.3389/fpubh.2022.985834","ISSN":"2296-2565","journalAbbreviation":"Front Public Health","language":"en","note":"PMID: 36211665\nPMCID: PMC9533130","page":"985834","source":"PubMed","title":"Cost-effectiveness of ensartinib, crizotinib, ceritinib, alectinib, brigatinib and lorlatinib in patients with anaplastic lymphoma kinase-positive non-small cell lung cancer in China","volume":"10","author":[{"family":"Luo","given":"Xia"},{"family":"Zhou","given":"Zhen"},{"family":"Zeng","given":"Xiaohui"},{"family":"Peng","given":"Liubao"},{"family":"Liu","given":"Qiao"}],"issued":{"date-parts":[["2022"]]}}}],"schema":"https://github.com/citation-style-language/schema/raw/master/csl-citation.json"} </w:instrText>
            </w:r>
            <w:r>
              <w:rPr>
                <w:rFonts w:eastAsiaTheme="minorEastAsia"/>
                <w:b w:val="0"/>
                <w:bCs w:val="0"/>
                <w:sz w:val="18"/>
                <w:szCs w:val="18"/>
              </w:rPr>
              <w:fldChar w:fldCharType="separate"/>
            </w:r>
            <w:r>
              <w:rPr>
                <w:b w:val="0"/>
                <w:bCs w:val="0"/>
                <w:sz w:val="18"/>
              </w:rPr>
              <w:t>[38]</w:t>
            </w:r>
            <w:r>
              <w:rPr>
                <w:rFonts w:eastAsiaTheme="minorEastAsia"/>
                <w:b w:val="0"/>
                <w:bCs w:val="0"/>
                <w:sz w:val="18"/>
                <w:szCs w:val="18"/>
              </w:rPr>
              <w:fldChar w:fldCharType="end"/>
            </w:r>
          </w:p>
        </w:tc>
      </w:tr>
      <w:tr w:rsidR="006D1C3F" w14:paraId="7069B680" w14:textId="77777777">
        <w:trPr>
          <w:trHeight w:val="289"/>
          <w:jc w:val="center"/>
        </w:trPr>
        <w:tc>
          <w:tcPr>
            <w:tcW w:w="2405" w:type="dxa"/>
            <w:vAlign w:val="center"/>
          </w:tcPr>
          <w:p w14:paraId="6DA2E229" w14:textId="77777777" w:rsidR="006D1C3F" w:rsidRDefault="00000000">
            <w:pPr>
              <w:ind w:firstLine="360"/>
              <w:jc w:val="center"/>
              <w:rPr>
                <w:rFonts w:cstheme="minorBidi"/>
                <w:b w:val="0"/>
                <w:bCs w:val="0"/>
                <w:sz w:val="18"/>
                <w:szCs w:val="18"/>
              </w:rPr>
            </w:pPr>
            <w:r>
              <w:rPr>
                <w:rFonts w:cstheme="minorBidi" w:hint="eastAsia"/>
                <w:b w:val="0"/>
                <w:bCs w:val="0"/>
                <w:sz w:val="18"/>
                <w:szCs w:val="18"/>
              </w:rPr>
              <w:t>Decreased appetite</w:t>
            </w:r>
          </w:p>
        </w:tc>
        <w:tc>
          <w:tcPr>
            <w:tcW w:w="1743" w:type="dxa"/>
            <w:vAlign w:val="center"/>
          </w:tcPr>
          <w:p w14:paraId="1CCB3A8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825</w:t>
            </w:r>
          </w:p>
        </w:tc>
        <w:tc>
          <w:tcPr>
            <w:tcW w:w="2074" w:type="dxa"/>
            <w:vAlign w:val="center"/>
          </w:tcPr>
          <w:p w14:paraId="3B911BC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660~990</w:t>
            </w:r>
          </w:p>
        </w:tc>
        <w:tc>
          <w:tcPr>
            <w:tcW w:w="2074" w:type="dxa"/>
            <w:vAlign w:val="center"/>
          </w:tcPr>
          <w:p w14:paraId="48E410EA"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{"citationID":"XlBOb1B0","properties":{"formattedCitation":"(40)","plainCitation":"(40)","noteIndex":0},"citationItems":[{"id":445,"uris":["http://zotero.org/users/local/eBJtW3GH/items/KS9PK3FZ"],"itemData":{"id":445,"type":"article-journal","abstract":"This study aimed to evaluate and compare nivolumab's cost-effectiveness with chemotherapy in patients with advanced esophageal squamous cell carcinoma from the Chinese healthcare system perspective. To this end, the researchers utilized a partitioned survival model with three mutually exclusive health stages. The characteristics of the patients used as inclusion and exclusion criteria in this model were the same as those used for patients with advanced esophageal squamous cell carcinoma in the ATTRACTION-3 study. The ATTRACTION-3 trial, which took place between January 7, 2016 and November 12, 2018, also yielded important clinical data. Data on medical and economic preferences were collected from real-world clinical practices. Costs, quality-adjusted life years, and incremental cost-effectiveness ratio were calculated for the two therapy options. The model uncertainty was investigated using a deterministic and probabilistic sensitivity analysis. When compared to chemotherapy, nivolumab was linked with an increase of 0.28 quality-adjusted life years with an increased cost of US$ 36,956.81 per patient in the base case analysis of a hypothetical sample of 419 patients. The incremental cost-effectiveness ratio in the deterministic sensitivity analysis was US$ 132,029.46/quality-adjusted life year, with a 48.02% probability of being cost-effective at willingness-to-pay thresholds of US$ 132,029.22/quality-adjusted life year. The incremental cost-effectiveness ratio remained greater than US$ 80,000/quality-adjusted life year in the deterministic sensitivity analyses. To be more cost-effective and remain below the threshold of 37,653 US$/quality-adjusted life year, which the Chinese population can afford, nivolumab's price would have to be lowered sharply by 53.50%. Nivolumab is clinically beneficial but not cost-effective when compared to chemotherapy. A substantial reduction in nivolumab's drug acquisition cost would be necessary to make it cost-effective for immunotherapy.","container-title":"Frontiers in Public Health","DOI":"10.3389/fpubh.2022.923619","ISSN":"2296-2565","journalAbbreviation":"Front Public Health","language":"en","note":"PMID: 35844891\nPMCID: PMC9277084","page":"923619","source":"PubMed","title":"Cost-Effectiveness of Nivolumab Immunotherapy vs. Paclitaxel or Docetaxel Chemotherapy as Second-Line Therapy in Advanced Esophageal Squamous Cell Carcinoma in China","volume":"10","author":[{"family":"Lin","given":"Ying-Tao"},{"family":"Liu","given":"Tian-Xiu"},{"family":"Chen","given":"Jian"},{"family":"Wang","given":"Chang"},{"family":"Chen","given":"Ying"}],"issued":{"date-parts":[["2022"]]}}}],"schema":"https://github.com/citation-style-language/schema/raw/master/csl-citation.json"} </w:instrText>
            </w:r>
            <w:r>
              <w:rPr>
                <w:rFonts w:eastAsiaTheme="minorEastAsia"/>
                <w:b w:val="0"/>
                <w:bCs w:val="0"/>
                <w:sz w:val="18"/>
                <w:szCs w:val="18"/>
              </w:rPr>
              <w:fldChar w:fldCharType="separate"/>
            </w:r>
            <w:r>
              <w:rPr>
                <w:b w:val="0"/>
                <w:bCs w:val="0"/>
                <w:sz w:val="18"/>
              </w:rPr>
              <w:t>[40]</w:t>
            </w:r>
            <w:r>
              <w:rPr>
                <w:rFonts w:eastAsiaTheme="minorEastAsia"/>
                <w:b w:val="0"/>
                <w:bCs w:val="0"/>
                <w:sz w:val="18"/>
                <w:szCs w:val="18"/>
              </w:rPr>
              <w:fldChar w:fldCharType="end"/>
            </w:r>
          </w:p>
        </w:tc>
      </w:tr>
      <w:tr w:rsidR="006D1C3F" w14:paraId="45C82353" w14:textId="77777777">
        <w:trPr>
          <w:trHeight w:val="289"/>
          <w:jc w:val="center"/>
        </w:trPr>
        <w:tc>
          <w:tcPr>
            <w:tcW w:w="2405" w:type="dxa"/>
            <w:vAlign w:val="center"/>
          </w:tcPr>
          <w:p w14:paraId="228B300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Hyponatremia</w:t>
            </w:r>
          </w:p>
        </w:tc>
        <w:tc>
          <w:tcPr>
            <w:tcW w:w="1743" w:type="dxa"/>
            <w:vAlign w:val="center"/>
          </w:tcPr>
          <w:p w14:paraId="50BD789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316.83</w:t>
            </w:r>
          </w:p>
        </w:tc>
        <w:tc>
          <w:tcPr>
            <w:tcW w:w="2074" w:type="dxa"/>
            <w:vAlign w:val="center"/>
          </w:tcPr>
          <w:p w14:paraId="0FC83E15"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253.46~380.20</w:t>
            </w:r>
          </w:p>
        </w:tc>
        <w:tc>
          <w:tcPr>
            <w:tcW w:w="2074" w:type="dxa"/>
            <w:vAlign w:val="center"/>
          </w:tcPr>
          <w:p w14:paraId="10025D76"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{"citationID":"waL0IS6w","properties":{"formattedCitation":"(38)","plainCitation":"(38)","noteIndex":0},"citationItems":[{"id":440,"uris":["http://zotero.org/users/local/eBJtW3GH/items/8Q5P3IZQ"],"itemData":{"id":440,"type":"article-journal","abstract":"OBJECTIVE: Six anaplastic lymphoma kinase-tyrosine kinase inhibitors (ALK-TKIs), including one domestic (ensartinib) and five imported ALK-TKIs (crizotinib, ceritinib, alectinib, brigatinib, and lorlatinib), have been recommended as first-line treatments for advanced ALK-positive NSCLC in China. This study sought to examine the cost-effectiveness of these six novel therapies in Chinese patients.\nMATERIAL AND METHODS: We constructed a Markov model to compare the cost-effectiveness of the six ALK-TKIs as a first-line treatment for patients with advanced ALK-positive NSCLC from the perspective of the Chinese healthcare system. Transition probabilities were estimated by synthesizing data from the PROFILE 1,029 trial and a network meta-analysis. Health state utilities and costs were sourced from published literature, publicly available national databases, and local general hospitals. The robustness of model was assessed via deterministic sensitivity analyses and probabilistic sensitivity analyses.\nRESULTS: Compared with crizotinib, ensartinib achieved additional 0.12 quality-adjusted life-year (QALY) with marginal costs of $3,249, resulting in an incremental cost-effectiveness ratio (ICER) of $27,553/ QALY. When compared with ceritinib and brigatinib, ensartinib achieved additional 0.06 and 0.03 QALYs with substantially reduced costs. When compared with lorlatinib and alectinib, ensartinib was associated with a lower QALY and decreased total costs; the ICERs for lorlatinib and alectinib were $934,101/ QALY and $164,888/ QALY, respectively.\nCONCLUSION: For Chinese patients with advanced ALK-positive NSCLC, ensartinib was a cost-effective option compared with crizotinib, and was a dominant alternative to ceritinib and brigatinib. Although lorlatinib and alectinib were associated with prolonged survival compared with ensartinib, they were less cost-effective than ensartinib due to the overwhelming total costs.","container-title":"Frontiers in Public Health","DOI":"10.3389/fpubh.2022.985834","ISSN":"2296-2565","journalAbbreviation":"Front Public Health","language":"en","note":"PMID: 36211665\nPMCID: PMC9533130","page":"985834","source":"PubMed","title":"Cost-effectiveness of ensartinib, crizotinib, ceritinib, alectinib, brigatinib and lorlatinib in patients with anaplastic lymphoma kinase-positive non-small cell lung cancer in China","volume":"10","author":[{"family":"Luo","given":"Xia"},{"family":"Zhou","given":"Zhen"},{"family":"Zeng","given":"Xiaohui"},{"family":"Peng","given":"Liubao"},{"family":"Liu","given":"Qiao"}],"issued":{"date-parts":[["2022"]]}}}],"schema":"https://github.com/citation-style-language/schema/raw/master/csl-citation.json"} </w:instrText>
            </w:r>
            <w:r>
              <w:rPr>
                <w:rFonts w:eastAsiaTheme="minorEastAsia"/>
                <w:b w:val="0"/>
                <w:bCs w:val="0"/>
                <w:sz w:val="18"/>
                <w:szCs w:val="18"/>
              </w:rPr>
              <w:fldChar w:fldCharType="separate"/>
            </w:r>
            <w:r>
              <w:rPr>
                <w:b w:val="0"/>
                <w:bCs w:val="0"/>
                <w:sz w:val="18"/>
              </w:rPr>
              <w:t>[38]</w:t>
            </w:r>
            <w:r>
              <w:rPr>
                <w:rFonts w:eastAsiaTheme="minorEastAsia"/>
                <w:b w:val="0"/>
                <w:bCs w:val="0"/>
                <w:sz w:val="18"/>
                <w:szCs w:val="18"/>
              </w:rPr>
              <w:fldChar w:fldCharType="end"/>
            </w:r>
          </w:p>
        </w:tc>
      </w:tr>
      <w:tr w:rsidR="006D1C3F" w14:paraId="0292BE7D" w14:textId="77777777">
        <w:trPr>
          <w:trHeight w:val="289"/>
          <w:jc w:val="center"/>
        </w:trPr>
        <w:tc>
          <w:tcPr>
            <w:tcW w:w="2405" w:type="dxa"/>
            <w:vAlign w:val="center"/>
          </w:tcPr>
          <w:p w14:paraId="2A000E7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Hypercholesterolemia</w:t>
            </w:r>
          </w:p>
        </w:tc>
        <w:tc>
          <w:tcPr>
            <w:tcW w:w="1743" w:type="dxa"/>
            <w:vAlign w:val="center"/>
          </w:tcPr>
          <w:p w14:paraId="5F384AA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362.17</w:t>
            </w:r>
          </w:p>
        </w:tc>
        <w:tc>
          <w:tcPr>
            <w:tcW w:w="2074" w:type="dxa"/>
            <w:vAlign w:val="center"/>
          </w:tcPr>
          <w:p w14:paraId="0D954EA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271.63–452.71</w:t>
            </w:r>
          </w:p>
        </w:tc>
        <w:tc>
          <w:tcPr>
            <w:tcW w:w="2074" w:type="dxa"/>
            <w:vAlign w:val="center"/>
          </w:tcPr>
          <w:p w14:paraId="33F6150F"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{"citationID":"y5uKZ8zU","properties":{"formattedCitation":"(36)","plainCitation":"(36)","noteIndex":0},"citationItems":[{"id":434,"uris":["http://zotero.org/users/local/eBJtW3GH/items/AGZAASJS"],"itemData":{"id":434,"type":"article-journal","abstract":"BACKGROUND: This study aimed to analyze the cost-effectiveness of crizotinib versus ceritinib or alectinib as first-line-targeted drug therapy for anaplastic lymphoma kinase-positive advanced non-small cell lung cancer in China.\nMETHODS: The Markov model was used to simulate the medical cost and quality-adjusted life years (QALYs) of patients using crizotinib, ceritinib, or alectinib over a 10-year period by establishing three health states: progression-free, post-progression, and death. Randomized controlled clinical data were collected from the open-label, randomized phase 3 trials ALEX and ASCEND-4. Cost and utility values were derived from local charges and literature. Sensitivity analyses included one-way and probabilistic sensitivity analyses.\nRESULTS: Compared with patients who used crizotinib as first-line treatment, patients in the ceritinib and alectinib groups yielded an additional 1.32 and 3.30 QALYs with an incremental cost of $84,728.20 and $339,114.36, respectively. Thus, the incremental cost-effectiveness ratio (ICER) was $64,398.83 and $102,675.74 per QALY in the ceritinib and alectinib groups, respectively. Alectinib was estimated to be more effective (4.68 QALY) and more costly ($432,063.06) with an ICER of $128,019.42 per QALY compared with ceritinib (2.69 QALY and $177,676.90). Results were robust to deterministic and probabilistic sensitivity analyses.\nCONCLUSION: As a first-line treatment regimen, ceritinib and alectinib can extend the survival time of patients compared with crizotinib, but the medical cost also increases accordingly. According to the World Health Organization's three-percent GDP measurement, first-line treatment with Crizotinib is the most cost-effective.","container-title":"Cancer Management and Research","DOI":"10.2147/CMAR.S223441","ISSN":"1179-1322","journalAbbreviation":"Cancer Manag Res","language":"en","note":"PMID: 31749634\nPMCID: PMC6818540","page":"9195-9202","source":"PubMed","title":"Cost-Effectiveness Analysis Of Ceritinib And Alectinib Versus Crizotinib In The Treatment Of Anaplastic Lymphoma Kinase-Positive Advanced Non-Small Cell Lung Cancer","volume":"11","author":[{"family":"Liu","given":"Maobai"},{"family":"Zhang","given":"Longfeng"},{"family":"Huang","given":"Qishu"},{"family":"Li","given":"Na"},{"family":"Zheng","given":"Bin"},{"family":"Cai","given":"Hongfu"}],"issued":{"date-parts":[["2019"]]}}}],"schema":"https://github.com/citation-style-language/schema/raw/master/csl-citation.json"} </w:instrText>
            </w:r>
            <w:r>
              <w:rPr>
                <w:rFonts w:eastAsiaTheme="minorEastAsia"/>
                <w:b w:val="0"/>
                <w:bCs w:val="0"/>
                <w:sz w:val="18"/>
                <w:szCs w:val="18"/>
              </w:rPr>
              <w:fldChar w:fldCharType="separate"/>
            </w:r>
            <w:r>
              <w:rPr>
                <w:b w:val="0"/>
                <w:bCs w:val="0"/>
                <w:sz w:val="18"/>
              </w:rPr>
              <w:t>[36]</w:t>
            </w:r>
            <w:r>
              <w:rPr>
                <w:rFonts w:eastAsiaTheme="minorEastAsia"/>
                <w:b w:val="0"/>
                <w:bCs w:val="0"/>
                <w:sz w:val="18"/>
                <w:szCs w:val="18"/>
              </w:rPr>
              <w:fldChar w:fldCharType="end"/>
            </w:r>
          </w:p>
        </w:tc>
      </w:tr>
      <w:tr w:rsidR="006D1C3F" w14:paraId="7D1C62B4" w14:textId="77777777">
        <w:trPr>
          <w:trHeight w:val="289"/>
          <w:jc w:val="center"/>
        </w:trPr>
        <w:tc>
          <w:tcPr>
            <w:tcW w:w="2405" w:type="dxa"/>
            <w:vAlign w:val="center"/>
          </w:tcPr>
          <w:p w14:paraId="52A27350" w14:textId="77777777" w:rsidR="006D1C3F" w:rsidRDefault="00000000">
            <w:pPr>
              <w:ind w:firstLine="360"/>
              <w:jc w:val="center"/>
              <w:rPr>
                <w:rFonts w:cstheme="minorBidi"/>
                <w:b w:val="0"/>
                <w:bCs w:val="0"/>
                <w:sz w:val="18"/>
                <w:szCs w:val="18"/>
              </w:rPr>
            </w:pPr>
            <w:r>
              <w:rPr>
                <w:rFonts w:cstheme="minorBidi" w:hint="eastAsia"/>
                <w:b w:val="0"/>
                <w:bCs w:val="0"/>
                <w:sz w:val="18"/>
                <w:szCs w:val="18"/>
              </w:rPr>
              <w:t>Hypertriglyceridemia</w:t>
            </w:r>
          </w:p>
        </w:tc>
        <w:tc>
          <w:tcPr>
            <w:tcW w:w="1743" w:type="dxa"/>
            <w:vAlign w:val="center"/>
          </w:tcPr>
          <w:p w14:paraId="3D2E9CD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362.17</w:t>
            </w:r>
          </w:p>
        </w:tc>
        <w:tc>
          <w:tcPr>
            <w:tcW w:w="2074" w:type="dxa"/>
            <w:vAlign w:val="center"/>
          </w:tcPr>
          <w:p w14:paraId="40445167"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271.63–452.71</w:t>
            </w:r>
          </w:p>
        </w:tc>
        <w:tc>
          <w:tcPr>
            <w:tcW w:w="2074" w:type="dxa"/>
            <w:vAlign w:val="center"/>
          </w:tcPr>
          <w:p w14:paraId="17F3C013"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{"citationID":"69JzSjyJ","properties":{"formattedCitation":"(36)","plainCitation":"(36)","noteIndex":0},"citationItems":[{"id":434,"uris":["http://zotero.org/users/local/eBJtW3GH/items/AGZAASJS"],"itemData":{"id":434,"type":"article-journal","abstract":"BACKGROUND: This study aimed to analyze the cost-effectiveness of crizotinib versus ceritinib or alectinib as first-line-targeted drug therapy for anaplastic lymphoma kinase-positive advanced non-small cell lung cancer in China.\nMETHODS: The Markov model was used to simulate the medical cost and quality-adjusted life years (QALYs) of patients using crizotinib, ceritinib, or alectinib over a 10-year period by establishing three health states: progression-free, post-progression, and death. Randomized controlled clinical data were collected from the open-label, randomized phase 3 trials ALEX and ASCEND-4. Cost and utility values were derived from local charges and literature. Sensitivity analyses included one-way and probabilistic sensitivity analyses.\nRESULTS: Compared with patients who used crizotinib as first-line treatment, patients in the ceritinib and alectinib groups yielded an additional 1.32 and 3.30 QALYs with an incremental cost of $84,728.20 and $339,114.36, respectively. Thus, the incremental cost-effectiveness ratio (ICER) was $64,398.83 and $102,675.74 per QALY in the ceritinib and alectinib groups, respectively. Alectinib was estimated to be more effective (4.68 QALY) and more costly ($432,063.06) with an ICER of $128,019.42 per QALY compared with ceritinib (2.69 QALY and $177,676.90). Results were robust to deterministic and probabilistic sensitivity analyses.\nCONCLUSION: As a first-line treatment regimen, ceritinib and alectinib can extend the survival time of patients compared with crizotinib, but the medical cost also increases accordingly. According to the World Health Organization's three-percent GDP measurement, first-line treatment with Crizotinib is the most cost-effective.","container-title":"Cancer Management and Research","DOI":"10.2147/CMAR.S223441","ISSN":"1179-1322","journalAbbreviation":"Cancer Manag Res","language":"en","note":"PMID: 31749634\nPMCID: PMC6818540","page":"9195-9202","source":"PubMed","title":"Cost-Effectiveness Analysis Of Ceritinib And Alectinib Versus Crizotinib In The Treatment Of Anaplastic Lymphoma Kinase-Positive Advanced Non-Small Cell Lung Cancer","volume":"11","author":[{"family":"Liu","given":"Maobai"},{"family":"Zhang","given":"Longfeng"},{"family":"Huang","given":"Qishu"},{"family":"Li","given":"Na"},{"family":"Zheng","given":"Bin"},{"family":"Cai","given":"Hongfu"}],"issued":{"date-parts":[["2019"]]}}}],"schema":"https://github.com/citation-style-language/schema/raw/master/csl-citation.json"} </w:instrText>
            </w:r>
            <w:r>
              <w:rPr>
                <w:rFonts w:eastAsiaTheme="minorEastAsia"/>
                <w:b w:val="0"/>
                <w:bCs w:val="0"/>
                <w:sz w:val="18"/>
                <w:szCs w:val="18"/>
              </w:rPr>
              <w:fldChar w:fldCharType="separate"/>
            </w:r>
            <w:r>
              <w:rPr>
                <w:b w:val="0"/>
                <w:bCs w:val="0"/>
                <w:sz w:val="18"/>
              </w:rPr>
              <w:t>[36]</w:t>
            </w:r>
            <w:r>
              <w:rPr>
                <w:rFonts w:eastAsiaTheme="minorEastAsia"/>
                <w:b w:val="0"/>
                <w:bCs w:val="0"/>
                <w:sz w:val="18"/>
                <w:szCs w:val="18"/>
              </w:rPr>
              <w:fldChar w:fldCharType="end"/>
            </w:r>
          </w:p>
        </w:tc>
      </w:tr>
      <w:tr w:rsidR="006D1C3F" w14:paraId="4A9DC8ED" w14:textId="77777777">
        <w:trPr>
          <w:trHeight w:val="289"/>
          <w:jc w:val="center"/>
        </w:trPr>
        <w:tc>
          <w:tcPr>
            <w:tcW w:w="2405" w:type="dxa"/>
            <w:tcBorders>
              <w:bottom w:val="single" w:sz="4" w:space="0" w:color="auto"/>
            </w:tcBorders>
            <w:vAlign w:val="center"/>
          </w:tcPr>
          <w:p w14:paraId="4503905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Weight increased</w:t>
            </w:r>
          </w:p>
        </w:tc>
        <w:tc>
          <w:tcPr>
            <w:tcW w:w="1743" w:type="dxa"/>
            <w:tcBorders>
              <w:bottom w:val="single" w:sz="4" w:space="0" w:color="auto"/>
            </w:tcBorders>
            <w:vAlign w:val="center"/>
          </w:tcPr>
          <w:p w14:paraId="34C6657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362.17</w:t>
            </w:r>
          </w:p>
        </w:tc>
        <w:tc>
          <w:tcPr>
            <w:tcW w:w="2074" w:type="dxa"/>
            <w:tcBorders>
              <w:bottom w:val="single" w:sz="4" w:space="0" w:color="auto"/>
            </w:tcBorders>
            <w:vAlign w:val="center"/>
          </w:tcPr>
          <w:p w14:paraId="3A2EDDE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271.63–452.71</w:t>
            </w:r>
          </w:p>
        </w:tc>
        <w:tc>
          <w:tcPr>
            <w:tcW w:w="2074" w:type="dxa"/>
            <w:tcBorders>
              <w:bottom w:val="single" w:sz="4" w:space="0" w:color="auto"/>
            </w:tcBorders>
            <w:vAlign w:val="center"/>
          </w:tcPr>
          <w:p w14:paraId="330464DA" w14:textId="77777777" w:rsidR="006D1C3F" w:rsidRDefault="00000000">
            <w:pPr>
              <w:ind w:firstLine="360"/>
              <w:jc w:val="center"/>
              <w:rPr>
                <w:rFonts w:eastAsiaTheme="minorEastAsia"/>
                <w:b w:val="0"/>
                <w:bCs w:val="0"/>
                <w:sz w:val="18"/>
                <w:szCs w:val="18"/>
              </w:rPr>
            </w:pPr>
            <w:r>
              <w:rPr>
                <w:rFonts w:eastAsiaTheme="minorEastAsia"/>
                <w:b w:val="0"/>
                <w:bCs w:val="0"/>
                <w:sz w:val="18"/>
                <w:szCs w:val="18"/>
              </w:rPr>
              <w:fldChar w:fldCharType="begin"/>
            </w:r>
            <w:r>
              <w:rPr>
                <w:rFonts w:eastAsiaTheme="minorEastAsia"/>
                <w:b w:val="0"/>
                <w:bCs w:val="0"/>
                <w:sz w:val="18"/>
                <w:szCs w:val="18"/>
              </w:rPr>
              <w:instrText xml:space="preserve"> ADDIN ZOTERO_ITEM CSL_CITATION {"citationID":"6NuZ2wUB","properties":{"formattedCitation":"(36)","plainCitation":"(36)","noteIndex":0},"citationItems":[{"id":434,"uris":["http://zotero.org/users/local/eBJtW3GH/items/AGZAASJS"],"itemData":{"id":434,"type":"article-journal","abstract":"BACKGROUND: This study aimed to analyze the cost-effectiveness of crizotinib versus ceritinib or alectinib as first-line-targeted drug therapy for anaplastic lymphoma kinase-positive advanced non-small cell lung cancer in China.\nMETHODS: The Markov model was used to simulate the medical cost and quality-adjusted life years (QALYs) of patients using crizotinib, ceritinib, or alectinib over a 10-year period by establishing three health states: progression-free, post-progression, and death. Randomized controlled clinical data were collected from the open-label, randomized phase 3 trials ALEX and ASCEND-4. Cost and utility values were derived from local charges and literature. Sensitivity analyses included one-way and probabilistic sensitivity analyses.\nRESULTS: Compared with patients who used crizotinib as first-line treatment, patients in the ceritinib and alectinib groups yielded an additional 1.32 and 3.30 QALYs with an incremental cost of $84,728.20 and $339,114.36, respectively. Thus, the incremental cost-effectiveness ratio (ICER) was $64,398.83 and $102,675.74 per QALY in the ceritinib and alectinib groups, respectively. Alectinib was estimated to be more effective (4.68 QALY) and more costly ($432,063.06) with an ICER of $128,019.42 per QALY compared with ceritinib (2.69 QALY and $177,676.90). Results were robust to deterministic and probabilistic sensitivity analyses.\nCONCLUSION: As a first-line treatment regimen, ceritinib and alectinib can extend the survival time of patients compared with crizotinib, but the medical cost also increases accordingly. According to the World Health Organization's three-percent GDP measurement, first-line treatment with Crizotinib is the most cost-effective.","container-title":"Cancer Management and Research","DOI":"10.2147/CMAR.S223441","ISSN":"1179-1322","journalAbbreviation":"Cancer Manag Res","language":"en","note":"PMID: 31749634\nPMCID: PMC6818540","page":"9195-9202","source":"PubMed","title":"Cost-Effectiveness Analysis Of Ceritinib And Alectinib Versus Crizotinib In The Treatment Of Anaplastic Lymphoma Kinase-Positive Advanced Non-Small Cell Lung Cancer","volume":"11","author":[{"family":"Liu","given":"Maobai"},{"family":"Zhang","given":"Longfeng"},{"family":"Huang","given":"Qishu"},{"family":"Li","given":"Na"},{"family":"Zheng","given":"Bin"},{"family":"Cai","given":"Hongfu"}],"issued":{"date-parts":[["2019"]]}}}],"schema":"https://github.com/citation-style-language/schema/raw/master/csl-citation.json"} </w:instrText>
            </w:r>
            <w:r>
              <w:rPr>
                <w:rFonts w:eastAsiaTheme="minorEastAsia"/>
                <w:b w:val="0"/>
                <w:bCs w:val="0"/>
                <w:sz w:val="18"/>
                <w:szCs w:val="18"/>
              </w:rPr>
              <w:fldChar w:fldCharType="separate"/>
            </w:r>
            <w:r>
              <w:rPr>
                <w:b w:val="0"/>
                <w:bCs w:val="0"/>
                <w:sz w:val="18"/>
              </w:rPr>
              <w:t>[36]</w:t>
            </w:r>
            <w:r>
              <w:rPr>
                <w:rFonts w:eastAsiaTheme="minorEastAsia"/>
                <w:b w:val="0"/>
                <w:bCs w:val="0"/>
                <w:sz w:val="18"/>
                <w:szCs w:val="18"/>
              </w:rPr>
              <w:fldChar w:fldCharType="end"/>
            </w:r>
          </w:p>
        </w:tc>
      </w:tr>
    </w:tbl>
    <w:p w14:paraId="2231FBC0" w14:textId="77777777" w:rsidR="006D1C3F" w:rsidRDefault="00000000">
      <w:pPr>
        <w:keepNext/>
        <w:keepLines/>
        <w:pageBreakBefore/>
        <w:spacing w:before="340" w:after="156" w:line="240" w:lineRule="auto"/>
        <w:ind w:firstLineChars="0" w:firstLine="0"/>
        <w:outlineLvl w:val="0"/>
        <w:rPr>
          <w:rFonts w:eastAsia="Times New Roman" w:cstheme="minorBidi"/>
          <w:b w:val="0"/>
          <w:bCs w:val="0"/>
          <w:kern w:val="44"/>
        </w:rPr>
      </w:pPr>
      <w:bookmarkStart w:id="19" w:name="_Toc225844810"/>
      <w:r>
        <w:rPr>
          <w:rFonts w:eastAsia="Times New Roman" w:cstheme="minorBidi" w:hint="eastAsia"/>
          <w:b w:val="0"/>
          <w:bCs w:val="0"/>
          <w:kern w:val="44"/>
        </w:rPr>
        <w:lastRenderedPageBreak/>
        <w:t>Table S</w:t>
      </w:r>
      <w:r>
        <w:rPr>
          <w:rFonts w:eastAsiaTheme="minorEastAsia" w:cstheme="minorBidi" w:hint="eastAsia"/>
          <w:b w:val="0"/>
          <w:bCs w:val="0"/>
          <w:kern w:val="44"/>
        </w:rPr>
        <w:t>6</w:t>
      </w:r>
      <w:r>
        <w:rPr>
          <w:rFonts w:eastAsia="Times New Roman" w:cstheme="minorBidi"/>
          <w:b w:val="0"/>
          <w:bCs w:val="0"/>
          <w:kern w:val="44"/>
        </w:rPr>
        <w:t xml:space="preserve"> Results of Total Costs, QALY</w:t>
      </w:r>
      <w:r>
        <w:rPr>
          <w:rFonts w:eastAsiaTheme="minorEastAsia" w:cstheme="minorBidi" w:hint="eastAsia"/>
          <w:b w:val="0"/>
          <w:bCs w:val="0"/>
          <w:kern w:val="44"/>
        </w:rPr>
        <w:t xml:space="preserve"> </w:t>
      </w:r>
      <w:r>
        <w:rPr>
          <w:rFonts w:eastAsia="Times New Roman" w:cstheme="minorBidi"/>
          <w:b w:val="0"/>
          <w:bCs w:val="0"/>
          <w:kern w:val="44"/>
        </w:rPr>
        <w:t>and NMB for Sequential Pathways</w:t>
      </w:r>
      <w:bookmarkEnd w:id="19"/>
    </w:p>
    <w:tbl>
      <w:tblPr>
        <w:tblW w:w="8422" w:type="dxa"/>
        <w:jc w:val="center"/>
        <w:tblLayout w:type="fixed"/>
        <w:tblCellMar>
          <w:top w:w="32" w:type="dxa"/>
          <w:left w:w="64" w:type="dxa"/>
          <w:bottom w:w="32" w:type="dxa"/>
          <w:right w:w="64" w:type="dxa"/>
        </w:tblCellMar>
        <w:tblLook w:val="04A0" w:firstRow="1" w:lastRow="0" w:firstColumn="1" w:lastColumn="0" w:noHBand="0" w:noVBand="1"/>
      </w:tblPr>
      <w:tblGrid>
        <w:gridCol w:w="1413"/>
        <w:gridCol w:w="2835"/>
        <w:gridCol w:w="1701"/>
        <w:gridCol w:w="2473"/>
      </w:tblGrid>
      <w:tr w:rsidR="006D1C3F" w14:paraId="331A92CF" w14:textId="77777777">
        <w:trPr>
          <w:tblHeade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7293AB72" w14:textId="77777777" w:rsidR="006D1C3F" w:rsidRDefault="00000000">
            <w:pPr>
              <w:snapToGrid w:val="0"/>
              <w:ind w:firstLineChars="0" w:firstLine="0"/>
              <w:jc w:val="center"/>
              <w:rPr>
                <w:rFonts w:cstheme="minorBidi"/>
                <w:bCs w:val="0"/>
                <w:sz w:val="18"/>
                <w:szCs w:val="18"/>
              </w:rPr>
            </w:pPr>
            <w:r>
              <w:rPr>
                <w:rFonts w:cstheme="minorBidi" w:hint="eastAsia"/>
                <w:bCs w:val="0"/>
                <w:sz w:val="18"/>
                <w:szCs w:val="18"/>
              </w:rPr>
              <w:t>Sequential path</w:t>
            </w:r>
          </w:p>
        </w:tc>
        <w:tc>
          <w:tcPr>
            <w:tcW w:w="2835" w:type="dxa"/>
            <w:tcBorders>
              <w:top w:val="single" w:sz="4" w:space="0" w:color="auto"/>
              <w:left w:val="single" w:sz="4" w:space="0" w:color="auto"/>
              <w:bottom w:val="single" w:sz="4" w:space="0" w:color="auto"/>
              <w:right w:val="single" w:sz="4" w:space="0" w:color="auto"/>
            </w:tcBorders>
            <w:noWrap/>
            <w:vAlign w:val="center"/>
          </w:tcPr>
          <w:p w14:paraId="2625252F" w14:textId="77777777" w:rsidR="006D1C3F" w:rsidRDefault="00000000">
            <w:pPr>
              <w:snapToGrid w:val="0"/>
              <w:ind w:firstLineChars="0" w:firstLine="0"/>
              <w:jc w:val="center"/>
              <w:rPr>
                <w:rFonts w:cstheme="minorBidi"/>
                <w:bCs w:val="0"/>
                <w:sz w:val="18"/>
                <w:szCs w:val="18"/>
              </w:rPr>
            </w:pPr>
            <w:r>
              <w:rPr>
                <w:rFonts w:cstheme="minorBidi" w:hint="eastAsia"/>
                <w:bCs w:val="0"/>
                <w:sz w:val="18"/>
                <w:szCs w:val="18"/>
              </w:rPr>
              <w:t xml:space="preserve">Total </w:t>
            </w:r>
            <w:proofErr w:type="gramStart"/>
            <w:r>
              <w:rPr>
                <w:rFonts w:cstheme="minorBidi" w:hint="eastAsia"/>
                <w:bCs w:val="0"/>
                <w:sz w:val="18"/>
                <w:szCs w:val="18"/>
              </w:rPr>
              <w:t>Costs</w:t>
            </w:r>
            <w:r>
              <w:rPr>
                <w:rFonts w:cstheme="minorBidi" w:hint="eastAsia"/>
                <w:sz w:val="18"/>
                <w:szCs w:val="18"/>
              </w:rPr>
              <w:t>(</w:t>
            </w:r>
            <w:proofErr w:type="gramEnd"/>
            <w:r>
              <w:rPr>
                <w:rFonts w:cstheme="minorBidi" w:hint="eastAsia"/>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A103DC8" w14:textId="77777777" w:rsidR="006D1C3F" w:rsidRDefault="00000000">
            <w:pPr>
              <w:snapToGrid w:val="0"/>
              <w:ind w:firstLineChars="0" w:firstLine="0"/>
              <w:jc w:val="center"/>
              <w:rPr>
                <w:rFonts w:cstheme="minorBidi"/>
                <w:bCs w:val="0"/>
                <w:sz w:val="18"/>
                <w:szCs w:val="18"/>
              </w:rPr>
            </w:pPr>
            <w:bookmarkStart w:id="20" w:name="_Hlk209892846"/>
            <w:r>
              <w:rPr>
                <w:rFonts w:cstheme="minorBidi" w:hint="eastAsia"/>
                <w:bCs w:val="0"/>
                <w:sz w:val="18"/>
                <w:szCs w:val="18"/>
              </w:rPr>
              <w:t>QALY</w:t>
            </w:r>
            <w:bookmarkEnd w:id="20"/>
          </w:p>
        </w:tc>
        <w:tc>
          <w:tcPr>
            <w:tcW w:w="2473"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C1F2D52" w14:textId="77777777" w:rsidR="006D1C3F" w:rsidRDefault="00000000">
            <w:pPr>
              <w:snapToGrid w:val="0"/>
              <w:ind w:firstLineChars="0" w:firstLine="0"/>
              <w:jc w:val="center"/>
              <w:rPr>
                <w:rFonts w:cstheme="minorBidi"/>
                <w:bCs w:val="0"/>
                <w:sz w:val="18"/>
                <w:szCs w:val="18"/>
              </w:rPr>
            </w:pPr>
            <w:proofErr w:type="gramStart"/>
            <w:r>
              <w:rPr>
                <w:rFonts w:cstheme="minorBidi" w:hint="eastAsia"/>
                <w:bCs w:val="0"/>
                <w:sz w:val="18"/>
                <w:szCs w:val="18"/>
              </w:rPr>
              <w:t>NMB</w:t>
            </w:r>
            <w:r>
              <w:rPr>
                <w:rFonts w:cstheme="minorBidi" w:hint="eastAsia"/>
                <w:sz w:val="18"/>
                <w:szCs w:val="18"/>
              </w:rPr>
              <w:t>(</w:t>
            </w:r>
            <w:proofErr w:type="gramEnd"/>
            <w:r>
              <w:rPr>
                <w:rFonts w:cstheme="minorBidi" w:hint="eastAsia"/>
                <w:sz w:val="18"/>
                <w:szCs w:val="18"/>
              </w:rPr>
              <w:t>$)</w:t>
            </w:r>
          </w:p>
        </w:tc>
      </w:tr>
      <w:tr w:rsidR="006D1C3F" w14:paraId="6D12EE5C"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1D7ED7E2"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Ale+Ens+BSC</w:t>
            </w:r>
            <w:proofErr w:type="spellEnd"/>
          </w:p>
        </w:tc>
        <w:tc>
          <w:tcPr>
            <w:tcW w:w="2835" w:type="dxa"/>
            <w:tcBorders>
              <w:top w:val="single" w:sz="4" w:space="0" w:color="auto"/>
              <w:left w:val="nil"/>
              <w:bottom w:val="single" w:sz="4" w:space="0" w:color="auto"/>
              <w:right w:val="nil"/>
            </w:tcBorders>
            <w:noWrap/>
            <w:vAlign w:val="center"/>
          </w:tcPr>
          <w:p w14:paraId="262CB3E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155960.3(90941.1</w:t>
            </w:r>
            <w:r>
              <w:rPr>
                <w:rFonts w:cstheme="minorBidi" w:hint="eastAsia"/>
                <w:b w:val="0"/>
                <w:bCs w:val="0"/>
                <w:sz w:val="18"/>
                <w:szCs w:val="18"/>
              </w:rPr>
              <w:t>～</w:t>
            </w:r>
            <w:r>
              <w:rPr>
                <w:rFonts w:cstheme="minorBidi" w:hint="eastAsia"/>
                <w:b w:val="0"/>
                <w:bCs w:val="0"/>
                <w:sz w:val="18"/>
                <w:szCs w:val="18"/>
              </w:rPr>
              <w:t>330260.4)</w:t>
            </w:r>
          </w:p>
        </w:tc>
        <w:tc>
          <w:tcPr>
            <w:tcW w:w="1701" w:type="dxa"/>
            <w:tcBorders>
              <w:top w:val="single" w:sz="4" w:space="0" w:color="auto"/>
              <w:left w:val="single" w:sz="4" w:space="0" w:color="auto"/>
              <w:bottom w:val="single" w:sz="4" w:space="0" w:color="auto"/>
              <w:right w:val="single" w:sz="4" w:space="0" w:color="auto"/>
            </w:tcBorders>
            <w:vAlign w:val="center"/>
          </w:tcPr>
          <w:p w14:paraId="1BFF2EC4"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5.2(0.7</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27B1DA5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-20678.0(-72730.0</w:t>
            </w:r>
            <w:r>
              <w:rPr>
                <w:rFonts w:cstheme="minorBidi" w:hint="eastAsia"/>
                <w:b w:val="0"/>
                <w:bCs w:val="0"/>
                <w:sz w:val="18"/>
                <w:szCs w:val="18"/>
              </w:rPr>
              <w:t>～</w:t>
            </w:r>
            <w:r>
              <w:rPr>
                <w:rFonts w:cstheme="minorBidi" w:hint="eastAsia"/>
                <w:b w:val="0"/>
                <w:bCs w:val="0"/>
                <w:sz w:val="18"/>
                <w:szCs w:val="18"/>
              </w:rPr>
              <w:t>5343.8)</w:t>
            </w:r>
          </w:p>
        </w:tc>
      </w:tr>
      <w:tr w:rsidR="006D1C3F" w14:paraId="641075E4"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0A4F31B1"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Ens+Ale+BSC</w:t>
            </w:r>
            <w:proofErr w:type="spellEnd"/>
          </w:p>
        </w:tc>
        <w:tc>
          <w:tcPr>
            <w:tcW w:w="2835" w:type="dxa"/>
            <w:tcBorders>
              <w:top w:val="single" w:sz="4" w:space="0" w:color="auto"/>
              <w:left w:val="nil"/>
              <w:bottom w:val="single" w:sz="4" w:space="0" w:color="auto"/>
              <w:right w:val="nil"/>
            </w:tcBorders>
            <w:noWrap/>
            <w:vAlign w:val="center"/>
          </w:tcPr>
          <w:p w14:paraId="1B3206EE"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129345.9(77365.5</w:t>
            </w:r>
            <w:r>
              <w:rPr>
                <w:rFonts w:cstheme="minorBidi" w:hint="eastAsia"/>
                <w:b w:val="0"/>
                <w:bCs w:val="0"/>
                <w:sz w:val="18"/>
                <w:szCs w:val="18"/>
              </w:rPr>
              <w:t>～</w:t>
            </w:r>
            <w:r>
              <w:rPr>
                <w:rFonts w:cstheme="minorBidi" w:hint="eastAsia"/>
                <w:b w:val="0"/>
                <w:bCs w:val="0"/>
                <w:sz w:val="18"/>
                <w:szCs w:val="18"/>
              </w:rPr>
              <w:t>308761.4)</w:t>
            </w:r>
          </w:p>
        </w:tc>
        <w:tc>
          <w:tcPr>
            <w:tcW w:w="1701" w:type="dxa"/>
            <w:tcBorders>
              <w:top w:val="single" w:sz="4" w:space="0" w:color="auto"/>
              <w:left w:val="single" w:sz="4" w:space="0" w:color="auto"/>
              <w:bottom w:val="single" w:sz="4" w:space="0" w:color="auto"/>
              <w:right w:val="single" w:sz="4" w:space="0" w:color="auto"/>
            </w:tcBorders>
            <w:vAlign w:val="center"/>
          </w:tcPr>
          <w:p w14:paraId="694091B4"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4.9(0.6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6D229DE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-1868.3(-61756.0</w:t>
            </w:r>
            <w:r>
              <w:rPr>
                <w:rFonts w:cstheme="minorBidi" w:hint="eastAsia"/>
                <w:b w:val="0"/>
                <w:bCs w:val="0"/>
                <w:sz w:val="18"/>
                <w:szCs w:val="18"/>
              </w:rPr>
              <w:t>～</w:t>
            </w:r>
            <w:r>
              <w:rPr>
                <w:rFonts w:cstheme="minorBidi" w:hint="eastAsia"/>
                <w:b w:val="0"/>
                <w:bCs w:val="0"/>
                <w:sz w:val="18"/>
                <w:szCs w:val="18"/>
              </w:rPr>
              <w:t>26842.8)</w:t>
            </w:r>
          </w:p>
        </w:tc>
      </w:tr>
      <w:tr w:rsidR="006D1C3F" w14:paraId="706649C7"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6687970C"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Lor+Ale+BSC</w:t>
            </w:r>
            <w:proofErr w:type="spellEnd"/>
          </w:p>
        </w:tc>
        <w:tc>
          <w:tcPr>
            <w:tcW w:w="2835" w:type="dxa"/>
            <w:tcBorders>
              <w:top w:val="single" w:sz="4" w:space="0" w:color="auto"/>
              <w:left w:val="nil"/>
              <w:bottom w:val="single" w:sz="4" w:space="0" w:color="auto"/>
              <w:right w:val="nil"/>
            </w:tcBorders>
            <w:noWrap/>
            <w:vAlign w:val="center"/>
          </w:tcPr>
          <w:p w14:paraId="7ABAA4C9"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300331.8(149654.4</w:t>
            </w:r>
            <w:r>
              <w:rPr>
                <w:rFonts w:cstheme="minorBidi" w:hint="eastAsia"/>
                <w:b w:val="0"/>
                <w:bCs w:val="0"/>
                <w:sz w:val="18"/>
                <w:szCs w:val="18"/>
              </w:rPr>
              <w:t>～</w:t>
            </w:r>
            <w:r>
              <w:rPr>
                <w:rFonts w:cstheme="minorBidi" w:hint="eastAsia"/>
                <w:b w:val="0"/>
                <w:bCs w:val="0"/>
                <w:sz w:val="18"/>
                <w:szCs w:val="18"/>
              </w:rPr>
              <w:t>335614.0)</w:t>
            </w:r>
          </w:p>
        </w:tc>
        <w:tc>
          <w:tcPr>
            <w:tcW w:w="1701" w:type="dxa"/>
            <w:tcBorders>
              <w:top w:val="single" w:sz="4" w:space="0" w:color="auto"/>
              <w:left w:val="single" w:sz="4" w:space="0" w:color="auto"/>
              <w:bottom w:val="single" w:sz="4" w:space="0" w:color="auto"/>
              <w:right w:val="single" w:sz="4" w:space="0" w:color="auto"/>
            </w:tcBorders>
            <w:vAlign w:val="center"/>
          </w:tcPr>
          <w:p w14:paraId="6550B5C4"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8.4(0.7</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645A1F0E"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-81798.8(-131443.3</w:t>
            </w:r>
            <w:r>
              <w:rPr>
                <w:rFonts w:cstheme="minorBidi" w:hint="eastAsia"/>
                <w:b w:val="0"/>
                <w:bCs w:val="0"/>
                <w:sz w:val="18"/>
                <w:szCs w:val="18"/>
              </w:rPr>
              <w:t>～</w:t>
            </w:r>
            <w:r>
              <w:rPr>
                <w:rFonts w:cstheme="minorBidi" w:hint="eastAsia"/>
                <w:b w:val="0"/>
                <w:bCs w:val="0"/>
                <w:sz w:val="18"/>
                <w:szCs w:val="18"/>
              </w:rPr>
              <w:t>-9.8)</w:t>
            </w:r>
          </w:p>
        </w:tc>
      </w:tr>
      <w:tr w:rsidR="006D1C3F" w14:paraId="44D37FD3"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1F295480"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Env+Ens+BSC</w:t>
            </w:r>
            <w:proofErr w:type="spellEnd"/>
          </w:p>
        </w:tc>
        <w:tc>
          <w:tcPr>
            <w:tcW w:w="2835" w:type="dxa"/>
            <w:tcBorders>
              <w:top w:val="single" w:sz="4" w:space="0" w:color="auto"/>
              <w:left w:val="nil"/>
              <w:bottom w:val="single" w:sz="4" w:space="0" w:color="auto"/>
              <w:right w:val="nil"/>
            </w:tcBorders>
            <w:noWrap/>
            <w:vAlign w:val="center"/>
          </w:tcPr>
          <w:p w14:paraId="0F9B7A0F"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87251.5(23648.5</w:t>
            </w:r>
            <w:r>
              <w:rPr>
                <w:rFonts w:cstheme="minorBidi" w:hint="eastAsia"/>
                <w:b w:val="0"/>
                <w:bCs w:val="0"/>
                <w:sz w:val="18"/>
                <w:szCs w:val="18"/>
              </w:rPr>
              <w:t>～</w:t>
            </w:r>
            <w:r>
              <w:rPr>
                <w:rFonts w:cstheme="minorBidi" w:hint="eastAsia"/>
                <w:b w:val="0"/>
                <w:bCs w:val="0"/>
                <w:sz w:val="18"/>
                <w:szCs w:val="18"/>
              </w:rPr>
              <w:t>277979.7)</w:t>
            </w:r>
          </w:p>
        </w:tc>
        <w:tc>
          <w:tcPr>
            <w:tcW w:w="1701" w:type="dxa"/>
            <w:tcBorders>
              <w:top w:val="single" w:sz="4" w:space="0" w:color="auto"/>
              <w:left w:val="single" w:sz="4" w:space="0" w:color="auto"/>
              <w:bottom w:val="single" w:sz="4" w:space="0" w:color="auto"/>
              <w:right w:val="single" w:sz="4" w:space="0" w:color="auto"/>
            </w:tcBorders>
            <w:vAlign w:val="center"/>
          </w:tcPr>
          <w:p w14:paraId="5AA656D5"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3.6(0.8</w:t>
            </w:r>
            <w:r>
              <w:rPr>
                <w:rFonts w:cstheme="minorBidi" w:hint="eastAsia"/>
                <w:b w:val="0"/>
                <w:bCs w:val="0"/>
                <w:sz w:val="18"/>
                <w:szCs w:val="18"/>
              </w:rPr>
              <w:t>～</w:t>
            </w:r>
            <w:r>
              <w:rPr>
                <w:rFonts w:cstheme="minorBidi" w:hint="eastAsia"/>
                <w:b w:val="0"/>
                <w:bCs w:val="0"/>
                <w:sz w:val="18"/>
                <w:szCs w:val="18"/>
              </w:rPr>
              <w:t>11.5)</w:t>
            </w:r>
          </w:p>
        </w:tc>
        <w:tc>
          <w:tcPr>
            <w:tcW w:w="2473" w:type="dxa"/>
            <w:tcBorders>
              <w:top w:val="single" w:sz="4" w:space="0" w:color="auto"/>
              <w:left w:val="nil"/>
              <w:bottom w:val="single" w:sz="4" w:space="0" w:color="auto"/>
              <w:right w:val="single" w:sz="4" w:space="0" w:color="auto"/>
            </w:tcBorders>
            <w:vAlign w:val="bottom"/>
          </w:tcPr>
          <w:p w14:paraId="3A5E0AD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6405.5(-2835.8</w:t>
            </w:r>
            <w:r>
              <w:rPr>
                <w:rFonts w:cstheme="minorBidi" w:hint="eastAsia"/>
                <w:b w:val="0"/>
                <w:bCs w:val="0"/>
                <w:sz w:val="18"/>
                <w:szCs w:val="18"/>
              </w:rPr>
              <w:t>～</w:t>
            </w:r>
            <w:r>
              <w:rPr>
                <w:rFonts w:cstheme="minorBidi" w:hint="eastAsia"/>
                <w:b w:val="0"/>
                <w:bCs w:val="0"/>
                <w:sz w:val="18"/>
                <w:szCs w:val="18"/>
              </w:rPr>
              <w:t>21202.3)</w:t>
            </w:r>
          </w:p>
        </w:tc>
      </w:tr>
      <w:tr w:rsidR="006D1C3F" w14:paraId="19B476A1"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00DB9CB2"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Cer+Ale+BSC</w:t>
            </w:r>
            <w:proofErr w:type="spellEnd"/>
          </w:p>
        </w:tc>
        <w:tc>
          <w:tcPr>
            <w:tcW w:w="2835" w:type="dxa"/>
            <w:tcBorders>
              <w:top w:val="single" w:sz="4" w:space="0" w:color="auto"/>
              <w:left w:val="nil"/>
              <w:bottom w:val="single" w:sz="4" w:space="0" w:color="auto"/>
              <w:right w:val="nil"/>
            </w:tcBorders>
            <w:noWrap/>
            <w:vAlign w:val="center"/>
          </w:tcPr>
          <w:p w14:paraId="04170061"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92614.7(85784.6</w:t>
            </w:r>
            <w:r>
              <w:rPr>
                <w:rFonts w:cstheme="minorBidi" w:hint="eastAsia"/>
                <w:b w:val="0"/>
                <w:bCs w:val="0"/>
                <w:sz w:val="18"/>
                <w:szCs w:val="18"/>
              </w:rPr>
              <w:t>～</w:t>
            </w:r>
            <w:r>
              <w:rPr>
                <w:rFonts w:cstheme="minorBidi" w:hint="eastAsia"/>
                <w:b w:val="0"/>
                <w:bCs w:val="0"/>
                <w:sz w:val="18"/>
                <w:szCs w:val="18"/>
              </w:rPr>
              <w:t>238857.1)</w:t>
            </w:r>
          </w:p>
        </w:tc>
        <w:tc>
          <w:tcPr>
            <w:tcW w:w="1701" w:type="dxa"/>
            <w:tcBorders>
              <w:top w:val="single" w:sz="4" w:space="0" w:color="auto"/>
              <w:left w:val="single" w:sz="4" w:space="0" w:color="auto"/>
              <w:bottom w:val="single" w:sz="4" w:space="0" w:color="auto"/>
              <w:right w:val="single" w:sz="4" w:space="0" w:color="auto"/>
            </w:tcBorders>
            <w:vAlign w:val="center"/>
          </w:tcPr>
          <w:p w14:paraId="0176470F"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3.3(0.6</w:t>
            </w:r>
            <w:r>
              <w:rPr>
                <w:rFonts w:cstheme="minorBidi" w:hint="eastAsia"/>
                <w:b w:val="0"/>
                <w:bCs w:val="0"/>
                <w:sz w:val="18"/>
                <w:szCs w:val="18"/>
              </w:rPr>
              <w:t>～</w:t>
            </w:r>
            <w:r>
              <w:rPr>
                <w:rFonts w:cstheme="minorBidi" w:hint="eastAsia"/>
                <w:b w:val="0"/>
                <w:bCs w:val="0"/>
                <w:sz w:val="18"/>
                <w:szCs w:val="18"/>
              </w:rPr>
              <w:t>9.7)</w:t>
            </w:r>
          </w:p>
        </w:tc>
        <w:tc>
          <w:tcPr>
            <w:tcW w:w="2473" w:type="dxa"/>
            <w:tcBorders>
              <w:top w:val="single" w:sz="4" w:space="0" w:color="auto"/>
              <w:left w:val="nil"/>
              <w:bottom w:val="single" w:sz="4" w:space="0" w:color="auto"/>
              <w:right w:val="single" w:sz="4" w:space="0" w:color="auto"/>
            </w:tcBorders>
            <w:vAlign w:val="bottom"/>
          </w:tcPr>
          <w:p w14:paraId="3190C3CE"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-6762.5(-70175.1</w:t>
            </w:r>
            <w:r>
              <w:rPr>
                <w:rFonts w:cstheme="minorBidi" w:hint="eastAsia"/>
                <w:b w:val="0"/>
                <w:bCs w:val="0"/>
                <w:sz w:val="18"/>
                <w:szCs w:val="18"/>
              </w:rPr>
              <w:t>～</w:t>
            </w:r>
            <w:r>
              <w:rPr>
                <w:rFonts w:cstheme="minorBidi" w:hint="eastAsia"/>
                <w:b w:val="0"/>
                <w:bCs w:val="0"/>
                <w:sz w:val="18"/>
                <w:szCs w:val="18"/>
              </w:rPr>
              <w:t>13496.5)</w:t>
            </w:r>
          </w:p>
        </w:tc>
      </w:tr>
      <w:tr w:rsidR="006D1C3F" w14:paraId="2E4AC02A"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3B37C243"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Cer+Ens+BSC</w:t>
            </w:r>
            <w:proofErr w:type="spellEnd"/>
          </w:p>
        </w:tc>
        <w:tc>
          <w:tcPr>
            <w:tcW w:w="2835" w:type="dxa"/>
            <w:tcBorders>
              <w:top w:val="single" w:sz="4" w:space="0" w:color="auto"/>
              <w:left w:val="nil"/>
              <w:bottom w:val="single" w:sz="4" w:space="0" w:color="auto"/>
              <w:right w:val="nil"/>
            </w:tcBorders>
            <w:noWrap/>
            <w:vAlign w:val="center"/>
          </w:tcPr>
          <w:p w14:paraId="6524564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75054.3(18574.1</w:t>
            </w:r>
            <w:r>
              <w:rPr>
                <w:rFonts w:cstheme="minorBidi" w:hint="eastAsia"/>
                <w:b w:val="0"/>
                <w:bCs w:val="0"/>
                <w:sz w:val="18"/>
                <w:szCs w:val="18"/>
              </w:rPr>
              <w:t>～</w:t>
            </w:r>
            <w:r>
              <w:rPr>
                <w:rFonts w:cstheme="minorBidi" w:hint="eastAsia"/>
                <w:b w:val="0"/>
                <w:bCs w:val="0"/>
                <w:sz w:val="18"/>
                <w:szCs w:val="18"/>
              </w:rPr>
              <w:t>230338.5)</w:t>
            </w:r>
          </w:p>
        </w:tc>
        <w:tc>
          <w:tcPr>
            <w:tcW w:w="1701" w:type="dxa"/>
            <w:tcBorders>
              <w:top w:val="single" w:sz="4" w:space="0" w:color="auto"/>
              <w:left w:val="single" w:sz="4" w:space="0" w:color="auto"/>
              <w:bottom w:val="single" w:sz="4" w:space="0" w:color="auto"/>
              <w:right w:val="single" w:sz="4" w:space="0" w:color="auto"/>
            </w:tcBorders>
            <w:vAlign w:val="center"/>
          </w:tcPr>
          <w:p w14:paraId="3E0E99F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3.1(0.6</w:t>
            </w:r>
            <w:r>
              <w:rPr>
                <w:rFonts w:cstheme="minorBidi" w:hint="eastAsia"/>
                <w:b w:val="0"/>
                <w:bCs w:val="0"/>
                <w:sz w:val="18"/>
                <w:szCs w:val="18"/>
              </w:rPr>
              <w:t>～</w:t>
            </w:r>
            <w:r>
              <w:rPr>
                <w:rFonts w:cstheme="minorBidi" w:hint="eastAsia"/>
                <w:b w:val="0"/>
                <w:bCs w:val="0"/>
                <w:sz w:val="18"/>
                <w:szCs w:val="18"/>
              </w:rPr>
              <w:t>9.5)</w:t>
            </w:r>
          </w:p>
        </w:tc>
        <w:tc>
          <w:tcPr>
            <w:tcW w:w="2473" w:type="dxa"/>
            <w:tcBorders>
              <w:top w:val="single" w:sz="4" w:space="0" w:color="auto"/>
              <w:left w:val="nil"/>
              <w:bottom w:val="single" w:sz="4" w:space="0" w:color="auto"/>
              <w:right w:val="single" w:sz="4" w:space="0" w:color="auto"/>
            </w:tcBorders>
            <w:vAlign w:val="bottom"/>
          </w:tcPr>
          <w:p w14:paraId="51366197"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5594.8(-2964.6</w:t>
            </w:r>
            <w:r>
              <w:rPr>
                <w:rFonts w:cstheme="minorBidi" w:hint="eastAsia"/>
                <w:b w:val="0"/>
                <w:bCs w:val="0"/>
                <w:sz w:val="18"/>
                <w:szCs w:val="18"/>
              </w:rPr>
              <w:t>～</w:t>
            </w:r>
            <w:r>
              <w:rPr>
                <w:rFonts w:cstheme="minorBidi" w:hint="eastAsia"/>
                <w:b w:val="0"/>
                <w:bCs w:val="0"/>
                <w:sz w:val="18"/>
                <w:szCs w:val="18"/>
              </w:rPr>
              <w:t>16811.9)</w:t>
            </w:r>
          </w:p>
        </w:tc>
      </w:tr>
      <w:tr w:rsidR="006D1C3F" w14:paraId="198E4539"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04BACABA"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Bri+Ale+BSC</w:t>
            </w:r>
            <w:proofErr w:type="spellEnd"/>
          </w:p>
        </w:tc>
        <w:tc>
          <w:tcPr>
            <w:tcW w:w="2835" w:type="dxa"/>
            <w:tcBorders>
              <w:top w:val="single" w:sz="4" w:space="0" w:color="auto"/>
              <w:left w:val="nil"/>
              <w:bottom w:val="single" w:sz="4" w:space="0" w:color="auto"/>
              <w:right w:val="nil"/>
            </w:tcBorders>
            <w:noWrap/>
            <w:vAlign w:val="center"/>
          </w:tcPr>
          <w:p w14:paraId="0CFFEF48"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131027.5(84178.0</w:t>
            </w:r>
            <w:r>
              <w:rPr>
                <w:rFonts w:cstheme="minorBidi" w:hint="eastAsia"/>
                <w:b w:val="0"/>
                <w:bCs w:val="0"/>
                <w:sz w:val="18"/>
                <w:szCs w:val="18"/>
              </w:rPr>
              <w:t>～</w:t>
            </w:r>
            <w:r>
              <w:rPr>
                <w:rFonts w:cstheme="minorBidi" w:hint="eastAsia"/>
                <w:b w:val="0"/>
                <w:bCs w:val="0"/>
                <w:sz w:val="18"/>
                <w:szCs w:val="18"/>
              </w:rPr>
              <w:t>313725.0)</w:t>
            </w:r>
          </w:p>
        </w:tc>
        <w:tc>
          <w:tcPr>
            <w:tcW w:w="1701" w:type="dxa"/>
            <w:tcBorders>
              <w:top w:val="single" w:sz="4" w:space="0" w:color="auto"/>
              <w:left w:val="single" w:sz="4" w:space="0" w:color="auto"/>
              <w:bottom w:val="single" w:sz="4" w:space="0" w:color="auto"/>
              <w:right w:val="single" w:sz="4" w:space="0" w:color="auto"/>
            </w:tcBorders>
            <w:vAlign w:val="center"/>
          </w:tcPr>
          <w:p w14:paraId="518B48F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4.9(0.7</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677BF5B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-3549.9(-65966.9</w:t>
            </w:r>
            <w:r>
              <w:rPr>
                <w:rFonts w:cstheme="minorBidi" w:hint="eastAsia"/>
                <w:b w:val="0"/>
                <w:bCs w:val="0"/>
                <w:sz w:val="18"/>
                <w:szCs w:val="18"/>
              </w:rPr>
              <w:t>～</w:t>
            </w:r>
            <w:r>
              <w:rPr>
                <w:rFonts w:cstheme="minorBidi" w:hint="eastAsia"/>
                <w:b w:val="0"/>
                <w:bCs w:val="0"/>
                <w:sz w:val="18"/>
                <w:szCs w:val="18"/>
              </w:rPr>
              <w:t>21879.2)</w:t>
            </w:r>
          </w:p>
        </w:tc>
      </w:tr>
      <w:tr w:rsidR="006D1C3F" w14:paraId="66735AD5"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02026A16"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Bri+Ens+BSC</w:t>
            </w:r>
            <w:proofErr w:type="spellEnd"/>
          </w:p>
        </w:tc>
        <w:tc>
          <w:tcPr>
            <w:tcW w:w="2835" w:type="dxa"/>
            <w:tcBorders>
              <w:top w:val="single" w:sz="4" w:space="0" w:color="auto"/>
              <w:left w:val="nil"/>
              <w:bottom w:val="single" w:sz="4" w:space="0" w:color="auto"/>
              <w:right w:val="nil"/>
            </w:tcBorders>
            <w:noWrap/>
            <w:vAlign w:val="center"/>
          </w:tcPr>
          <w:p w14:paraId="31AC8152"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115024.6(17972.1</w:t>
            </w:r>
            <w:r>
              <w:rPr>
                <w:rFonts w:cstheme="minorBidi" w:hint="eastAsia"/>
                <w:b w:val="0"/>
                <w:bCs w:val="0"/>
                <w:sz w:val="18"/>
                <w:szCs w:val="18"/>
              </w:rPr>
              <w:t>～</w:t>
            </w:r>
            <w:r>
              <w:rPr>
                <w:rFonts w:cstheme="minorBidi" w:hint="eastAsia"/>
                <w:b w:val="0"/>
                <w:bCs w:val="0"/>
                <w:sz w:val="18"/>
                <w:szCs w:val="18"/>
              </w:rPr>
              <w:t>313718.7)</w:t>
            </w:r>
          </w:p>
        </w:tc>
        <w:tc>
          <w:tcPr>
            <w:tcW w:w="1701" w:type="dxa"/>
            <w:tcBorders>
              <w:top w:val="single" w:sz="4" w:space="0" w:color="auto"/>
              <w:left w:val="single" w:sz="4" w:space="0" w:color="auto"/>
              <w:bottom w:val="single" w:sz="4" w:space="0" w:color="auto"/>
              <w:right w:val="single" w:sz="4" w:space="0" w:color="auto"/>
            </w:tcBorders>
            <w:vAlign w:val="center"/>
          </w:tcPr>
          <w:p w14:paraId="41E9EA87"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4.7(0.6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45D70F50"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7249.8(-2362.6</w:t>
            </w:r>
            <w:r>
              <w:rPr>
                <w:rFonts w:cstheme="minorBidi" w:hint="eastAsia"/>
                <w:b w:val="0"/>
                <w:bCs w:val="0"/>
                <w:sz w:val="18"/>
                <w:szCs w:val="18"/>
              </w:rPr>
              <w:t>～</w:t>
            </w:r>
            <w:r>
              <w:rPr>
                <w:rFonts w:cstheme="minorBidi" w:hint="eastAsia"/>
                <w:b w:val="0"/>
                <w:bCs w:val="0"/>
                <w:sz w:val="18"/>
                <w:szCs w:val="18"/>
              </w:rPr>
              <w:t>21885.5)</w:t>
            </w:r>
          </w:p>
        </w:tc>
      </w:tr>
      <w:tr w:rsidR="006D1C3F" w14:paraId="1AEC7E9C"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7270975C"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Che+Ale+BSC</w:t>
            </w:r>
            <w:proofErr w:type="spellEnd"/>
          </w:p>
        </w:tc>
        <w:tc>
          <w:tcPr>
            <w:tcW w:w="2835" w:type="dxa"/>
            <w:tcBorders>
              <w:top w:val="single" w:sz="4" w:space="0" w:color="auto"/>
              <w:left w:val="nil"/>
              <w:bottom w:val="single" w:sz="4" w:space="0" w:color="auto"/>
              <w:right w:val="nil"/>
            </w:tcBorders>
            <w:noWrap/>
            <w:vAlign w:val="center"/>
          </w:tcPr>
          <w:p w14:paraId="646B9988"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155367.2(129451.0</w:t>
            </w:r>
            <w:r>
              <w:rPr>
                <w:rFonts w:cstheme="minorBidi" w:hint="eastAsia"/>
                <w:b w:val="0"/>
                <w:bCs w:val="0"/>
                <w:sz w:val="18"/>
                <w:szCs w:val="18"/>
              </w:rPr>
              <w:t>～</w:t>
            </w:r>
            <w:r>
              <w:rPr>
                <w:rFonts w:cstheme="minorBidi" w:hint="eastAsia"/>
                <w:b w:val="0"/>
                <w:bCs w:val="0"/>
                <w:sz w:val="18"/>
                <w:szCs w:val="18"/>
              </w:rPr>
              <w:t>280579.6)</w:t>
            </w:r>
          </w:p>
        </w:tc>
        <w:tc>
          <w:tcPr>
            <w:tcW w:w="1701" w:type="dxa"/>
            <w:tcBorders>
              <w:top w:val="single" w:sz="4" w:space="0" w:color="auto"/>
              <w:left w:val="single" w:sz="4" w:space="0" w:color="auto"/>
              <w:bottom w:val="single" w:sz="4" w:space="0" w:color="auto"/>
              <w:right w:val="single" w:sz="4" w:space="0" w:color="auto"/>
            </w:tcBorders>
            <w:vAlign w:val="center"/>
          </w:tcPr>
          <w:p w14:paraId="0EEDF304"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4.9(1</w:t>
            </w:r>
            <w:r>
              <w:rPr>
                <w:rFonts w:cstheme="minorBidi" w:hint="eastAsia"/>
                <w:b w:val="0"/>
                <w:bCs w:val="0"/>
                <w:sz w:val="18"/>
                <w:szCs w:val="18"/>
              </w:rPr>
              <w:t>～</w:t>
            </w:r>
            <w:r>
              <w:rPr>
                <w:rFonts w:cstheme="minorBidi" w:hint="eastAsia"/>
                <w:b w:val="0"/>
                <w:bCs w:val="0"/>
                <w:sz w:val="18"/>
                <w:szCs w:val="18"/>
              </w:rPr>
              <w:t>11.5)</w:t>
            </w:r>
          </w:p>
        </w:tc>
        <w:tc>
          <w:tcPr>
            <w:tcW w:w="2473" w:type="dxa"/>
            <w:tcBorders>
              <w:top w:val="single" w:sz="4" w:space="0" w:color="auto"/>
              <w:left w:val="nil"/>
              <w:bottom w:val="single" w:sz="4" w:space="0" w:color="auto"/>
              <w:right w:val="single" w:sz="4" w:space="0" w:color="auto"/>
            </w:tcBorders>
            <w:vAlign w:val="bottom"/>
          </w:tcPr>
          <w:p w14:paraId="5990968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-27889.6(-103435.2</w:t>
            </w:r>
            <w:r>
              <w:rPr>
                <w:rFonts w:cstheme="minorBidi" w:hint="eastAsia"/>
                <w:b w:val="0"/>
                <w:bCs w:val="0"/>
                <w:sz w:val="18"/>
                <w:szCs w:val="18"/>
              </w:rPr>
              <w:t>～</w:t>
            </w:r>
            <w:r>
              <w:rPr>
                <w:rFonts w:cstheme="minorBidi" w:hint="eastAsia"/>
                <w:b w:val="0"/>
                <w:bCs w:val="0"/>
                <w:sz w:val="18"/>
                <w:szCs w:val="18"/>
              </w:rPr>
              <w:t>18602.4)</w:t>
            </w:r>
          </w:p>
        </w:tc>
      </w:tr>
      <w:tr w:rsidR="006D1C3F" w14:paraId="27E589C9"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7DC1E2E9"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Ale+Bri+BSC</w:t>
            </w:r>
            <w:proofErr w:type="spellEnd"/>
          </w:p>
        </w:tc>
        <w:tc>
          <w:tcPr>
            <w:tcW w:w="2835" w:type="dxa"/>
            <w:tcBorders>
              <w:top w:val="single" w:sz="4" w:space="0" w:color="auto"/>
              <w:left w:val="nil"/>
              <w:bottom w:val="single" w:sz="4" w:space="0" w:color="auto"/>
              <w:right w:val="nil"/>
            </w:tcBorders>
            <w:noWrap/>
            <w:vAlign w:val="center"/>
          </w:tcPr>
          <w:p w14:paraId="122B0659"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152450.2(164383.1</w:t>
            </w:r>
            <w:r>
              <w:rPr>
                <w:rFonts w:cstheme="minorBidi" w:hint="eastAsia"/>
                <w:b w:val="0"/>
                <w:bCs w:val="0"/>
                <w:sz w:val="18"/>
                <w:szCs w:val="18"/>
              </w:rPr>
              <w:t>～</w:t>
            </w:r>
            <w:r>
              <w:rPr>
                <w:rFonts w:cstheme="minorBidi" w:hint="eastAsia"/>
                <w:b w:val="0"/>
                <w:bCs w:val="0"/>
                <w:sz w:val="18"/>
                <w:szCs w:val="18"/>
              </w:rPr>
              <w:t>324032.2)</w:t>
            </w:r>
          </w:p>
        </w:tc>
        <w:tc>
          <w:tcPr>
            <w:tcW w:w="1701" w:type="dxa"/>
            <w:tcBorders>
              <w:top w:val="single" w:sz="4" w:space="0" w:color="auto"/>
              <w:left w:val="single" w:sz="4" w:space="0" w:color="auto"/>
              <w:bottom w:val="single" w:sz="4" w:space="0" w:color="auto"/>
              <w:right w:val="single" w:sz="4" w:space="0" w:color="auto"/>
            </w:tcBorders>
            <w:vAlign w:val="center"/>
          </w:tcPr>
          <w:p w14:paraId="179F47FF"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4.8(0.4</w:t>
            </w:r>
            <w:r>
              <w:rPr>
                <w:rFonts w:cstheme="minorBidi" w:hint="eastAsia"/>
                <w:b w:val="0"/>
                <w:bCs w:val="0"/>
                <w:sz w:val="18"/>
                <w:szCs w:val="18"/>
              </w:rPr>
              <w:t>～</w:t>
            </w:r>
            <w:r>
              <w:rPr>
                <w:rFonts w:cstheme="minorBidi" w:hint="eastAsia"/>
                <w:b w:val="0"/>
                <w:bCs w:val="0"/>
                <w:sz w:val="18"/>
                <w:szCs w:val="18"/>
              </w:rPr>
              <w:t>14)</w:t>
            </w:r>
          </w:p>
        </w:tc>
        <w:tc>
          <w:tcPr>
            <w:tcW w:w="2473" w:type="dxa"/>
            <w:tcBorders>
              <w:top w:val="single" w:sz="4" w:space="0" w:color="auto"/>
              <w:left w:val="nil"/>
              <w:bottom w:val="single" w:sz="4" w:space="0" w:color="auto"/>
              <w:right w:val="single" w:sz="4" w:space="0" w:color="auto"/>
            </w:tcBorders>
            <w:vAlign w:val="bottom"/>
          </w:tcPr>
          <w:p w14:paraId="5499B5F0"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-27574.2(-153976.8</w:t>
            </w:r>
            <w:r>
              <w:rPr>
                <w:rFonts w:cstheme="minorBidi" w:hint="eastAsia"/>
                <w:b w:val="0"/>
                <w:bCs w:val="0"/>
                <w:sz w:val="18"/>
                <w:szCs w:val="18"/>
              </w:rPr>
              <w:t>～</w:t>
            </w:r>
            <w:r>
              <w:rPr>
                <w:rFonts w:cstheme="minorBidi" w:hint="eastAsia"/>
                <w:b w:val="0"/>
                <w:bCs w:val="0"/>
                <w:sz w:val="18"/>
                <w:szCs w:val="18"/>
              </w:rPr>
              <w:t>40189.4)</w:t>
            </w:r>
          </w:p>
        </w:tc>
      </w:tr>
      <w:tr w:rsidR="006D1C3F" w14:paraId="4FF289C7"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2BE3B671"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Lor+Che+BSC</w:t>
            </w:r>
            <w:proofErr w:type="spellEnd"/>
          </w:p>
        </w:tc>
        <w:tc>
          <w:tcPr>
            <w:tcW w:w="2835" w:type="dxa"/>
            <w:tcBorders>
              <w:top w:val="single" w:sz="4" w:space="0" w:color="auto"/>
              <w:left w:val="nil"/>
              <w:bottom w:val="single" w:sz="4" w:space="0" w:color="auto"/>
              <w:right w:val="nil"/>
            </w:tcBorders>
            <w:noWrap/>
            <w:vAlign w:val="center"/>
          </w:tcPr>
          <w:p w14:paraId="59DADF65"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276769.1(142297.0</w:t>
            </w:r>
            <w:r>
              <w:rPr>
                <w:rFonts w:cstheme="minorBidi" w:hint="eastAsia"/>
                <w:b w:val="0"/>
                <w:bCs w:val="0"/>
                <w:sz w:val="18"/>
                <w:szCs w:val="18"/>
              </w:rPr>
              <w:t>～</w:t>
            </w:r>
            <w:r>
              <w:rPr>
                <w:rFonts w:cstheme="minorBidi" w:hint="eastAsia"/>
                <w:b w:val="0"/>
                <w:bCs w:val="0"/>
                <w:sz w:val="18"/>
                <w:szCs w:val="18"/>
              </w:rPr>
              <w:t>325100.5)</w:t>
            </w:r>
          </w:p>
        </w:tc>
        <w:tc>
          <w:tcPr>
            <w:tcW w:w="1701" w:type="dxa"/>
            <w:tcBorders>
              <w:top w:val="single" w:sz="4" w:space="0" w:color="auto"/>
              <w:left w:val="single" w:sz="4" w:space="0" w:color="auto"/>
              <w:bottom w:val="single" w:sz="4" w:space="0" w:color="auto"/>
              <w:right w:val="single" w:sz="4" w:space="0" w:color="auto"/>
            </w:tcBorders>
            <w:vAlign w:val="center"/>
          </w:tcPr>
          <w:p w14:paraId="3CB9176F"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7.8(0.4</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23C4CCD3"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-73845.6(-131890.7</w:t>
            </w:r>
            <w:r>
              <w:rPr>
                <w:rFonts w:cstheme="minorBidi" w:hint="eastAsia"/>
                <w:b w:val="0"/>
                <w:bCs w:val="0"/>
                <w:sz w:val="18"/>
                <w:szCs w:val="18"/>
              </w:rPr>
              <w:t>～</w:t>
            </w:r>
            <w:r>
              <w:rPr>
                <w:rFonts w:cstheme="minorBidi" w:hint="eastAsia"/>
                <w:b w:val="0"/>
                <w:bCs w:val="0"/>
                <w:sz w:val="18"/>
                <w:szCs w:val="18"/>
              </w:rPr>
              <w:t>10503.7)</w:t>
            </w:r>
          </w:p>
        </w:tc>
      </w:tr>
      <w:tr w:rsidR="006D1C3F" w14:paraId="00809609"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269C69F1"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Lor+Bri+BSC</w:t>
            </w:r>
            <w:proofErr w:type="spellEnd"/>
          </w:p>
        </w:tc>
        <w:tc>
          <w:tcPr>
            <w:tcW w:w="2835" w:type="dxa"/>
            <w:tcBorders>
              <w:top w:val="single" w:sz="4" w:space="0" w:color="auto"/>
              <w:left w:val="nil"/>
              <w:bottom w:val="single" w:sz="4" w:space="0" w:color="auto"/>
              <w:right w:val="nil"/>
            </w:tcBorders>
            <w:noWrap/>
            <w:vAlign w:val="center"/>
          </w:tcPr>
          <w:p w14:paraId="59990370"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288773.1(149960.5</w:t>
            </w:r>
            <w:r>
              <w:rPr>
                <w:rFonts w:cstheme="minorBidi" w:hint="eastAsia"/>
                <w:b w:val="0"/>
                <w:bCs w:val="0"/>
                <w:sz w:val="18"/>
                <w:szCs w:val="18"/>
              </w:rPr>
              <w:t>～</w:t>
            </w:r>
            <w:r>
              <w:rPr>
                <w:rFonts w:cstheme="minorBidi" w:hint="eastAsia"/>
                <w:b w:val="0"/>
                <w:bCs w:val="0"/>
                <w:sz w:val="18"/>
                <w:szCs w:val="18"/>
              </w:rPr>
              <w:t>332828.7)</w:t>
            </w:r>
          </w:p>
        </w:tc>
        <w:tc>
          <w:tcPr>
            <w:tcW w:w="1701" w:type="dxa"/>
            <w:tcBorders>
              <w:top w:val="single" w:sz="4" w:space="0" w:color="auto"/>
              <w:left w:val="single" w:sz="4" w:space="0" w:color="auto"/>
              <w:bottom w:val="single" w:sz="4" w:space="0" w:color="auto"/>
              <w:right w:val="single" w:sz="4" w:space="0" w:color="auto"/>
            </w:tcBorders>
            <w:vAlign w:val="center"/>
          </w:tcPr>
          <w:p w14:paraId="5E25C510"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8.2(0.7</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6A05EDC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-75443.3(-131749.4</w:t>
            </w:r>
            <w:r>
              <w:rPr>
                <w:rFonts w:cstheme="minorBidi" w:hint="eastAsia"/>
                <w:b w:val="0"/>
                <w:bCs w:val="0"/>
                <w:sz w:val="18"/>
                <w:szCs w:val="18"/>
              </w:rPr>
              <w:t>～</w:t>
            </w:r>
            <w:r>
              <w:rPr>
                <w:rFonts w:cstheme="minorBidi" w:hint="eastAsia"/>
                <w:b w:val="0"/>
                <w:bCs w:val="0"/>
                <w:sz w:val="18"/>
                <w:szCs w:val="18"/>
              </w:rPr>
              <w:t>2775.5)</w:t>
            </w:r>
          </w:p>
        </w:tc>
      </w:tr>
      <w:tr w:rsidR="006D1C3F" w14:paraId="294C5DE9"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60089276"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Ens+Bri+BSC</w:t>
            </w:r>
            <w:proofErr w:type="spellEnd"/>
          </w:p>
        </w:tc>
        <w:tc>
          <w:tcPr>
            <w:tcW w:w="2835" w:type="dxa"/>
            <w:tcBorders>
              <w:top w:val="single" w:sz="4" w:space="0" w:color="auto"/>
              <w:left w:val="nil"/>
              <w:bottom w:val="single" w:sz="4" w:space="0" w:color="auto"/>
              <w:right w:val="nil"/>
            </w:tcBorders>
            <w:noWrap/>
            <w:vAlign w:val="center"/>
          </w:tcPr>
          <w:p w14:paraId="43E7A5B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111561.7(20025.5</w:t>
            </w:r>
            <w:r>
              <w:rPr>
                <w:rFonts w:cstheme="minorBidi" w:hint="eastAsia"/>
                <w:b w:val="0"/>
                <w:bCs w:val="0"/>
                <w:sz w:val="18"/>
                <w:szCs w:val="18"/>
              </w:rPr>
              <w:t>～</w:t>
            </w:r>
            <w:r>
              <w:rPr>
                <w:rFonts w:cstheme="minorBidi" w:hint="eastAsia"/>
                <w:b w:val="0"/>
                <w:bCs w:val="0"/>
                <w:sz w:val="18"/>
                <w:szCs w:val="18"/>
              </w:rPr>
              <w:t>309067.4)</w:t>
            </w:r>
          </w:p>
        </w:tc>
        <w:tc>
          <w:tcPr>
            <w:tcW w:w="1701" w:type="dxa"/>
            <w:tcBorders>
              <w:top w:val="single" w:sz="4" w:space="0" w:color="auto"/>
              <w:left w:val="single" w:sz="4" w:space="0" w:color="auto"/>
              <w:bottom w:val="single" w:sz="4" w:space="0" w:color="auto"/>
              <w:right w:val="single" w:sz="4" w:space="0" w:color="auto"/>
            </w:tcBorders>
            <w:vAlign w:val="center"/>
          </w:tcPr>
          <w:p w14:paraId="28CE260B"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4.6(0.6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07963A6F"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8111.1(-4416.0</w:t>
            </w:r>
            <w:r>
              <w:rPr>
                <w:rFonts w:cstheme="minorBidi" w:hint="eastAsia"/>
                <w:b w:val="0"/>
                <w:bCs w:val="0"/>
                <w:sz w:val="18"/>
                <w:szCs w:val="18"/>
              </w:rPr>
              <w:t>～</w:t>
            </w:r>
            <w:r>
              <w:rPr>
                <w:rFonts w:cstheme="minorBidi" w:hint="eastAsia"/>
                <w:b w:val="0"/>
                <w:bCs w:val="0"/>
                <w:sz w:val="18"/>
                <w:szCs w:val="18"/>
              </w:rPr>
              <w:t>26536.8)</w:t>
            </w:r>
          </w:p>
        </w:tc>
      </w:tr>
      <w:tr w:rsidR="006D1C3F" w14:paraId="69348407"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71BB8636"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Ale+Lor+BSC</w:t>
            </w:r>
            <w:proofErr w:type="spellEnd"/>
          </w:p>
        </w:tc>
        <w:tc>
          <w:tcPr>
            <w:tcW w:w="2835" w:type="dxa"/>
            <w:tcBorders>
              <w:top w:val="single" w:sz="4" w:space="0" w:color="auto"/>
              <w:left w:val="nil"/>
              <w:bottom w:val="single" w:sz="4" w:space="0" w:color="auto"/>
              <w:right w:val="nil"/>
            </w:tcBorders>
            <w:noWrap/>
            <w:vAlign w:val="center"/>
          </w:tcPr>
          <w:p w14:paraId="4218CC43"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154871.1(88648.6</w:t>
            </w:r>
            <w:r>
              <w:rPr>
                <w:rFonts w:cstheme="minorBidi" w:hint="eastAsia"/>
                <w:b w:val="0"/>
                <w:bCs w:val="0"/>
                <w:sz w:val="18"/>
                <w:szCs w:val="18"/>
              </w:rPr>
              <w:t>～</w:t>
            </w:r>
            <w:r>
              <w:rPr>
                <w:rFonts w:cstheme="minorBidi" w:hint="eastAsia"/>
                <w:b w:val="0"/>
                <w:bCs w:val="0"/>
                <w:sz w:val="18"/>
                <w:szCs w:val="18"/>
              </w:rPr>
              <w:t>333877.3)</w:t>
            </w:r>
          </w:p>
        </w:tc>
        <w:tc>
          <w:tcPr>
            <w:tcW w:w="1701" w:type="dxa"/>
            <w:tcBorders>
              <w:top w:val="single" w:sz="4" w:space="0" w:color="auto"/>
              <w:left w:val="single" w:sz="4" w:space="0" w:color="auto"/>
              <w:bottom w:val="single" w:sz="4" w:space="0" w:color="auto"/>
              <w:right w:val="single" w:sz="4" w:space="0" w:color="auto"/>
            </w:tcBorders>
            <w:vAlign w:val="center"/>
          </w:tcPr>
          <w:p w14:paraId="4C610FEA"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4.9(0.6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42AC5B39"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-27393.5(-73039.1</w:t>
            </w:r>
            <w:r>
              <w:rPr>
                <w:rFonts w:cstheme="minorBidi" w:hint="eastAsia"/>
                <w:b w:val="0"/>
                <w:bCs w:val="0"/>
                <w:sz w:val="18"/>
                <w:szCs w:val="18"/>
              </w:rPr>
              <w:t>～</w:t>
            </w:r>
            <w:r>
              <w:rPr>
                <w:rFonts w:cstheme="minorBidi" w:hint="eastAsia"/>
                <w:b w:val="0"/>
                <w:bCs w:val="0"/>
                <w:sz w:val="18"/>
                <w:szCs w:val="18"/>
              </w:rPr>
              <w:t>1726.9)</w:t>
            </w:r>
          </w:p>
        </w:tc>
      </w:tr>
      <w:tr w:rsidR="006D1C3F" w14:paraId="14CF3D09"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1EB9F715"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Env+Bri+BSC</w:t>
            </w:r>
            <w:proofErr w:type="spellEnd"/>
          </w:p>
        </w:tc>
        <w:tc>
          <w:tcPr>
            <w:tcW w:w="2835" w:type="dxa"/>
            <w:tcBorders>
              <w:top w:val="single" w:sz="4" w:space="0" w:color="auto"/>
              <w:left w:val="nil"/>
              <w:bottom w:val="single" w:sz="4" w:space="0" w:color="auto"/>
              <w:right w:val="nil"/>
            </w:tcBorders>
            <w:noWrap/>
            <w:vAlign w:val="center"/>
          </w:tcPr>
          <w:p w14:paraId="5F48A1B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85123.7(23233.0</w:t>
            </w:r>
            <w:r>
              <w:rPr>
                <w:rFonts w:cstheme="minorBidi" w:hint="eastAsia"/>
                <w:b w:val="0"/>
                <w:bCs w:val="0"/>
                <w:sz w:val="18"/>
                <w:szCs w:val="18"/>
              </w:rPr>
              <w:t>～</w:t>
            </w:r>
            <w:r>
              <w:rPr>
                <w:rFonts w:cstheme="minorBidi" w:hint="eastAsia"/>
                <w:b w:val="0"/>
                <w:bCs w:val="0"/>
                <w:sz w:val="18"/>
                <w:szCs w:val="18"/>
              </w:rPr>
              <w:t>277739.5)</w:t>
            </w:r>
          </w:p>
        </w:tc>
        <w:tc>
          <w:tcPr>
            <w:tcW w:w="1701" w:type="dxa"/>
            <w:tcBorders>
              <w:top w:val="single" w:sz="4" w:space="0" w:color="auto"/>
              <w:left w:val="single" w:sz="4" w:space="0" w:color="auto"/>
              <w:bottom w:val="single" w:sz="4" w:space="0" w:color="auto"/>
              <w:right w:val="single" w:sz="4" w:space="0" w:color="auto"/>
            </w:tcBorders>
            <w:vAlign w:val="center"/>
          </w:tcPr>
          <w:p w14:paraId="0071C9F3"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3.5(0.7</w:t>
            </w:r>
            <w:r>
              <w:rPr>
                <w:rFonts w:cstheme="minorBidi" w:hint="eastAsia"/>
                <w:b w:val="0"/>
                <w:bCs w:val="0"/>
                <w:sz w:val="18"/>
                <w:szCs w:val="18"/>
              </w:rPr>
              <w:t>～</w:t>
            </w:r>
            <w:r>
              <w:rPr>
                <w:rFonts w:cstheme="minorBidi" w:hint="eastAsia"/>
                <w:b w:val="0"/>
                <w:bCs w:val="0"/>
                <w:sz w:val="18"/>
                <w:szCs w:val="18"/>
              </w:rPr>
              <w:t>11.5)</w:t>
            </w:r>
          </w:p>
        </w:tc>
        <w:tc>
          <w:tcPr>
            <w:tcW w:w="2473" w:type="dxa"/>
            <w:tcBorders>
              <w:top w:val="single" w:sz="4" w:space="0" w:color="auto"/>
              <w:left w:val="nil"/>
              <w:bottom w:val="single" w:sz="4" w:space="0" w:color="auto"/>
              <w:right w:val="single" w:sz="4" w:space="0" w:color="auto"/>
            </w:tcBorders>
            <w:vAlign w:val="bottom"/>
          </w:tcPr>
          <w:p w14:paraId="285D0D2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5931.7(-5021.9</w:t>
            </w:r>
            <w:r>
              <w:rPr>
                <w:rFonts w:cstheme="minorBidi" w:hint="eastAsia"/>
                <w:b w:val="0"/>
                <w:bCs w:val="0"/>
                <w:sz w:val="18"/>
                <w:szCs w:val="18"/>
              </w:rPr>
              <w:t>～</w:t>
            </w:r>
            <w:r>
              <w:rPr>
                <w:rFonts w:cstheme="minorBidi" w:hint="eastAsia"/>
                <w:b w:val="0"/>
                <w:bCs w:val="0"/>
                <w:sz w:val="18"/>
                <w:szCs w:val="18"/>
              </w:rPr>
              <w:t>21442.5)</w:t>
            </w:r>
          </w:p>
        </w:tc>
      </w:tr>
      <w:tr w:rsidR="006D1C3F" w14:paraId="5CA968B2"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6D653E66"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Cer+Bri+BSC</w:t>
            </w:r>
            <w:proofErr w:type="spellEnd"/>
          </w:p>
        </w:tc>
        <w:tc>
          <w:tcPr>
            <w:tcW w:w="2835" w:type="dxa"/>
            <w:tcBorders>
              <w:top w:val="single" w:sz="4" w:space="0" w:color="auto"/>
              <w:left w:val="nil"/>
              <w:bottom w:val="single" w:sz="4" w:space="0" w:color="auto"/>
              <w:right w:val="nil"/>
            </w:tcBorders>
            <w:noWrap/>
            <w:vAlign w:val="center"/>
          </w:tcPr>
          <w:p w14:paraId="6017B31F"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70586.3(18817.9</w:t>
            </w:r>
            <w:r>
              <w:rPr>
                <w:rFonts w:cstheme="minorBidi" w:hint="eastAsia"/>
                <w:b w:val="0"/>
                <w:bCs w:val="0"/>
                <w:sz w:val="18"/>
                <w:szCs w:val="18"/>
              </w:rPr>
              <w:t>～</w:t>
            </w:r>
            <w:r>
              <w:rPr>
                <w:rFonts w:cstheme="minorBidi" w:hint="eastAsia"/>
                <w:b w:val="0"/>
                <w:bCs w:val="0"/>
                <w:sz w:val="18"/>
                <w:szCs w:val="18"/>
              </w:rPr>
              <w:t>220174.1)</w:t>
            </w:r>
          </w:p>
        </w:tc>
        <w:tc>
          <w:tcPr>
            <w:tcW w:w="1701" w:type="dxa"/>
            <w:tcBorders>
              <w:top w:val="single" w:sz="4" w:space="0" w:color="auto"/>
              <w:left w:val="single" w:sz="4" w:space="0" w:color="auto"/>
              <w:bottom w:val="single" w:sz="4" w:space="0" w:color="auto"/>
              <w:right w:val="single" w:sz="4" w:space="0" w:color="auto"/>
            </w:tcBorders>
            <w:vAlign w:val="center"/>
          </w:tcPr>
          <w:p w14:paraId="083F8940"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2.9(0.5</w:t>
            </w:r>
            <w:r>
              <w:rPr>
                <w:rFonts w:cstheme="minorBidi" w:hint="eastAsia"/>
                <w:b w:val="0"/>
                <w:bCs w:val="0"/>
                <w:sz w:val="18"/>
                <w:szCs w:val="18"/>
              </w:rPr>
              <w:t>～</w:t>
            </w:r>
            <w:r>
              <w:rPr>
                <w:rFonts w:cstheme="minorBidi" w:hint="eastAsia"/>
                <w:b w:val="0"/>
                <w:bCs w:val="0"/>
                <w:sz w:val="18"/>
                <w:szCs w:val="18"/>
              </w:rPr>
              <w:t>9.1)</w:t>
            </w:r>
          </w:p>
        </w:tc>
        <w:tc>
          <w:tcPr>
            <w:tcW w:w="2473" w:type="dxa"/>
            <w:tcBorders>
              <w:top w:val="single" w:sz="4" w:space="0" w:color="auto"/>
              <w:left w:val="nil"/>
              <w:bottom w:val="single" w:sz="4" w:space="0" w:color="auto"/>
              <w:right w:val="single" w:sz="4" w:space="0" w:color="auto"/>
            </w:tcBorders>
            <w:vAlign w:val="bottom"/>
          </w:tcPr>
          <w:p w14:paraId="08811FB0"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4859.6(-5810.0</w:t>
            </w:r>
            <w:r>
              <w:rPr>
                <w:rFonts w:cstheme="minorBidi" w:hint="eastAsia"/>
                <w:b w:val="0"/>
                <w:bCs w:val="0"/>
                <w:sz w:val="18"/>
                <w:szCs w:val="18"/>
              </w:rPr>
              <w:t>～</w:t>
            </w:r>
            <w:r>
              <w:rPr>
                <w:rFonts w:cstheme="minorBidi" w:hint="eastAsia"/>
                <w:b w:val="0"/>
                <w:bCs w:val="0"/>
                <w:sz w:val="18"/>
                <w:szCs w:val="18"/>
              </w:rPr>
              <w:t>16570.0)</w:t>
            </w:r>
          </w:p>
        </w:tc>
      </w:tr>
      <w:tr w:rsidR="006D1C3F" w14:paraId="291A9250"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6A22529F"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Ens+Lor+BSC</w:t>
            </w:r>
            <w:proofErr w:type="spellEnd"/>
          </w:p>
        </w:tc>
        <w:tc>
          <w:tcPr>
            <w:tcW w:w="2835" w:type="dxa"/>
            <w:tcBorders>
              <w:top w:val="single" w:sz="4" w:space="0" w:color="auto"/>
              <w:left w:val="nil"/>
              <w:bottom w:val="single" w:sz="4" w:space="0" w:color="auto"/>
              <w:right w:val="nil"/>
            </w:tcBorders>
            <w:noWrap/>
            <w:vAlign w:val="center"/>
          </w:tcPr>
          <w:p w14:paraId="41C8956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107341.3(44363.9</w:t>
            </w:r>
            <w:r>
              <w:rPr>
                <w:rFonts w:cstheme="minorBidi" w:hint="eastAsia"/>
                <w:b w:val="0"/>
                <w:bCs w:val="0"/>
                <w:sz w:val="18"/>
                <w:szCs w:val="18"/>
              </w:rPr>
              <w:t>～</w:t>
            </w:r>
            <w:r>
              <w:rPr>
                <w:rFonts w:cstheme="minorBidi" w:hint="eastAsia"/>
                <w:b w:val="0"/>
                <w:bCs w:val="0"/>
                <w:sz w:val="18"/>
                <w:szCs w:val="18"/>
              </w:rPr>
              <w:t>309064.1)</w:t>
            </w:r>
          </w:p>
        </w:tc>
        <w:tc>
          <w:tcPr>
            <w:tcW w:w="1701" w:type="dxa"/>
            <w:tcBorders>
              <w:top w:val="single" w:sz="4" w:space="0" w:color="auto"/>
              <w:left w:val="single" w:sz="4" w:space="0" w:color="auto"/>
              <w:bottom w:val="single" w:sz="4" w:space="0" w:color="auto"/>
              <w:right w:val="single" w:sz="4" w:space="0" w:color="auto"/>
            </w:tcBorders>
            <w:vAlign w:val="center"/>
          </w:tcPr>
          <w:p w14:paraId="47192D25"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4.2(0.6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2BE5C74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1925.2(-28754.4</w:t>
            </w:r>
            <w:r>
              <w:rPr>
                <w:rFonts w:cstheme="minorBidi" w:hint="eastAsia"/>
                <w:b w:val="0"/>
                <w:bCs w:val="0"/>
                <w:sz w:val="18"/>
                <w:szCs w:val="18"/>
              </w:rPr>
              <w:t>～</w:t>
            </w:r>
            <w:r>
              <w:rPr>
                <w:rFonts w:cstheme="minorBidi" w:hint="eastAsia"/>
                <w:b w:val="0"/>
                <w:bCs w:val="0"/>
                <w:sz w:val="18"/>
                <w:szCs w:val="18"/>
              </w:rPr>
              <w:t>26540.1)</w:t>
            </w:r>
          </w:p>
        </w:tc>
      </w:tr>
      <w:tr w:rsidR="006D1C3F" w14:paraId="0D020FB0"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7B6BBE48"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Ale+Cer+BSC</w:t>
            </w:r>
            <w:proofErr w:type="spellEnd"/>
          </w:p>
        </w:tc>
        <w:tc>
          <w:tcPr>
            <w:tcW w:w="2835" w:type="dxa"/>
            <w:tcBorders>
              <w:top w:val="single" w:sz="4" w:space="0" w:color="auto"/>
              <w:left w:val="nil"/>
              <w:bottom w:val="single" w:sz="4" w:space="0" w:color="auto"/>
              <w:right w:val="nil"/>
            </w:tcBorders>
            <w:noWrap/>
            <w:vAlign w:val="center"/>
          </w:tcPr>
          <w:p w14:paraId="6F6FCB5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140319.8(88759.5</w:t>
            </w:r>
            <w:r>
              <w:rPr>
                <w:rFonts w:cstheme="minorBidi" w:hint="eastAsia"/>
                <w:b w:val="0"/>
                <w:bCs w:val="0"/>
                <w:sz w:val="18"/>
                <w:szCs w:val="18"/>
              </w:rPr>
              <w:t>～</w:t>
            </w:r>
            <w:r>
              <w:rPr>
                <w:rFonts w:cstheme="minorBidi" w:hint="eastAsia"/>
                <w:b w:val="0"/>
                <w:bCs w:val="0"/>
                <w:sz w:val="18"/>
                <w:szCs w:val="18"/>
              </w:rPr>
              <w:t>329924.5)</w:t>
            </w:r>
          </w:p>
        </w:tc>
        <w:tc>
          <w:tcPr>
            <w:tcW w:w="1701" w:type="dxa"/>
            <w:tcBorders>
              <w:top w:val="single" w:sz="4" w:space="0" w:color="auto"/>
              <w:left w:val="single" w:sz="4" w:space="0" w:color="auto"/>
              <w:bottom w:val="single" w:sz="4" w:space="0" w:color="auto"/>
              <w:right w:val="single" w:sz="4" w:space="0" w:color="auto"/>
            </w:tcBorders>
            <w:vAlign w:val="center"/>
          </w:tcPr>
          <w:p w14:paraId="2ED893C3"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4.6(0.6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45A95A82"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-20647.0(-73150.0</w:t>
            </w:r>
            <w:r>
              <w:rPr>
                <w:rFonts w:cstheme="minorBidi" w:hint="eastAsia"/>
                <w:b w:val="0"/>
                <w:bCs w:val="0"/>
                <w:sz w:val="18"/>
                <w:szCs w:val="18"/>
              </w:rPr>
              <w:t>～</w:t>
            </w:r>
            <w:r>
              <w:rPr>
                <w:rFonts w:cstheme="minorBidi" w:hint="eastAsia"/>
                <w:b w:val="0"/>
                <w:bCs w:val="0"/>
                <w:sz w:val="18"/>
                <w:szCs w:val="18"/>
              </w:rPr>
              <w:t>5679.7)</w:t>
            </w:r>
          </w:p>
        </w:tc>
      </w:tr>
      <w:tr w:rsidR="006D1C3F" w14:paraId="09EB09FD"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232079FA"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Crz+Ale+BSC</w:t>
            </w:r>
            <w:proofErr w:type="spellEnd"/>
          </w:p>
        </w:tc>
        <w:tc>
          <w:tcPr>
            <w:tcW w:w="2835" w:type="dxa"/>
            <w:tcBorders>
              <w:top w:val="single" w:sz="4" w:space="0" w:color="auto"/>
              <w:left w:val="nil"/>
              <w:bottom w:val="single" w:sz="4" w:space="0" w:color="auto"/>
              <w:right w:val="nil"/>
            </w:tcBorders>
            <w:noWrap/>
            <w:vAlign w:val="center"/>
          </w:tcPr>
          <w:p w14:paraId="2FF437A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105643.3(87211.4</w:t>
            </w:r>
            <w:r>
              <w:rPr>
                <w:rFonts w:cstheme="minorBidi" w:hint="eastAsia"/>
                <w:b w:val="0"/>
                <w:bCs w:val="0"/>
                <w:sz w:val="18"/>
                <w:szCs w:val="18"/>
              </w:rPr>
              <w:t>～</w:t>
            </w:r>
            <w:r>
              <w:rPr>
                <w:rFonts w:cstheme="minorBidi" w:hint="eastAsia"/>
                <w:b w:val="0"/>
                <w:bCs w:val="0"/>
                <w:sz w:val="18"/>
                <w:szCs w:val="18"/>
              </w:rPr>
              <w:t>317224.3)</w:t>
            </w:r>
          </w:p>
        </w:tc>
        <w:tc>
          <w:tcPr>
            <w:tcW w:w="1701" w:type="dxa"/>
            <w:tcBorders>
              <w:top w:val="single" w:sz="4" w:space="0" w:color="auto"/>
              <w:left w:val="single" w:sz="4" w:space="0" w:color="auto"/>
              <w:bottom w:val="single" w:sz="4" w:space="0" w:color="auto"/>
              <w:right w:val="single" w:sz="4" w:space="0" w:color="auto"/>
            </w:tcBorders>
            <w:vAlign w:val="center"/>
          </w:tcPr>
          <w:p w14:paraId="4707AE40"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3.8(0.6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0CB4AA04"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-6783.1(-71601.9</w:t>
            </w:r>
            <w:r>
              <w:rPr>
                <w:rFonts w:cstheme="minorBidi" w:hint="eastAsia"/>
                <w:b w:val="0"/>
                <w:bCs w:val="0"/>
                <w:sz w:val="18"/>
                <w:szCs w:val="18"/>
              </w:rPr>
              <w:t>～</w:t>
            </w:r>
            <w:r>
              <w:rPr>
                <w:rFonts w:cstheme="minorBidi" w:hint="eastAsia"/>
                <w:b w:val="0"/>
                <w:bCs w:val="0"/>
                <w:sz w:val="18"/>
                <w:szCs w:val="18"/>
              </w:rPr>
              <w:t>18379.9)</w:t>
            </w:r>
          </w:p>
        </w:tc>
      </w:tr>
      <w:tr w:rsidR="006D1C3F" w14:paraId="14564F85"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18EADAAC"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Lor+Cer+BSC</w:t>
            </w:r>
            <w:proofErr w:type="spellEnd"/>
          </w:p>
        </w:tc>
        <w:tc>
          <w:tcPr>
            <w:tcW w:w="2835" w:type="dxa"/>
            <w:tcBorders>
              <w:top w:val="single" w:sz="4" w:space="0" w:color="auto"/>
              <w:left w:val="nil"/>
              <w:bottom w:val="single" w:sz="4" w:space="0" w:color="auto"/>
              <w:right w:val="nil"/>
            </w:tcBorders>
            <w:noWrap/>
            <w:vAlign w:val="center"/>
          </w:tcPr>
          <w:p w14:paraId="04D3AEF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278108.0(144864.9</w:t>
            </w:r>
            <w:r>
              <w:rPr>
                <w:rFonts w:cstheme="minorBidi" w:hint="eastAsia"/>
                <w:b w:val="0"/>
                <w:bCs w:val="0"/>
                <w:sz w:val="18"/>
                <w:szCs w:val="18"/>
              </w:rPr>
              <w:t>～</w:t>
            </w:r>
            <w:r>
              <w:rPr>
                <w:rFonts w:cstheme="minorBidi" w:hint="eastAsia"/>
                <w:b w:val="0"/>
                <w:bCs w:val="0"/>
                <w:sz w:val="18"/>
                <w:szCs w:val="18"/>
              </w:rPr>
              <w:t>331372.7)</w:t>
            </w:r>
          </w:p>
        </w:tc>
        <w:tc>
          <w:tcPr>
            <w:tcW w:w="1701" w:type="dxa"/>
            <w:tcBorders>
              <w:top w:val="single" w:sz="4" w:space="0" w:color="auto"/>
              <w:left w:val="single" w:sz="4" w:space="0" w:color="auto"/>
              <w:bottom w:val="single" w:sz="4" w:space="0" w:color="auto"/>
              <w:right w:val="single" w:sz="4" w:space="0" w:color="auto"/>
            </w:tcBorders>
            <w:vAlign w:val="center"/>
          </w:tcPr>
          <w:p w14:paraId="47EBC8DE"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7.8(0.5</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3B85BAA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-75184.5(-131857.0</w:t>
            </w:r>
            <w:r>
              <w:rPr>
                <w:rFonts w:cstheme="minorBidi" w:hint="eastAsia"/>
                <w:b w:val="0"/>
                <w:bCs w:val="0"/>
                <w:sz w:val="18"/>
                <w:szCs w:val="18"/>
              </w:rPr>
              <w:t>～</w:t>
            </w:r>
            <w:r>
              <w:rPr>
                <w:rFonts w:cstheme="minorBidi" w:hint="eastAsia"/>
                <w:b w:val="0"/>
                <w:bCs w:val="0"/>
                <w:sz w:val="18"/>
                <w:szCs w:val="18"/>
              </w:rPr>
              <w:t>4231.5)</w:t>
            </w:r>
          </w:p>
        </w:tc>
      </w:tr>
      <w:tr w:rsidR="006D1C3F" w14:paraId="714E41EB"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4E35534B"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Env+Lor+BSC</w:t>
            </w:r>
            <w:proofErr w:type="spellEnd"/>
          </w:p>
        </w:tc>
        <w:tc>
          <w:tcPr>
            <w:tcW w:w="2835" w:type="dxa"/>
            <w:tcBorders>
              <w:top w:val="single" w:sz="4" w:space="0" w:color="auto"/>
              <w:left w:val="nil"/>
              <w:bottom w:val="single" w:sz="4" w:space="0" w:color="auto"/>
              <w:right w:val="nil"/>
            </w:tcBorders>
            <w:noWrap/>
            <w:vAlign w:val="center"/>
          </w:tcPr>
          <w:p w14:paraId="6EC94400"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79174.8(50368.5</w:t>
            </w:r>
            <w:r>
              <w:rPr>
                <w:rFonts w:cstheme="minorBidi" w:hint="eastAsia"/>
                <w:b w:val="0"/>
                <w:bCs w:val="0"/>
                <w:sz w:val="18"/>
                <w:szCs w:val="18"/>
              </w:rPr>
              <w:t>～</w:t>
            </w:r>
            <w:r>
              <w:rPr>
                <w:rFonts w:cstheme="minorBidi" w:hint="eastAsia"/>
                <w:b w:val="0"/>
                <w:bCs w:val="0"/>
                <w:sz w:val="18"/>
                <w:szCs w:val="18"/>
              </w:rPr>
              <w:t>215674.1)</w:t>
            </w:r>
          </w:p>
        </w:tc>
        <w:tc>
          <w:tcPr>
            <w:tcW w:w="1701" w:type="dxa"/>
            <w:tcBorders>
              <w:top w:val="single" w:sz="4" w:space="0" w:color="auto"/>
              <w:left w:val="single" w:sz="4" w:space="0" w:color="auto"/>
              <w:bottom w:val="single" w:sz="4" w:space="0" w:color="auto"/>
              <w:right w:val="single" w:sz="4" w:space="0" w:color="auto"/>
            </w:tcBorders>
            <w:vAlign w:val="center"/>
          </w:tcPr>
          <w:p w14:paraId="3A42B973"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3(0.7</w:t>
            </w:r>
            <w:r>
              <w:rPr>
                <w:rFonts w:cstheme="minorBidi" w:hint="eastAsia"/>
                <w:b w:val="0"/>
                <w:bCs w:val="0"/>
                <w:sz w:val="18"/>
                <w:szCs w:val="18"/>
              </w:rPr>
              <w:t>～</w:t>
            </w:r>
            <w:r>
              <w:rPr>
                <w:rFonts w:cstheme="minorBidi" w:hint="eastAsia"/>
                <w:b w:val="0"/>
                <w:bCs w:val="0"/>
                <w:sz w:val="18"/>
                <w:szCs w:val="18"/>
              </w:rPr>
              <w:t>9)</w:t>
            </w:r>
          </w:p>
        </w:tc>
        <w:tc>
          <w:tcPr>
            <w:tcW w:w="2473" w:type="dxa"/>
            <w:tcBorders>
              <w:top w:val="single" w:sz="4" w:space="0" w:color="auto"/>
              <w:left w:val="nil"/>
              <w:bottom w:val="single" w:sz="4" w:space="0" w:color="auto"/>
              <w:right w:val="single" w:sz="4" w:space="0" w:color="auto"/>
            </w:tcBorders>
            <w:vAlign w:val="bottom"/>
          </w:tcPr>
          <w:p w14:paraId="2CD1379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-1127.3(-32157.4</w:t>
            </w:r>
            <w:r>
              <w:rPr>
                <w:rFonts w:cstheme="minorBidi" w:hint="eastAsia"/>
                <w:b w:val="0"/>
                <w:bCs w:val="0"/>
                <w:sz w:val="18"/>
                <w:szCs w:val="18"/>
              </w:rPr>
              <w:t>～</w:t>
            </w:r>
            <w:r>
              <w:rPr>
                <w:rFonts w:cstheme="minorBidi" w:hint="eastAsia"/>
                <w:b w:val="0"/>
                <w:bCs w:val="0"/>
                <w:sz w:val="18"/>
                <w:szCs w:val="18"/>
              </w:rPr>
              <w:t>18468.4)</w:t>
            </w:r>
          </w:p>
        </w:tc>
      </w:tr>
      <w:tr w:rsidR="006D1C3F" w14:paraId="29AF5AA6"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6243B8B3"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Che+Che+BSC</w:t>
            </w:r>
            <w:proofErr w:type="spellEnd"/>
          </w:p>
        </w:tc>
        <w:tc>
          <w:tcPr>
            <w:tcW w:w="2835" w:type="dxa"/>
            <w:tcBorders>
              <w:top w:val="single" w:sz="4" w:space="0" w:color="auto"/>
              <w:left w:val="nil"/>
              <w:bottom w:val="single" w:sz="4" w:space="0" w:color="auto"/>
              <w:right w:val="nil"/>
            </w:tcBorders>
            <w:noWrap/>
            <w:vAlign w:val="center"/>
          </w:tcPr>
          <w:p w14:paraId="5B118D42"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25445.8(4826.1</w:t>
            </w:r>
            <w:r>
              <w:rPr>
                <w:rFonts w:cstheme="minorBidi" w:hint="eastAsia"/>
                <w:b w:val="0"/>
                <w:bCs w:val="0"/>
                <w:sz w:val="18"/>
                <w:szCs w:val="18"/>
              </w:rPr>
              <w:t>～</w:t>
            </w:r>
            <w:r>
              <w:rPr>
                <w:rFonts w:cstheme="minorBidi" w:hint="eastAsia"/>
                <w:b w:val="0"/>
                <w:bCs w:val="0"/>
                <w:sz w:val="18"/>
                <w:szCs w:val="18"/>
              </w:rPr>
              <w:t>66029.7)</w:t>
            </w:r>
          </w:p>
        </w:tc>
        <w:tc>
          <w:tcPr>
            <w:tcW w:w="1701" w:type="dxa"/>
            <w:tcBorders>
              <w:top w:val="single" w:sz="4" w:space="0" w:color="auto"/>
              <w:left w:val="single" w:sz="4" w:space="0" w:color="auto"/>
              <w:bottom w:val="single" w:sz="4" w:space="0" w:color="auto"/>
              <w:right w:val="single" w:sz="4" w:space="0" w:color="auto"/>
            </w:tcBorders>
            <w:vAlign w:val="center"/>
          </w:tcPr>
          <w:p w14:paraId="4B64FBD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1.6(0.3</w:t>
            </w:r>
            <w:r>
              <w:rPr>
                <w:rFonts w:cstheme="minorBidi" w:hint="eastAsia"/>
                <w:b w:val="0"/>
                <w:bCs w:val="0"/>
                <w:sz w:val="18"/>
                <w:szCs w:val="18"/>
              </w:rPr>
              <w:t>～</w:t>
            </w:r>
            <w:r>
              <w:rPr>
                <w:rFonts w:cstheme="minorBidi" w:hint="eastAsia"/>
                <w:b w:val="0"/>
                <w:bCs w:val="0"/>
                <w:sz w:val="18"/>
                <w:szCs w:val="18"/>
              </w:rPr>
              <w:t>4.6)</w:t>
            </w:r>
          </w:p>
        </w:tc>
        <w:tc>
          <w:tcPr>
            <w:tcW w:w="2473" w:type="dxa"/>
            <w:tcBorders>
              <w:top w:val="single" w:sz="4" w:space="0" w:color="auto"/>
              <w:left w:val="nil"/>
              <w:bottom w:val="single" w:sz="4" w:space="0" w:color="auto"/>
              <w:right w:val="single" w:sz="4" w:space="0" w:color="auto"/>
            </w:tcBorders>
            <w:vAlign w:val="bottom"/>
          </w:tcPr>
          <w:p w14:paraId="7C1E18EE"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16179.5(2978.6</w:t>
            </w:r>
            <w:r>
              <w:rPr>
                <w:rFonts w:cstheme="minorBidi" w:hint="eastAsia"/>
                <w:b w:val="0"/>
                <w:bCs w:val="0"/>
                <w:sz w:val="18"/>
                <w:szCs w:val="18"/>
              </w:rPr>
              <w:t>～</w:t>
            </w:r>
            <w:r>
              <w:rPr>
                <w:rFonts w:cstheme="minorBidi" w:hint="eastAsia"/>
                <w:b w:val="0"/>
                <w:bCs w:val="0"/>
                <w:sz w:val="18"/>
                <w:szCs w:val="18"/>
              </w:rPr>
              <w:t>53643.1)</w:t>
            </w:r>
          </w:p>
        </w:tc>
      </w:tr>
      <w:tr w:rsidR="006D1C3F" w14:paraId="37FD2D66"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47355344"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Crz+Iru+BSC</w:t>
            </w:r>
            <w:proofErr w:type="spellEnd"/>
          </w:p>
        </w:tc>
        <w:tc>
          <w:tcPr>
            <w:tcW w:w="2835" w:type="dxa"/>
            <w:tcBorders>
              <w:top w:val="single" w:sz="4" w:space="0" w:color="auto"/>
              <w:left w:val="nil"/>
              <w:bottom w:val="single" w:sz="4" w:space="0" w:color="auto"/>
              <w:right w:val="nil"/>
            </w:tcBorders>
            <w:noWrap/>
            <w:vAlign w:val="center"/>
          </w:tcPr>
          <w:p w14:paraId="63C8440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99800.4(51135.2</w:t>
            </w:r>
            <w:r>
              <w:rPr>
                <w:rFonts w:cstheme="minorBidi" w:hint="eastAsia"/>
                <w:b w:val="0"/>
                <w:bCs w:val="0"/>
                <w:sz w:val="18"/>
                <w:szCs w:val="18"/>
              </w:rPr>
              <w:t>～</w:t>
            </w:r>
            <w:r>
              <w:rPr>
                <w:rFonts w:cstheme="minorBidi" w:hint="eastAsia"/>
                <w:b w:val="0"/>
                <w:bCs w:val="0"/>
                <w:sz w:val="18"/>
                <w:szCs w:val="18"/>
              </w:rPr>
              <w:t>317497.1)</w:t>
            </w:r>
          </w:p>
        </w:tc>
        <w:tc>
          <w:tcPr>
            <w:tcW w:w="1701" w:type="dxa"/>
            <w:tcBorders>
              <w:top w:val="single" w:sz="4" w:space="0" w:color="auto"/>
              <w:left w:val="single" w:sz="4" w:space="0" w:color="auto"/>
              <w:bottom w:val="single" w:sz="4" w:space="0" w:color="auto"/>
              <w:right w:val="single" w:sz="4" w:space="0" w:color="auto"/>
            </w:tcBorders>
            <w:vAlign w:val="center"/>
          </w:tcPr>
          <w:p w14:paraId="14E7733A"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3.7(0.7</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0E3C3D02"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-3541.8(-32924.1</w:t>
            </w:r>
            <w:r>
              <w:rPr>
                <w:rFonts w:cstheme="minorBidi" w:hint="eastAsia"/>
                <w:b w:val="0"/>
                <w:bCs w:val="0"/>
                <w:sz w:val="18"/>
                <w:szCs w:val="18"/>
              </w:rPr>
              <w:t>～</w:t>
            </w:r>
            <w:r>
              <w:rPr>
                <w:rFonts w:cstheme="minorBidi" w:hint="eastAsia"/>
                <w:b w:val="0"/>
                <w:bCs w:val="0"/>
                <w:sz w:val="18"/>
                <w:szCs w:val="18"/>
              </w:rPr>
              <w:t>18107.1)</w:t>
            </w:r>
          </w:p>
        </w:tc>
      </w:tr>
      <w:tr w:rsidR="006D1C3F" w14:paraId="28B3ECE8"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06C37A53"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Ens+Cer+BSC</w:t>
            </w:r>
            <w:proofErr w:type="spellEnd"/>
          </w:p>
        </w:tc>
        <w:tc>
          <w:tcPr>
            <w:tcW w:w="2835" w:type="dxa"/>
            <w:tcBorders>
              <w:top w:val="single" w:sz="4" w:space="0" w:color="auto"/>
              <w:left w:val="nil"/>
              <w:bottom w:val="single" w:sz="4" w:space="0" w:color="auto"/>
              <w:right w:val="nil"/>
            </w:tcBorders>
            <w:noWrap/>
            <w:vAlign w:val="center"/>
          </w:tcPr>
          <w:p w14:paraId="14387495"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94909.3(12509.8</w:t>
            </w:r>
            <w:r>
              <w:rPr>
                <w:rFonts w:cstheme="minorBidi" w:hint="eastAsia"/>
                <w:b w:val="0"/>
                <w:bCs w:val="0"/>
                <w:sz w:val="18"/>
                <w:szCs w:val="18"/>
              </w:rPr>
              <w:t>～</w:t>
            </w:r>
            <w:r>
              <w:rPr>
                <w:rFonts w:cstheme="minorBidi" w:hint="eastAsia"/>
                <w:b w:val="0"/>
                <w:bCs w:val="0"/>
                <w:sz w:val="18"/>
                <w:szCs w:val="18"/>
              </w:rPr>
              <w:t>309175.3)</w:t>
            </w:r>
          </w:p>
        </w:tc>
        <w:tc>
          <w:tcPr>
            <w:tcW w:w="1701" w:type="dxa"/>
            <w:tcBorders>
              <w:top w:val="single" w:sz="4" w:space="0" w:color="auto"/>
              <w:left w:val="single" w:sz="4" w:space="0" w:color="auto"/>
              <w:bottom w:val="single" w:sz="4" w:space="0" w:color="auto"/>
              <w:right w:val="single" w:sz="4" w:space="0" w:color="auto"/>
            </w:tcBorders>
            <w:vAlign w:val="center"/>
          </w:tcPr>
          <w:p w14:paraId="54DD34F8"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4(0.5</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4545FAD1"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9154.0(498.1</w:t>
            </w:r>
            <w:r>
              <w:rPr>
                <w:rFonts w:cstheme="minorBidi" w:hint="eastAsia"/>
                <w:b w:val="0"/>
                <w:bCs w:val="0"/>
                <w:sz w:val="18"/>
                <w:szCs w:val="18"/>
              </w:rPr>
              <w:t>～</w:t>
            </w:r>
            <w:r>
              <w:rPr>
                <w:rFonts w:cstheme="minorBidi" w:hint="eastAsia"/>
                <w:b w:val="0"/>
                <w:bCs w:val="0"/>
                <w:sz w:val="18"/>
                <w:szCs w:val="18"/>
              </w:rPr>
              <w:t>26428.9)</w:t>
            </w:r>
          </w:p>
        </w:tc>
      </w:tr>
      <w:tr w:rsidR="006D1C3F" w14:paraId="57B3E561"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199456FA"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Crz+Ens+BSC</w:t>
            </w:r>
            <w:proofErr w:type="spellEnd"/>
          </w:p>
        </w:tc>
        <w:tc>
          <w:tcPr>
            <w:tcW w:w="2835" w:type="dxa"/>
            <w:tcBorders>
              <w:top w:val="single" w:sz="4" w:space="0" w:color="auto"/>
              <w:left w:val="nil"/>
              <w:bottom w:val="single" w:sz="4" w:space="0" w:color="auto"/>
              <w:right w:val="nil"/>
            </w:tcBorders>
            <w:noWrap/>
            <w:vAlign w:val="center"/>
          </w:tcPr>
          <w:p w14:paraId="6AD96E5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89069.9(17605.6</w:t>
            </w:r>
            <w:r>
              <w:rPr>
                <w:rFonts w:cstheme="minorBidi" w:hint="eastAsia"/>
                <w:b w:val="0"/>
                <w:bCs w:val="0"/>
                <w:sz w:val="18"/>
                <w:szCs w:val="18"/>
              </w:rPr>
              <w:t>～</w:t>
            </w:r>
            <w:r>
              <w:rPr>
                <w:rFonts w:cstheme="minorBidi" w:hint="eastAsia"/>
                <w:b w:val="0"/>
                <w:bCs w:val="0"/>
                <w:sz w:val="18"/>
                <w:szCs w:val="18"/>
              </w:rPr>
              <w:t>317218.0)</w:t>
            </w:r>
          </w:p>
        </w:tc>
        <w:tc>
          <w:tcPr>
            <w:tcW w:w="1701" w:type="dxa"/>
            <w:tcBorders>
              <w:top w:val="single" w:sz="4" w:space="0" w:color="auto"/>
              <w:left w:val="single" w:sz="4" w:space="0" w:color="auto"/>
              <w:bottom w:val="single" w:sz="4" w:space="0" w:color="auto"/>
              <w:right w:val="single" w:sz="4" w:space="0" w:color="auto"/>
            </w:tcBorders>
            <w:vAlign w:val="center"/>
          </w:tcPr>
          <w:p w14:paraId="326BD2CF"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3.6(0.5</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6D830DC3"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4587.1(-4597.7</w:t>
            </w:r>
            <w:r>
              <w:rPr>
                <w:rFonts w:cstheme="minorBidi" w:hint="eastAsia"/>
                <w:b w:val="0"/>
                <w:bCs w:val="0"/>
                <w:sz w:val="18"/>
                <w:szCs w:val="18"/>
              </w:rPr>
              <w:t>～</w:t>
            </w:r>
            <w:r>
              <w:rPr>
                <w:rFonts w:cstheme="minorBidi" w:hint="eastAsia"/>
                <w:b w:val="0"/>
                <w:bCs w:val="0"/>
                <w:sz w:val="18"/>
                <w:szCs w:val="18"/>
              </w:rPr>
              <w:t>18386.2)</w:t>
            </w:r>
          </w:p>
        </w:tc>
      </w:tr>
      <w:tr w:rsidR="006D1C3F" w14:paraId="44ECA0BD"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2B7397AD"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Crz+Bri+BSC</w:t>
            </w:r>
            <w:proofErr w:type="spellEnd"/>
          </w:p>
        </w:tc>
        <w:tc>
          <w:tcPr>
            <w:tcW w:w="2835" w:type="dxa"/>
            <w:tcBorders>
              <w:top w:val="single" w:sz="4" w:space="0" w:color="auto"/>
              <w:left w:val="nil"/>
              <w:bottom w:val="single" w:sz="4" w:space="0" w:color="auto"/>
              <w:right w:val="nil"/>
            </w:tcBorders>
            <w:noWrap/>
            <w:vAlign w:val="center"/>
          </w:tcPr>
          <w:p w14:paraId="0C8E8EB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92497.6(20089.5</w:t>
            </w:r>
            <w:r>
              <w:rPr>
                <w:rFonts w:cstheme="minorBidi" w:hint="eastAsia"/>
                <w:b w:val="0"/>
                <w:bCs w:val="0"/>
                <w:sz w:val="18"/>
                <w:szCs w:val="18"/>
              </w:rPr>
              <w:t>～</w:t>
            </w:r>
            <w:r>
              <w:rPr>
                <w:rFonts w:cstheme="minorBidi" w:hint="eastAsia"/>
                <w:b w:val="0"/>
                <w:bCs w:val="0"/>
                <w:sz w:val="18"/>
                <w:szCs w:val="18"/>
              </w:rPr>
              <w:t>317530.1)</w:t>
            </w:r>
          </w:p>
        </w:tc>
        <w:tc>
          <w:tcPr>
            <w:tcW w:w="1701" w:type="dxa"/>
            <w:tcBorders>
              <w:top w:val="single" w:sz="4" w:space="0" w:color="auto"/>
              <w:left w:val="single" w:sz="4" w:space="0" w:color="auto"/>
              <w:bottom w:val="single" w:sz="4" w:space="0" w:color="auto"/>
              <w:right w:val="single" w:sz="4" w:space="0" w:color="auto"/>
            </w:tcBorders>
            <w:vAlign w:val="center"/>
          </w:tcPr>
          <w:p w14:paraId="54066F54"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3.7(0.6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15E9C9BA"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3761.0(-4480.0</w:t>
            </w:r>
            <w:r>
              <w:rPr>
                <w:rFonts w:cstheme="minorBidi" w:hint="eastAsia"/>
                <w:b w:val="0"/>
                <w:bCs w:val="0"/>
                <w:sz w:val="18"/>
                <w:szCs w:val="18"/>
              </w:rPr>
              <w:t>～</w:t>
            </w:r>
            <w:r>
              <w:rPr>
                <w:rFonts w:cstheme="minorBidi" w:hint="eastAsia"/>
                <w:b w:val="0"/>
                <w:bCs w:val="0"/>
                <w:sz w:val="18"/>
                <w:szCs w:val="18"/>
              </w:rPr>
              <w:t>18074.1)</w:t>
            </w:r>
          </w:p>
        </w:tc>
      </w:tr>
      <w:tr w:rsidR="006D1C3F" w14:paraId="1E8BD943"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44DF4708"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Cer+Lor+BSC</w:t>
            </w:r>
            <w:proofErr w:type="spellEnd"/>
          </w:p>
        </w:tc>
        <w:tc>
          <w:tcPr>
            <w:tcW w:w="2835" w:type="dxa"/>
            <w:tcBorders>
              <w:top w:val="single" w:sz="4" w:space="0" w:color="auto"/>
              <w:left w:val="nil"/>
              <w:bottom w:val="single" w:sz="4" w:space="0" w:color="auto"/>
              <w:right w:val="nil"/>
            </w:tcBorders>
            <w:noWrap/>
            <w:vAlign w:val="center"/>
          </w:tcPr>
          <w:p w14:paraId="44B4C59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67299.5(46616.2</w:t>
            </w:r>
            <w:r>
              <w:rPr>
                <w:rFonts w:cstheme="minorBidi" w:hint="eastAsia"/>
                <w:b w:val="0"/>
                <w:bCs w:val="0"/>
                <w:sz w:val="18"/>
                <w:szCs w:val="18"/>
              </w:rPr>
              <w:t>～</w:t>
            </w:r>
            <w:r>
              <w:rPr>
                <w:rFonts w:cstheme="minorBidi" w:hint="eastAsia"/>
                <w:b w:val="0"/>
                <w:bCs w:val="0"/>
                <w:sz w:val="18"/>
                <w:szCs w:val="18"/>
              </w:rPr>
              <w:t>155495.5)</w:t>
            </w:r>
          </w:p>
        </w:tc>
        <w:tc>
          <w:tcPr>
            <w:tcW w:w="1701" w:type="dxa"/>
            <w:tcBorders>
              <w:top w:val="single" w:sz="4" w:space="0" w:color="auto"/>
              <w:left w:val="single" w:sz="4" w:space="0" w:color="auto"/>
              <w:bottom w:val="single" w:sz="4" w:space="0" w:color="auto"/>
              <w:right w:val="single" w:sz="4" w:space="0" w:color="auto"/>
            </w:tcBorders>
            <w:vAlign w:val="center"/>
          </w:tcPr>
          <w:p w14:paraId="660DEB5A"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2.5(0.5</w:t>
            </w:r>
            <w:r>
              <w:rPr>
                <w:rFonts w:cstheme="minorBidi" w:hint="eastAsia"/>
                <w:b w:val="0"/>
                <w:bCs w:val="0"/>
                <w:sz w:val="18"/>
                <w:szCs w:val="18"/>
              </w:rPr>
              <w:t>～</w:t>
            </w:r>
            <w:r>
              <w:rPr>
                <w:rFonts w:cstheme="minorBidi" w:hint="eastAsia"/>
                <w:b w:val="0"/>
                <w:bCs w:val="0"/>
                <w:sz w:val="18"/>
                <w:szCs w:val="18"/>
              </w:rPr>
              <w:t>6.5)</w:t>
            </w:r>
          </w:p>
        </w:tc>
        <w:tc>
          <w:tcPr>
            <w:tcW w:w="2473" w:type="dxa"/>
            <w:tcBorders>
              <w:top w:val="single" w:sz="4" w:space="0" w:color="auto"/>
              <w:left w:val="nil"/>
              <w:bottom w:val="single" w:sz="4" w:space="0" w:color="auto"/>
              <w:right w:val="single" w:sz="4" w:space="0" w:color="auto"/>
            </w:tcBorders>
            <w:vAlign w:val="bottom"/>
          </w:tcPr>
          <w:p w14:paraId="3F0ADB4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-2259.9(-33608.3</w:t>
            </w:r>
            <w:r>
              <w:rPr>
                <w:rFonts w:cstheme="minorBidi" w:hint="eastAsia"/>
                <w:b w:val="0"/>
                <w:bCs w:val="0"/>
                <w:sz w:val="18"/>
                <w:szCs w:val="18"/>
              </w:rPr>
              <w:t>～</w:t>
            </w:r>
            <w:r>
              <w:rPr>
                <w:rFonts w:cstheme="minorBidi" w:hint="eastAsia"/>
                <w:b w:val="0"/>
                <w:bCs w:val="0"/>
                <w:sz w:val="18"/>
                <w:szCs w:val="18"/>
              </w:rPr>
              <w:t>13607.4)</w:t>
            </w:r>
          </w:p>
        </w:tc>
      </w:tr>
      <w:tr w:rsidR="006D1C3F" w14:paraId="54684057"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761AB355"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Bri+Lor+BSC</w:t>
            </w:r>
            <w:proofErr w:type="spellEnd"/>
          </w:p>
        </w:tc>
        <w:tc>
          <w:tcPr>
            <w:tcW w:w="2835" w:type="dxa"/>
            <w:tcBorders>
              <w:top w:val="single" w:sz="4" w:space="0" w:color="auto"/>
              <w:left w:val="nil"/>
              <w:bottom w:val="single" w:sz="4" w:space="0" w:color="auto"/>
              <w:right w:val="nil"/>
            </w:tcBorders>
            <w:noWrap/>
            <w:vAlign w:val="center"/>
          </w:tcPr>
          <w:p w14:paraId="795EB578"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108720.0(45050.2</w:t>
            </w:r>
            <w:r>
              <w:rPr>
                <w:rFonts w:cstheme="minorBidi" w:hint="eastAsia"/>
                <w:b w:val="0"/>
                <w:bCs w:val="0"/>
                <w:sz w:val="18"/>
                <w:szCs w:val="18"/>
              </w:rPr>
              <w:t>～</w:t>
            </w:r>
            <w:r>
              <w:rPr>
                <w:rFonts w:cstheme="minorBidi" w:hint="eastAsia"/>
                <w:b w:val="0"/>
                <w:bCs w:val="0"/>
                <w:sz w:val="18"/>
                <w:szCs w:val="18"/>
              </w:rPr>
              <w:t>314027.8)</w:t>
            </w:r>
          </w:p>
        </w:tc>
        <w:tc>
          <w:tcPr>
            <w:tcW w:w="1701" w:type="dxa"/>
            <w:tcBorders>
              <w:top w:val="single" w:sz="4" w:space="0" w:color="auto"/>
              <w:left w:val="single" w:sz="4" w:space="0" w:color="auto"/>
              <w:bottom w:val="single" w:sz="4" w:space="0" w:color="auto"/>
              <w:right w:val="single" w:sz="4" w:space="0" w:color="auto"/>
            </w:tcBorders>
            <w:vAlign w:val="center"/>
          </w:tcPr>
          <w:p w14:paraId="4164A485"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4.2(0.6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4D0859C2"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546.5(-29440.7</w:t>
            </w:r>
            <w:r>
              <w:rPr>
                <w:rFonts w:cstheme="minorBidi" w:hint="eastAsia"/>
                <w:b w:val="0"/>
                <w:bCs w:val="0"/>
                <w:sz w:val="18"/>
                <w:szCs w:val="18"/>
              </w:rPr>
              <w:t>～</w:t>
            </w:r>
            <w:r>
              <w:rPr>
                <w:rFonts w:cstheme="minorBidi" w:hint="eastAsia"/>
                <w:b w:val="0"/>
                <w:bCs w:val="0"/>
                <w:sz w:val="18"/>
                <w:szCs w:val="18"/>
              </w:rPr>
              <w:t>21576.4)</w:t>
            </w:r>
          </w:p>
        </w:tc>
      </w:tr>
      <w:tr w:rsidR="006D1C3F" w14:paraId="5AB48335"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3E7933C7"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Che+Cer+BSC</w:t>
            </w:r>
            <w:proofErr w:type="spellEnd"/>
          </w:p>
        </w:tc>
        <w:tc>
          <w:tcPr>
            <w:tcW w:w="2835" w:type="dxa"/>
            <w:tcBorders>
              <w:top w:val="single" w:sz="4" w:space="0" w:color="auto"/>
              <w:left w:val="nil"/>
              <w:bottom w:val="single" w:sz="4" w:space="0" w:color="auto"/>
              <w:right w:val="nil"/>
            </w:tcBorders>
            <w:noWrap/>
            <w:vAlign w:val="center"/>
          </w:tcPr>
          <w:p w14:paraId="4AC441E4"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92696.3(18022.5</w:t>
            </w:r>
            <w:r>
              <w:rPr>
                <w:rFonts w:cstheme="minorBidi" w:hint="eastAsia"/>
                <w:b w:val="0"/>
                <w:bCs w:val="0"/>
                <w:sz w:val="18"/>
                <w:szCs w:val="18"/>
              </w:rPr>
              <w:t>～</w:t>
            </w:r>
            <w:r>
              <w:rPr>
                <w:rFonts w:cstheme="minorBidi" w:hint="eastAsia"/>
                <w:b w:val="0"/>
                <w:bCs w:val="0"/>
                <w:sz w:val="18"/>
                <w:szCs w:val="18"/>
              </w:rPr>
              <w:t>270767.7)</w:t>
            </w:r>
          </w:p>
        </w:tc>
        <w:tc>
          <w:tcPr>
            <w:tcW w:w="1701" w:type="dxa"/>
            <w:tcBorders>
              <w:top w:val="single" w:sz="4" w:space="0" w:color="auto"/>
              <w:left w:val="single" w:sz="4" w:space="0" w:color="auto"/>
              <w:bottom w:val="single" w:sz="4" w:space="0" w:color="auto"/>
              <w:right w:val="single" w:sz="4" w:space="0" w:color="auto"/>
            </w:tcBorders>
            <w:vAlign w:val="center"/>
          </w:tcPr>
          <w:p w14:paraId="6620B78B"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3.9(0.6</w:t>
            </w:r>
            <w:r>
              <w:rPr>
                <w:rFonts w:cstheme="minorBidi" w:hint="eastAsia"/>
                <w:b w:val="0"/>
                <w:bCs w:val="0"/>
                <w:sz w:val="18"/>
                <w:szCs w:val="18"/>
              </w:rPr>
              <w:t>～</w:t>
            </w:r>
            <w:r>
              <w:rPr>
                <w:rFonts w:cstheme="minorBidi" w:hint="eastAsia"/>
                <w:b w:val="0"/>
                <w:bCs w:val="0"/>
                <w:sz w:val="18"/>
                <w:szCs w:val="18"/>
              </w:rPr>
              <w:t>11.6)</w:t>
            </w:r>
          </w:p>
        </w:tc>
        <w:tc>
          <w:tcPr>
            <w:tcW w:w="2473" w:type="dxa"/>
            <w:tcBorders>
              <w:top w:val="single" w:sz="4" w:space="0" w:color="auto"/>
              <w:left w:val="nil"/>
              <w:bottom w:val="single" w:sz="4" w:space="0" w:color="auto"/>
              <w:right w:val="single" w:sz="4" w:space="0" w:color="auto"/>
            </w:tcBorders>
            <w:vAlign w:val="bottom"/>
          </w:tcPr>
          <w:p w14:paraId="102E4908"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8765.4(-2413.0</w:t>
            </w:r>
            <w:r>
              <w:rPr>
                <w:rFonts w:cstheme="minorBidi" w:hint="eastAsia"/>
                <w:b w:val="0"/>
                <w:bCs w:val="0"/>
                <w:sz w:val="18"/>
                <w:szCs w:val="18"/>
              </w:rPr>
              <w:t>～</w:t>
            </w:r>
            <w:r>
              <w:rPr>
                <w:rFonts w:cstheme="minorBidi" w:hint="eastAsia"/>
                <w:b w:val="0"/>
                <w:bCs w:val="0"/>
                <w:sz w:val="18"/>
                <w:szCs w:val="18"/>
              </w:rPr>
              <w:t>31015.9)</w:t>
            </w:r>
          </w:p>
        </w:tc>
      </w:tr>
      <w:tr w:rsidR="006D1C3F" w14:paraId="22E272FB"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5A1A7726"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Env+Cer+BSC</w:t>
            </w:r>
            <w:proofErr w:type="spellEnd"/>
          </w:p>
        </w:tc>
        <w:tc>
          <w:tcPr>
            <w:tcW w:w="2835" w:type="dxa"/>
            <w:tcBorders>
              <w:top w:val="single" w:sz="4" w:space="0" w:color="auto"/>
              <w:left w:val="nil"/>
              <w:bottom w:val="single" w:sz="4" w:space="0" w:color="auto"/>
              <w:right w:val="nil"/>
            </w:tcBorders>
            <w:noWrap/>
            <w:vAlign w:val="center"/>
          </w:tcPr>
          <w:p w14:paraId="4459C00D"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65773.5(15110.1</w:t>
            </w:r>
            <w:r>
              <w:rPr>
                <w:rFonts w:cstheme="minorBidi" w:hint="eastAsia"/>
                <w:b w:val="0"/>
                <w:bCs w:val="0"/>
                <w:sz w:val="18"/>
                <w:szCs w:val="18"/>
              </w:rPr>
              <w:t>～</w:t>
            </w:r>
            <w:r>
              <w:rPr>
                <w:rFonts w:cstheme="minorBidi" w:hint="eastAsia"/>
                <w:b w:val="0"/>
                <w:bCs w:val="0"/>
                <w:sz w:val="18"/>
                <w:szCs w:val="18"/>
              </w:rPr>
              <w:t>212523.4)</w:t>
            </w:r>
          </w:p>
        </w:tc>
        <w:tc>
          <w:tcPr>
            <w:tcW w:w="1701" w:type="dxa"/>
            <w:tcBorders>
              <w:top w:val="single" w:sz="4" w:space="0" w:color="auto"/>
              <w:left w:val="single" w:sz="4" w:space="0" w:color="auto"/>
              <w:bottom w:val="single" w:sz="4" w:space="0" w:color="auto"/>
              <w:right w:val="single" w:sz="4" w:space="0" w:color="auto"/>
            </w:tcBorders>
            <w:vAlign w:val="center"/>
          </w:tcPr>
          <w:p w14:paraId="422984FE"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2.8(0.6</w:t>
            </w:r>
            <w:r>
              <w:rPr>
                <w:rFonts w:cstheme="minorBidi" w:hint="eastAsia"/>
                <w:b w:val="0"/>
                <w:bCs w:val="0"/>
                <w:sz w:val="18"/>
                <w:szCs w:val="18"/>
              </w:rPr>
              <w:t>～</w:t>
            </w:r>
            <w:r>
              <w:rPr>
                <w:rFonts w:cstheme="minorBidi" w:hint="eastAsia"/>
                <w:b w:val="0"/>
                <w:bCs w:val="0"/>
                <w:sz w:val="18"/>
                <w:szCs w:val="18"/>
              </w:rPr>
              <w:t>9)</w:t>
            </w:r>
          </w:p>
        </w:tc>
        <w:tc>
          <w:tcPr>
            <w:tcW w:w="2473" w:type="dxa"/>
            <w:tcBorders>
              <w:top w:val="single" w:sz="4" w:space="0" w:color="auto"/>
              <w:left w:val="nil"/>
              <w:bottom w:val="single" w:sz="4" w:space="0" w:color="auto"/>
              <w:right w:val="single" w:sz="4" w:space="0" w:color="auto"/>
            </w:tcBorders>
            <w:vAlign w:val="bottom"/>
          </w:tcPr>
          <w:p w14:paraId="4DDFEF0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7070.8(499.4</w:t>
            </w:r>
            <w:r>
              <w:rPr>
                <w:rFonts w:cstheme="minorBidi" w:hint="eastAsia"/>
                <w:b w:val="0"/>
                <w:bCs w:val="0"/>
                <w:sz w:val="18"/>
                <w:szCs w:val="18"/>
              </w:rPr>
              <w:t>～</w:t>
            </w:r>
            <w:r>
              <w:rPr>
                <w:rFonts w:cstheme="minorBidi" w:hint="eastAsia"/>
                <w:b w:val="0"/>
                <w:bCs w:val="0"/>
                <w:sz w:val="18"/>
                <w:szCs w:val="18"/>
              </w:rPr>
              <w:t>21619.1)</w:t>
            </w:r>
          </w:p>
        </w:tc>
      </w:tr>
      <w:tr w:rsidR="006D1C3F" w14:paraId="5489EBFC"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6461D5EE"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lastRenderedPageBreak/>
              <w:t>Crz+Lor+BSC</w:t>
            </w:r>
            <w:proofErr w:type="spellEnd"/>
          </w:p>
        </w:tc>
        <w:tc>
          <w:tcPr>
            <w:tcW w:w="2835" w:type="dxa"/>
            <w:tcBorders>
              <w:top w:val="single" w:sz="4" w:space="0" w:color="auto"/>
              <w:left w:val="nil"/>
              <w:bottom w:val="single" w:sz="4" w:space="0" w:color="auto"/>
              <w:right w:val="nil"/>
            </w:tcBorders>
            <w:noWrap/>
            <w:vAlign w:val="bottom"/>
          </w:tcPr>
          <w:p w14:paraId="185907FF"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119775.1(119931.8</w:t>
            </w:r>
            <w:r>
              <w:rPr>
                <w:rFonts w:cstheme="minorBidi" w:hint="eastAsia"/>
                <w:b w:val="0"/>
                <w:bCs w:val="0"/>
                <w:sz w:val="18"/>
                <w:szCs w:val="18"/>
              </w:rPr>
              <w:t>～</w:t>
            </w:r>
            <w:r>
              <w:rPr>
                <w:rFonts w:cstheme="minorBidi" w:hint="eastAsia"/>
                <w:b w:val="0"/>
                <w:bCs w:val="0"/>
                <w:sz w:val="18"/>
                <w:szCs w:val="18"/>
              </w:rPr>
              <w:t>317149.6)</w:t>
            </w:r>
          </w:p>
        </w:tc>
        <w:tc>
          <w:tcPr>
            <w:tcW w:w="1701" w:type="dxa"/>
            <w:tcBorders>
              <w:top w:val="single" w:sz="4" w:space="0" w:color="auto"/>
              <w:left w:val="single" w:sz="4" w:space="0" w:color="auto"/>
              <w:bottom w:val="single" w:sz="4" w:space="0" w:color="auto"/>
              <w:right w:val="single" w:sz="4" w:space="0" w:color="auto"/>
            </w:tcBorders>
            <w:vAlign w:val="center"/>
          </w:tcPr>
          <w:p w14:paraId="2A9470C5"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4(0.6</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1BB6F2B6"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-15711.8(-104322.3</w:t>
            </w:r>
            <w:r>
              <w:rPr>
                <w:rFonts w:cstheme="minorBidi" w:hint="eastAsia"/>
                <w:b w:val="0"/>
                <w:bCs w:val="0"/>
                <w:sz w:val="18"/>
                <w:szCs w:val="18"/>
              </w:rPr>
              <w:t>～</w:t>
            </w:r>
            <w:r>
              <w:rPr>
                <w:rFonts w:cstheme="minorBidi" w:hint="eastAsia"/>
                <w:b w:val="0"/>
                <w:bCs w:val="0"/>
                <w:sz w:val="18"/>
                <w:szCs w:val="18"/>
              </w:rPr>
              <w:t>18454.6)</w:t>
            </w:r>
          </w:p>
        </w:tc>
      </w:tr>
      <w:tr w:rsidR="006D1C3F" w14:paraId="5A348E3E"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4A2F0168"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Bri+Cer+BSC</w:t>
            </w:r>
            <w:proofErr w:type="spellEnd"/>
          </w:p>
        </w:tc>
        <w:tc>
          <w:tcPr>
            <w:tcW w:w="2835" w:type="dxa"/>
            <w:tcBorders>
              <w:top w:val="single" w:sz="4" w:space="0" w:color="auto"/>
              <w:left w:val="nil"/>
              <w:bottom w:val="single" w:sz="4" w:space="0" w:color="auto"/>
              <w:right w:val="nil"/>
            </w:tcBorders>
            <w:noWrap/>
            <w:vAlign w:val="bottom"/>
          </w:tcPr>
          <w:p w14:paraId="0855CAFA"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99704.8(13865.2</w:t>
            </w:r>
            <w:r>
              <w:rPr>
                <w:rFonts w:cstheme="minorBidi" w:hint="eastAsia"/>
                <w:b w:val="0"/>
                <w:bCs w:val="0"/>
                <w:sz w:val="18"/>
                <w:szCs w:val="18"/>
              </w:rPr>
              <w:t>～</w:t>
            </w:r>
            <w:r>
              <w:rPr>
                <w:rFonts w:cstheme="minorBidi" w:hint="eastAsia"/>
                <w:b w:val="0"/>
                <w:bCs w:val="0"/>
                <w:sz w:val="18"/>
                <w:szCs w:val="18"/>
              </w:rPr>
              <w:t>314138.7)</w:t>
            </w:r>
          </w:p>
        </w:tc>
        <w:tc>
          <w:tcPr>
            <w:tcW w:w="1701" w:type="dxa"/>
            <w:tcBorders>
              <w:top w:val="single" w:sz="4" w:space="0" w:color="auto"/>
              <w:left w:val="single" w:sz="4" w:space="0" w:color="auto"/>
              <w:bottom w:val="single" w:sz="4" w:space="0" w:color="auto"/>
              <w:right w:val="single" w:sz="4" w:space="0" w:color="auto"/>
            </w:tcBorders>
            <w:vAlign w:val="center"/>
          </w:tcPr>
          <w:p w14:paraId="5E588447"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4.1(0.5</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04D77F1F"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6960.1(-857.3</w:t>
            </w:r>
            <w:r>
              <w:rPr>
                <w:rFonts w:cstheme="minorBidi" w:hint="eastAsia"/>
                <w:b w:val="0"/>
                <w:bCs w:val="0"/>
                <w:sz w:val="18"/>
                <w:szCs w:val="18"/>
              </w:rPr>
              <w:t>～</w:t>
            </w:r>
            <w:r>
              <w:rPr>
                <w:rFonts w:cstheme="minorBidi" w:hint="eastAsia"/>
                <w:b w:val="0"/>
                <w:bCs w:val="0"/>
                <w:sz w:val="18"/>
                <w:szCs w:val="18"/>
              </w:rPr>
              <w:t>21465.5)</w:t>
            </w:r>
          </w:p>
        </w:tc>
      </w:tr>
      <w:tr w:rsidR="006D1C3F" w14:paraId="5CF1DCDE"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2D41D364"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Che+Crz+BSC</w:t>
            </w:r>
            <w:proofErr w:type="spellEnd"/>
          </w:p>
        </w:tc>
        <w:tc>
          <w:tcPr>
            <w:tcW w:w="2835" w:type="dxa"/>
            <w:tcBorders>
              <w:top w:val="single" w:sz="4" w:space="0" w:color="auto"/>
              <w:left w:val="nil"/>
              <w:bottom w:val="single" w:sz="4" w:space="0" w:color="auto"/>
              <w:right w:val="nil"/>
            </w:tcBorders>
            <w:noWrap/>
            <w:vAlign w:val="bottom"/>
          </w:tcPr>
          <w:p w14:paraId="51576843"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34750.6(13241.5</w:t>
            </w:r>
            <w:r>
              <w:rPr>
                <w:rFonts w:cstheme="minorBidi" w:hint="eastAsia"/>
                <w:b w:val="0"/>
                <w:bCs w:val="0"/>
                <w:sz w:val="18"/>
                <w:szCs w:val="18"/>
              </w:rPr>
              <w:t>～</w:t>
            </w:r>
            <w:r>
              <w:rPr>
                <w:rFonts w:cstheme="minorBidi" w:hint="eastAsia"/>
                <w:b w:val="0"/>
                <w:bCs w:val="0"/>
                <w:sz w:val="18"/>
                <w:szCs w:val="18"/>
              </w:rPr>
              <w:t>66530.4)</w:t>
            </w:r>
          </w:p>
        </w:tc>
        <w:tc>
          <w:tcPr>
            <w:tcW w:w="1701" w:type="dxa"/>
            <w:tcBorders>
              <w:top w:val="single" w:sz="4" w:space="0" w:color="auto"/>
              <w:left w:val="single" w:sz="4" w:space="0" w:color="auto"/>
              <w:bottom w:val="single" w:sz="4" w:space="0" w:color="auto"/>
              <w:right w:val="single" w:sz="4" w:space="0" w:color="auto"/>
            </w:tcBorders>
            <w:vAlign w:val="center"/>
          </w:tcPr>
          <w:p w14:paraId="2147B061"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1.7(0.5</w:t>
            </w:r>
            <w:r>
              <w:rPr>
                <w:rFonts w:cstheme="minorBidi" w:hint="eastAsia"/>
                <w:b w:val="0"/>
                <w:bCs w:val="0"/>
                <w:sz w:val="18"/>
                <w:szCs w:val="18"/>
              </w:rPr>
              <w:t>～</w:t>
            </w:r>
            <w:r>
              <w:rPr>
                <w:rFonts w:cstheme="minorBidi" w:hint="eastAsia"/>
                <w:b w:val="0"/>
                <w:bCs w:val="0"/>
                <w:sz w:val="18"/>
                <w:szCs w:val="18"/>
              </w:rPr>
              <w:t>3.8)</w:t>
            </w:r>
          </w:p>
        </w:tc>
        <w:tc>
          <w:tcPr>
            <w:tcW w:w="2473" w:type="dxa"/>
            <w:tcBorders>
              <w:top w:val="single" w:sz="4" w:space="0" w:color="auto"/>
              <w:left w:val="nil"/>
              <w:bottom w:val="single" w:sz="4" w:space="0" w:color="auto"/>
              <w:right w:val="single" w:sz="4" w:space="0" w:color="auto"/>
            </w:tcBorders>
            <w:vAlign w:val="bottom"/>
          </w:tcPr>
          <w:p w14:paraId="56462B24"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9476.3(-233.6</w:t>
            </w:r>
            <w:r>
              <w:rPr>
                <w:rFonts w:cstheme="minorBidi" w:hint="eastAsia"/>
                <w:b w:val="0"/>
                <w:bCs w:val="0"/>
                <w:sz w:val="18"/>
                <w:szCs w:val="18"/>
              </w:rPr>
              <w:t>～</w:t>
            </w:r>
            <w:r>
              <w:rPr>
                <w:rFonts w:cstheme="minorBidi" w:hint="eastAsia"/>
                <w:b w:val="0"/>
                <w:bCs w:val="0"/>
                <w:sz w:val="18"/>
                <w:szCs w:val="18"/>
              </w:rPr>
              <w:t>32329.8)</w:t>
            </w:r>
          </w:p>
        </w:tc>
      </w:tr>
      <w:tr w:rsidR="006D1C3F" w14:paraId="136169E1"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45B313DA"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Crz+Che+BSC</w:t>
            </w:r>
            <w:proofErr w:type="spellEnd"/>
          </w:p>
        </w:tc>
        <w:tc>
          <w:tcPr>
            <w:tcW w:w="2835" w:type="dxa"/>
            <w:tcBorders>
              <w:top w:val="single" w:sz="4" w:space="0" w:color="auto"/>
              <w:left w:val="nil"/>
              <w:bottom w:val="single" w:sz="4" w:space="0" w:color="auto"/>
              <w:right w:val="nil"/>
            </w:tcBorders>
            <w:noWrap/>
            <w:vAlign w:val="bottom"/>
          </w:tcPr>
          <w:p w14:paraId="020D7EE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64317.6(8999.8</w:t>
            </w:r>
            <w:r>
              <w:rPr>
                <w:rFonts w:cstheme="minorBidi" w:hint="eastAsia"/>
                <w:b w:val="0"/>
                <w:bCs w:val="0"/>
                <w:sz w:val="18"/>
                <w:szCs w:val="18"/>
              </w:rPr>
              <w:t>～</w:t>
            </w:r>
            <w:r>
              <w:rPr>
                <w:rFonts w:cstheme="minorBidi" w:hint="eastAsia"/>
                <w:b w:val="0"/>
                <w:bCs w:val="0"/>
                <w:sz w:val="18"/>
                <w:szCs w:val="18"/>
              </w:rPr>
              <w:t>316374.6)</w:t>
            </w:r>
          </w:p>
        </w:tc>
        <w:tc>
          <w:tcPr>
            <w:tcW w:w="1701" w:type="dxa"/>
            <w:tcBorders>
              <w:top w:val="single" w:sz="4" w:space="0" w:color="auto"/>
              <w:left w:val="single" w:sz="4" w:space="0" w:color="auto"/>
              <w:bottom w:val="single" w:sz="4" w:space="0" w:color="auto"/>
              <w:right w:val="single" w:sz="4" w:space="0" w:color="auto"/>
            </w:tcBorders>
            <w:vAlign w:val="center"/>
          </w:tcPr>
          <w:p w14:paraId="5ACAC65A"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2.8(0.4</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30284164"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8526.7(1406.5</w:t>
            </w:r>
            <w:r>
              <w:rPr>
                <w:rFonts w:cstheme="minorBidi" w:hint="eastAsia"/>
                <w:b w:val="0"/>
                <w:bCs w:val="0"/>
                <w:sz w:val="18"/>
                <w:szCs w:val="18"/>
              </w:rPr>
              <w:t>～</w:t>
            </w:r>
            <w:r>
              <w:rPr>
                <w:rFonts w:cstheme="minorBidi" w:hint="eastAsia"/>
                <w:b w:val="0"/>
                <w:bCs w:val="0"/>
                <w:sz w:val="18"/>
                <w:szCs w:val="18"/>
              </w:rPr>
              <w:t>19229.6)</w:t>
            </w:r>
          </w:p>
        </w:tc>
      </w:tr>
      <w:tr w:rsidR="006D1C3F" w14:paraId="7FD8BF69" w14:textId="77777777">
        <w:trP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1B279A55" w14:textId="77777777" w:rsidR="006D1C3F" w:rsidRDefault="00000000">
            <w:pPr>
              <w:snapToGrid w:val="0"/>
              <w:ind w:firstLineChars="0" w:firstLine="0"/>
              <w:jc w:val="center"/>
              <w:rPr>
                <w:rFonts w:cstheme="minorBidi"/>
                <w:b w:val="0"/>
                <w:bCs w:val="0"/>
                <w:sz w:val="18"/>
                <w:szCs w:val="18"/>
              </w:rPr>
            </w:pPr>
            <w:proofErr w:type="spellStart"/>
            <w:r>
              <w:rPr>
                <w:rFonts w:cstheme="minorBidi" w:hint="eastAsia"/>
                <w:b w:val="0"/>
                <w:bCs w:val="0"/>
                <w:sz w:val="18"/>
                <w:szCs w:val="18"/>
              </w:rPr>
              <w:t>Crz+Cer+BSC</w:t>
            </w:r>
            <w:proofErr w:type="spellEnd"/>
          </w:p>
        </w:tc>
        <w:tc>
          <w:tcPr>
            <w:tcW w:w="2835" w:type="dxa"/>
            <w:tcBorders>
              <w:top w:val="single" w:sz="4" w:space="0" w:color="auto"/>
              <w:left w:val="nil"/>
              <w:bottom w:val="single" w:sz="4" w:space="0" w:color="auto"/>
              <w:right w:val="nil"/>
            </w:tcBorders>
            <w:noWrap/>
            <w:vAlign w:val="bottom"/>
          </w:tcPr>
          <w:p w14:paraId="59586E31"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72928.2(13190.1</w:t>
            </w:r>
            <w:r>
              <w:rPr>
                <w:rFonts w:cstheme="minorBidi" w:hint="eastAsia"/>
                <w:b w:val="0"/>
                <w:bCs w:val="0"/>
                <w:sz w:val="18"/>
                <w:szCs w:val="18"/>
              </w:rPr>
              <w:t>～</w:t>
            </w:r>
            <w:r>
              <w:rPr>
                <w:rFonts w:cstheme="minorBidi" w:hint="eastAsia"/>
                <w:b w:val="0"/>
                <w:bCs w:val="0"/>
                <w:sz w:val="18"/>
                <w:szCs w:val="18"/>
              </w:rPr>
              <w:t>317638.0)</w:t>
            </w:r>
          </w:p>
        </w:tc>
        <w:tc>
          <w:tcPr>
            <w:tcW w:w="1701" w:type="dxa"/>
            <w:tcBorders>
              <w:top w:val="single" w:sz="4" w:space="0" w:color="auto"/>
              <w:left w:val="single" w:sz="4" w:space="0" w:color="auto"/>
              <w:bottom w:val="single" w:sz="4" w:space="0" w:color="auto"/>
              <w:right w:val="single" w:sz="4" w:space="0" w:color="auto"/>
            </w:tcBorders>
            <w:vAlign w:val="center"/>
          </w:tcPr>
          <w:p w14:paraId="30883A4C"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3(0.5</w:t>
            </w:r>
            <w:r>
              <w:rPr>
                <w:rFonts w:cstheme="minorBidi" w:hint="eastAsia"/>
                <w:b w:val="0"/>
                <w:bCs w:val="0"/>
                <w:sz w:val="18"/>
                <w:szCs w:val="18"/>
              </w:rPr>
              <w:t>～</w:t>
            </w:r>
            <w:r>
              <w:rPr>
                <w:rFonts w:cstheme="minorBidi" w:hint="eastAsia"/>
                <w:b w:val="0"/>
                <w:bCs w:val="0"/>
                <w:sz w:val="18"/>
                <w:szCs w:val="18"/>
              </w:rPr>
              <w:t>12.9)</w:t>
            </w:r>
          </w:p>
        </w:tc>
        <w:tc>
          <w:tcPr>
            <w:tcW w:w="2473" w:type="dxa"/>
            <w:tcBorders>
              <w:top w:val="single" w:sz="4" w:space="0" w:color="auto"/>
              <w:left w:val="nil"/>
              <w:bottom w:val="single" w:sz="4" w:space="0" w:color="auto"/>
              <w:right w:val="single" w:sz="4" w:space="0" w:color="auto"/>
            </w:tcBorders>
            <w:vAlign w:val="bottom"/>
          </w:tcPr>
          <w:p w14:paraId="7531500B" w14:textId="77777777" w:rsidR="006D1C3F" w:rsidRDefault="00000000">
            <w:pPr>
              <w:snapToGrid w:val="0"/>
              <w:ind w:firstLineChars="0" w:firstLine="0"/>
              <w:jc w:val="center"/>
              <w:rPr>
                <w:rFonts w:cstheme="minorBidi"/>
                <w:b w:val="0"/>
                <w:bCs w:val="0"/>
                <w:sz w:val="18"/>
                <w:szCs w:val="18"/>
              </w:rPr>
            </w:pPr>
            <w:r>
              <w:rPr>
                <w:rFonts w:cstheme="minorBidi" w:hint="eastAsia"/>
                <w:b w:val="0"/>
                <w:bCs w:val="0"/>
                <w:sz w:val="18"/>
                <w:szCs w:val="18"/>
              </w:rPr>
              <w:t>5119.3(-182.2</w:t>
            </w:r>
            <w:r>
              <w:rPr>
                <w:rFonts w:cstheme="minorBidi" w:hint="eastAsia"/>
                <w:b w:val="0"/>
                <w:bCs w:val="0"/>
                <w:sz w:val="18"/>
                <w:szCs w:val="18"/>
              </w:rPr>
              <w:t>～</w:t>
            </w:r>
            <w:r>
              <w:rPr>
                <w:rFonts w:cstheme="minorBidi" w:hint="eastAsia"/>
                <w:b w:val="0"/>
                <w:bCs w:val="0"/>
                <w:sz w:val="18"/>
                <w:szCs w:val="18"/>
              </w:rPr>
              <w:t>17966.2)</w:t>
            </w:r>
          </w:p>
        </w:tc>
      </w:tr>
    </w:tbl>
    <w:p w14:paraId="39342471" w14:textId="77777777" w:rsidR="006D1C3F" w:rsidRDefault="00000000">
      <w:pPr>
        <w:spacing w:line="240" w:lineRule="auto"/>
        <w:ind w:firstLineChars="0" w:firstLine="0"/>
        <w:jc w:val="left"/>
        <w:rPr>
          <w:rFonts w:cstheme="minorBidi"/>
          <w:b w:val="0"/>
          <w:bCs w:val="0"/>
          <w:sz w:val="18"/>
          <w:szCs w:val="18"/>
        </w:rPr>
      </w:pPr>
      <w:r>
        <w:rPr>
          <w:rFonts w:cstheme="minorBidi" w:hint="eastAsia"/>
          <w:b w:val="0"/>
          <w:bCs w:val="0"/>
          <w:sz w:val="18"/>
          <w:szCs w:val="18"/>
        </w:rPr>
        <w:t xml:space="preserve">Ale, </w:t>
      </w:r>
      <w:proofErr w:type="spellStart"/>
      <w:r>
        <w:rPr>
          <w:rFonts w:cstheme="minorBidi" w:hint="eastAsia"/>
          <w:b w:val="0"/>
          <w:bCs w:val="0"/>
          <w:sz w:val="18"/>
          <w:szCs w:val="18"/>
        </w:rPr>
        <w:t>Alectinib</w:t>
      </w:r>
      <w:proofErr w:type="spellEnd"/>
      <w:r>
        <w:rPr>
          <w:rFonts w:cstheme="minorBidi" w:hint="eastAsia"/>
          <w:b w:val="0"/>
          <w:bCs w:val="0"/>
          <w:sz w:val="18"/>
          <w:szCs w:val="18"/>
        </w:rPr>
        <w:t xml:space="preserve">; Bri, </w:t>
      </w:r>
      <w:proofErr w:type="spellStart"/>
      <w:r>
        <w:rPr>
          <w:rFonts w:cstheme="minorBidi" w:hint="eastAsia"/>
          <w:b w:val="0"/>
          <w:bCs w:val="0"/>
          <w:sz w:val="18"/>
          <w:szCs w:val="18"/>
        </w:rPr>
        <w:t>Brigatinib</w:t>
      </w:r>
      <w:proofErr w:type="spellEnd"/>
      <w:r>
        <w:rPr>
          <w:rFonts w:cstheme="minorBidi" w:hint="eastAsia"/>
          <w:b w:val="0"/>
          <w:bCs w:val="0"/>
          <w:sz w:val="18"/>
          <w:szCs w:val="18"/>
        </w:rPr>
        <w:t xml:space="preserve">; Cer, </w:t>
      </w:r>
      <w:proofErr w:type="spellStart"/>
      <w:r>
        <w:rPr>
          <w:rFonts w:cstheme="minorBidi" w:hint="eastAsia"/>
          <w:b w:val="0"/>
          <w:bCs w:val="0"/>
          <w:sz w:val="18"/>
          <w:szCs w:val="18"/>
        </w:rPr>
        <w:t>Ceritinib</w:t>
      </w:r>
      <w:proofErr w:type="spellEnd"/>
      <w:r>
        <w:rPr>
          <w:rFonts w:cstheme="minorBidi" w:hint="eastAsia"/>
          <w:b w:val="0"/>
          <w:bCs w:val="0"/>
          <w:sz w:val="18"/>
          <w:szCs w:val="18"/>
        </w:rPr>
        <w:t xml:space="preserve">; Che, Chemotherapy; Cri, Crizotinib; Ens, </w:t>
      </w:r>
      <w:proofErr w:type="spellStart"/>
      <w:r>
        <w:rPr>
          <w:rFonts w:cstheme="minorBidi" w:hint="eastAsia"/>
          <w:b w:val="0"/>
          <w:bCs w:val="0"/>
          <w:sz w:val="18"/>
          <w:szCs w:val="18"/>
        </w:rPr>
        <w:t>Ensartinib</w:t>
      </w:r>
      <w:proofErr w:type="spellEnd"/>
      <w:r>
        <w:rPr>
          <w:rFonts w:cstheme="minorBidi" w:hint="eastAsia"/>
          <w:b w:val="0"/>
          <w:bCs w:val="0"/>
          <w:sz w:val="18"/>
          <w:szCs w:val="18"/>
        </w:rPr>
        <w:t xml:space="preserve">; Env, </w:t>
      </w:r>
      <w:proofErr w:type="spellStart"/>
      <w:r>
        <w:rPr>
          <w:rFonts w:cstheme="minorBidi" w:hint="eastAsia"/>
          <w:b w:val="0"/>
          <w:bCs w:val="0"/>
          <w:sz w:val="18"/>
          <w:szCs w:val="18"/>
        </w:rPr>
        <w:t>Envonalkib</w:t>
      </w:r>
      <w:proofErr w:type="spellEnd"/>
      <w:r>
        <w:rPr>
          <w:rFonts w:cstheme="minorBidi" w:hint="eastAsia"/>
          <w:b w:val="0"/>
          <w:bCs w:val="0"/>
          <w:sz w:val="18"/>
          <w:szCs w:val="18"/>
        </w:rPr>
        <w:t xml:space="preserve">; </w:t>
      </w:r>
      <w:proofErr w:type="spellStart"/>
      <w:r>
        <w:rPr>
          <w:rFonts w:cstheme="minorBidi" w:hint="eastAsia"/>
          <w:b w:val="0"/>
          <w:bCs w:val="0"/>
          <w:sz w:val="18"/>
          <w:szCs w:val="18"/>
        </w:rPr>
        <w:t>Iru</w:t>
      </w:r>
      <w:proofErr w:type="spellEnd"/>
      <w:r>
        <w:rPr>
          <w:rFonts w:cstheme="minorBidi" w:hint="eastAsia"/>
          <w:b w:val="0"/>
          <w:bCs w:val="0"/>
          <w:sz w:val="18"/>
          <w:szCs w:val="18"/>
        </w:rPr>
        <w:t xml:space="preserve">, </w:t>
      </w:r>
      <w:proofErr w:type="spellStart"/>
      <w:r>
        <w:rPr>
          <w:rFonts w:cstheme="minorBidi" w:hint="eastAsia"/>
          <w:b w:val="0"/>
          <w:bCs w:val="0"/>
          <w:sz w:val="18"/>
          <w:szCs w:val="18"/>
        </w:rPr>
        <w:t>Iruplinalkib</w:t>
      </w:r>
      <w:proofErr w:type="spellEnd"/>
      <w:r>
        <w:rPr>
          <w:rFonts w:cstheme="minorBidi" w:hint="eastAsia"/>
          <w:b w:val="0"/>
          <w:bCs w:val="0"/>
          <w:sz w:val="18"/>
          <w:szCs w:val="18"/>
        </w:rPr>
        <w:t xml:space="preserve">; Lor, </w:t>
      </w:r>
      <w:proofErr w:type="spellStart"/>
      <w:r>
        <w:rPr>
          <w:rFonts w:cstheme="minorBidi" w:hint="eastAsia"/>
          <w:b w:val="0"/>
          <w:bCs w:val="0"/>
          <w:sz w:val="18"/>
          <w:szCs w:val="18"/>
        </w:rPr>
        <w:t>Lorlatinib</w:t>
      </w:r>
      <w:proofErr w:type="spellEnd"/>
      <w:r>
        <w:rPr>
          <w:rFonts w:cstheme="minorBidi" w:hint="eastAsia"/>
          <w:b w:val="0"/>
          <w:bCs w:val="0"/>
          <w:sz w:val="18"/>
          <w:szCs w:val="18"/>
        </w:rPr>
        <w:t xml:space="preserve">; </w:t>
      </w:r>
      <w:proofErr w:type="spellStart"/>
      <w:proofErr w:type="gramStart"/>
      <w:r>
        <w:rPr>
          <w:rFonts w:hint="eastAsia"/>
          <w:b w:val="0"/>
          <w:bCs w:val="0"/>
          <w:color w:val="000000"/>
          <w:kern w:val="0"/>
          <w:sz w:val="18"/>
          <w:szCs w:val="18"/>
          <w:lang w:bidi="ar"/>
        </w:rPr>
        <w:t>BSC,Best</w:t>
      </w:r>
      <w:proofErr w:type="spellEnd"/>
      <w:proofErr w:type="gramEnd"/>
      <w:r>
        <w:rPr>
          <w:rFonts w:hint="eastAsia"/>
          <w:b w:val="0"/>
          <w:bCs w:val="0"/>
          <w:color w:val="000000"/>
          <w:kern w:val="0"/>
          <w:sz w:val="18"/>
          <w:szCs w:val="18"/>
          <w:lang w:bidi="ar"/>
        </w:rPr>
        <w:t xml:space="preserve"> Supportive Care;</w:t>
      </w:r>
      <w:r>
        <w:rPr>
          <w:rFonts w:cstheme="minorBidi" w:hint="eastAsia"/>
          <w:b w:val="0"/>
          <w:bCs w:val="0"/>
          <w:sz w:val="18"/>
          <w:szCs w:val="18"/>
        </w:rPr>
        <w:t xml:space="preserve"> median OS, median overall survival; NMB, net monetary benefit; QALY, quality-adjusted life-year.</w:t>
      </w:r>
    </w:p>
    <w:p w14:paraId="2066E249" w14:textId="77777777" w:rsidR="006D1C3F" w:rsidRDefault="006D1C3F">
      <w:pPr>
        <w:widowControl/>
        <w:spacing w:line="240" w:lineRule="auto"/>
        <w:ind w:firstLineChars="0" w:firstLine="0"/>
        <w:jc w:val="left"/>
        <w:rPr>
          <w:rFonts w:eastAsiaTheme="minorEastAsia" w:cstheme="minorBidi"/>
          <w:b w:val="0"/>
        </w:rPr>
      </w:pPr>
    </w:p>
    <w:p w14:paraId="2603DF31" w14:textId="77777777" w:rsidR="006D1C3F" w:rsidRDefault="006D1C3F">
      <w:pPr>
        <w:widowControl/>
        <w:spacing w:line="240" w:lineRule="auto"/>
        <w:ind w:firstLineChars="0" w:firstLine="0"/>
        <w:jc w:val="left"/>
        <w:rPr>
          <w:rFonts w:eastAsiaTheme="minorEastAsia" w:cstheme="minorBidi"/>
          <w:b w:val="0"/>
        </w:rPr>
        <w:sectPr w:rsidR="006D1C3F">
          <w:type w:val="continuous"/>
          <w:pgSz w:w="11906" w:h="16838"/>
          <w:pgMar w:top="1440" w:right="1800" w:bottom="1440" w:left="1800" w:header="851" w:footer="992" w:gutter="0"/>
          <w:cols w:space="425"/>
          <w:docGrid w:type="lines" w:linePitch="312"/>
        </w:sectPr>
      </w:pPr>
    </w:p>
    <w:p w14:paraId="7D961804" w14:textId="77777777" w:rsidR="006D1C3F" w:rsidRDefault="00000000">
      <w:pPr>
        <w:keepNext/>
        <w:keepLines/>
        <w:pageBreakBefore/>
        <w:spacing w:before="340" w:after="156" w:line="240" w:lineRule="auto"/>
        <w:ind w:firstLineChars="0" w:firstLine="0"/>
        <w:outlineLvl w:val="0"/>
        <w:rPr>
          <w:rFonts w:eastAsia="Times New Roman" w:cstheme="minorBidi"/>
          <w:b w:val="0"/>
          <w:bCs w:val="0"/>
          <w:kern w:val="44"/>
        </w:rPr>
      </w:pPr>
      <w:bookmarkStart w:id="21" w:name="_Toc225844811"/>
      <w:r>
        <w:rPr>
          <w:rFonts w:eastAsia="Times New Roman" w:cstheme="minorBidi"/>
          <w:b w:val="0"/>
          <w:bCs w:val="0"/>
          <w:kern w:val="44"/>
        </w:rPr>
        <w:lastRenderedPageBreak/>
        <w:t>Table S</w:t>
      </w:r>
      <w:r>
        <w:rPr>
          <w:rFonts w:eastAsiaTheme="minorEastAsia" w:cstheme="minorBidi" w:hint="eastAsia"/>
          <w:b w:val="0"/>
          <w:bCs w:val="0"/>
          <w:kern w:val="44"/>
        </w:rPr>
        <w:t>7</w:t>
      </w:r>
      <w:r>
        <w:rPr>
          <w:rFonts w:eastAsia="Times New Roman" w:cstheme="minorBidi"/>
          <w:b w:val="0"/>
          <w:bCs w:val="0"/>
          <w:kern w:val="44"/>
        </w:rPr>
        <w:t xml:space="preserve"> Pooled Survival Data: Results from </w:t>
      </w:r>
      <w:proofErr w:type="spellStart"/>
      <w:r>
        <w:rPr>
          <w:rFonts w:eastAsia="Times New Roman" w:cstheme="minorBidi"/>
          <w:b w:val="0"/>
          <w:bCs w:val="0"/>
          <w:kern w:val="44"/>
        </w:rPr>
        <w:t>MetaSurv</w:t>
      </w:r>
      <w:proofErr w:type="spellEnd"/>
      <w:r>
        <w:rPr>
          <w:rFonts w:eastAsia="Times New Roman" w:cstheme="minorBidi"/>
          <w:b w:val="0"/>
          <w:bCs w:val="0"/>
          <w:kern w:val="44"/>
        </w:rPr>
        <w:t xml:space="preserve"> methodology</w:t>
      </w:r>
      <w:bookmarkEnd w:id="21"/>
    </w:p>
    <w:tbl>
      <w:tblPr>
        <w:tblW w:w="4958" w:type="pct"/>
        <w:tblBorders>
          <w:top w:val="single" w:sz="12" w:space="0" w:color="auto"/>
          <w:bottom w:val="single" w:sz="12" w:space="0" w:color="auto"/>
        </w:tblBorders>
        <w:tblLayout w:type="fixed"/>
        <w:tblLook w:val="04A0" w:firstRow="1" w:lastRow="0" w:firstColumn="1" w:lastColumn="0" w:noHBand="0" w:noVBand="1"/>
      </w:tblPr>
      <w:tblGrid>
        <w:gridCol w:w="1756"/>
        <w:gridCol w:w="249"/>
        <w:gridCol w:w="4277"/>
        <w:gridCol w:w="149"/>
        <w:gridCol w:w="246"/>
        <w:gridCol w:w="1354"/>
        <w:gridCol w:w="2043"/>
        <w:gridCol w:w="1312"/>
        <w:gridCol w:w="1445"/>
        <w:gridCol w:w="1010"/>
      </w:tblGrid>
      <w:tr w:rsidR="006D1C3F" w14:paraId="557A08F7" w14:textId="77777777">
        <w:trPr>
          <w:trHeight w:val="2402"/>
        </w:trPr>
        <w:tc>
          <w:tcPr>
            <w:tcW w:w="724" w:type="pct"/>
            <w:gridSpan w:val="2"/>
            <w:tcBorders>
              <w:bottom w:val="single" w:sz="4" w:space="0" w:color="auto"/>
            </w:tcBorders>
            <w:vAlign w:val="center"/>
          </w:tcPr>
          <w:p w14:paraId="02243AA8" w14:textId="77777777" w:rsidR="006D1C3F" w:rsidRDefault="00000000">
            <w:pPr>
              <w:ind w:firstLine="361"/>
              <w:jc w:val="center"/>
              <w:rPr>
                <w:rFonts w:cstheme="minorBidi"/>
                <w:sz w:val="18"/>
                <w:szCs w:val="18"/>
              </w:rPr>
            </w:pPr>
            <w:r>
              <w:rPr>
                <w:rFonts w:cstheme="minorBidi" w:hint="eastAsia"/>
                <w:sz w:val="18"/>
                <w:szCs w:val="18"/>
              </w:rPr>
              <w:t>Treatment</w:t>
            </w:r>
          </w:p>
        </w:tc>
        <w:tc>
          <w:tcPr>
            <w:tcW w:w="1688" w:type="pct"/>
            <w:gridSpan w:val="3"/>
            <w:tcBorders>
              <w:bottom w:val="single" w:sz="4" w:space="0" w:color="auto"/>
            </w:tcBorders>
            <w:vAlign w:val="center"/>
          </w:tcPr>
          <w:p w14:paraId="42EAF368" w14:textId="77777777" w:rsidR="006D1C3F" w:rsidRDefault="00000000">
            <w:pPr>
              <w:ind w:firstLine="361"/>
              <w:jc w:val="center"/>
              <w:rPr>
                <w:rFonts w:cstheme="minorBidi"/>
                <w:sz w:val="18"/>
                <w:szCs w:val="18"/>
              </w:rPr>
            </w:pPr>
            <w:r>
              <w:rPr>
                <w:rFonts w:cstheme="minorBidi" w:hint="eastAsia"/>
                <w:sz w:val="18"/>
                <w:szCs w:val="18"/>
              </w:rPr>
              <w:t>Studies</w:t>
            </w:r>
          </w:p>
        </w:tc>
        <w:tc>
          <w:tcPr>
            <w:tcW w:w="489" w:type="pct"/>
            <w:tcBorders>
              <w:bottom w:val="single" w:sz="4" w:space="0" w:color="auto"/>
            </w:tcBorders>
            <w:vAlign w:val="center"/>
          </w:tcPr>
          <w:p w14:paraId="4A88B559" w14:textId="77777777" w:rsidR="006D1C3F" w:rsidRDefault="00000000">
            <w:pPr>
              <w:ind w:firstLineChars="0" w:firstLine="0"/>
              <w:rPr>
                <w:rFonts w:cstheme="minorBidi"/>
                <w:sz w:val="18"/>
                <w:szCs w:val="18"/>
              </w:rPr>
            </w:pPr>
            <w:r>
              <w:rPr>
                <w:rFonts w:cstheme="minorBidi" w:hint="eastAsia"/>
                <w:sz w:val="18"/>
                <w:szCs w:val="18"/>
              </w:rPr>
              <w:t>Patients</w:t>
            </w:r>
            <w:r>
              <w:rPr>
                <w:rFonts w:cstheme="minorBidi" w:hint="eastAsia"/>
                <w:sz w:val="18"/>
                <w:szCs w:val="18"/>
              </w:rPr>
              <w:t>，</w:t>
            </w:r>
            <w:r>
              <w:rPr>
                <w:rFonts w:cstheme="minorBidi" w:hint="eastAsia"/>
                <w:sz w:val="18"/>
                <w:szCs w:val="18"/>
              </w:rPr>
              <w:t>N</w:t>
            </w:r>
          </w:p>
        </w:tc>
        <w:tc>
          <w:tcPr>
            <w:tcW w:w="738" w:type="pct"/>
            <w:tcBorders>
              <w:bottom w:val="single" w:sz="4" w:space="0" w:color="auto"/>
            </w:tcBorders>
            <w:vAlign w:val="center"/>
          </w:tcPr>
          <w:p w14:paraId="79A1FCA2" w14:textId="77777777" w:rsidR="006D1C3F" w:rsidRDefault="00000000">
            <w:pPr>
              <w:ind w:firstLine="361"/>
              <w:jc w:val="center"/>
              <w:rPr>
                <w:rFonts w:cstheme="minorBidi"/>
                <w:sz w:val="18"/>
                <w:szCs w:val="18"/>
              </w:rPr>
            </w:pPr>
            <w:r>
              <w:rPr>
                <w:rFonts w:cstheme="minorBidi" w:hint="eastAsia"/>
                <w:sz w:val="18"/>
                <w:szCs w:val="18"/>
              </w:rPr>
              <w:t>Median Progression-Free Survival</w:t>
            </w:r>
            <w:r>
              <w:rPr>
                <w:rFonts w:cstheme="minorBidi" w:hint="eastAsia"/>
                <w:sz w:val="18"/>
                <w:szCs w:val="18"/>
              </w:rPr>
              <w:t>​</w:t>
            </w:r>
            <w:r>
              <w:rPr>
                <w:rFonts w:cstheme="minorBidi" w:hint="eastAsia"/>
                <w:sz w:val="18"/>
                <w:szCs w:val="18"/>
              </w:rPr>
              <w:t xml:space="preserve"> (month,95% CI)</w:t>
            </w:r>
          </w:p>
        </w:tc>
        <w:tc>
          <w:tcPr>
            <w:tcW w:w="474" w:type="pct"/>
            <w:tcBorders>
              <w:bottom w:val="single" w:sz="4" w:space="0" w:color="auto"/>
            </w:tcBorders>
            <w:vAlign w:val="center"/>
          </w:tcPr>
          <w:p w14:paraId="5665C2DE" w14:textId="77777777" w:rsidR="006D1C3F" w:rsidRDefault="00000000">
            <w:pPr>
              <w:ind w:firstLine="361"/>
              <w:jc w:val="center"/>
              <w:rPr>
                <w:rFonts w:cstheme="minorBidi"/>
                <w:sz w:val="18"/>
                <w:szCs w:val="18"/>
              </w:rPr>
            </w:pPr>
            <w:r>
              <w:rPr>
                <w:rFonts w:cstheme="minorBidi" w:hint="eastAsia"/>
                <w:sz w:val="18"/>
                <w:szCs w:val="18"/>
              </w:rPr>
              <w:t xml:space="preserve">12-month survival </w:t>
            </w:r>
            <w:proofErr w:type="gramStart"/>
            <w:r>
              <w:rPr>
                <w:rFonts w:cstheme="minorBidi" w:hint="eastAsia"/>
                <w:sz w:val="18"/>
                <w:szCs w:val="18"/>
              </w:rPr>
              <w:t>rate(</w:t>
            </w:r>
            <w:proofErr w:type="gramEnd"/>
            <w:r>
              <w:rPr>
                <w:rFonts w:cstheme="minorBidi" w:hint="eastAsia"/>
                <w:sz w:val="18"/>
                <w:szCs w:val="18"/>
              </w:rPr>
              <w:t>%, 95% CI)</w:t>
            </w:r>
          </w:p>
        </w:tc>
        <w:tc>
          <w:tcPr>
            <w:tcW w:w="522" w:type="pct"/>
            <w:tcBorders>
              <w:bottom w:val="single" w:sz="4" w:space="0" w:color="auto"/>
            </w:tcBorders>
            <w:vAlign w:val="center"/>
          </w:tcPr>
          <w:p w14:paraId="18F1ADC5" w14:textId="77777777" w:rsidR="006D1C3F" w:rsidRDefault="00000000">
            <w:pPr>
              <w:ind w:firstLine="361"/>
              <w:jc w:val="left"/>
              <w:rPr>
                <w:rFonts w:cstheme="minorBidi"/>
                <w:sz w:val="18"/>
                <w:szCs w:val="18"/>
              </w:rPr>
            </w:pPr>
            <w:r>
              <w:rPr>
                <w:rFonts w:cstheme="minorBidi" w:hint="eastAsia"/>
                <w:sz w:val="18"/>
                <w:szCs w:val="18"/>
              </w:rPr>
              <w:t>120-month LYs(month)</w:t>
            </w:r>
          </w:p>
        </w:tc>
        <w:tc>
          <w:tcPr>
            <w:tcW w:w="362" w:type="pct"/>
            <w:tcBorders>
              <w:bottom w:val="single" w:sz="4" w:space="0" w:color="auto"/>
            </w:tcBorders>
            <w:vAlign w:val="center"/>
          </w:tcPr>
          <w:p w14:paraId="0AA4205B" w14:textId="77777777" w:rsidR="006D1C3F" w:rsidRDefault="00000000">
            <w:pPr>
              <w:ind w:firstLine="361"/>
              <w:jc w:val="center"/>
              <w:rPr>
                <w:rFonts w:cstheme="minorBidi"/>
                <w:sz w:val="18"/>
                <w:szCs w:val="18"/>
              </w:rPr>
            </w:pPr>
            <w:r>
              <w:rPr>
                <w:rFonts w:cstheme="minorBidi" w:hint="eastAsia"/>
                <w:sz w:val="18"/>
                <w:szCs w:val="18"/>
              </w:rPr>
              <w:t>I2 (%)</w:t>
            </w:r>
          </w:p>
        </w:tc>
      </w:tr>
      <w:tr w:rsidR="006D1C3F" w14:paraId="127B048C" w14:textId="77777777">
        <w:trPr>
          <w:trHeight w:val="484"/>
        </w:trPr>
        <w:tc>
          <w:tcPr>
            <w:tcW w:w="5000" w:type="pct"/>
            <w:gridSpan w:val="10"/>
            <w:tcBorders>
              <w:tl2br w:val="nil"/>
              <w:tr2bl w:val="nil"/>
            </w:tcBorders>
            <w:noWrap/>
            <w:vAlign w:val="center"/>
          </w:tcPr>
          <w:p w14:paraId="45B6D7A1" w14:textId="77777777" w:rsidR="006D1C3F" w:rsidRDefault="00000000">
            <w:pPr>
              <w:pStyle w:val="af"/>
              <w:ind w:firstLine="361"/>
              <w:rPr>
                <w:b w:val="0"/>
                <w:bCs w:val="0"/>
                <w:sz w:val="18"/>
                <w:szCs w:val="18"/>
              </w:rPr>
            </w:pPr>
            <w:r>
              <w:rPr>
                <w:rFonts w:hint="eastAsia"/>
                <w:sz w:val="18"/>
                <w:szCs w:val="18"/>
              </w:rPr>
              <w:t xml:space="preserve"> First-line</w:t>
            </w:r>
          </w:p>
        </w:tc>
      </w:tr>
      <w:tr w:rsidR="006D1C3F" w14:paraId="2FA94BBE" w14:textId="77777777">
        <w:trPr>
          <w:trHeight w:val="474"/>
        </w:trPr>
        <w:tc>
          <w:tcPr>
            <w:tcW w:w="724" w:type="pct"/>
            <w:gridSpan w:val="2"/>
            <w:tcBorders>
              <w:tl2br w:val="nil"/>
              <w:tr2bl w:val="nil"/>
            </w:tcBorders>
            <w:noWrap/>
            <w:vAlign w:val="center"/>
          </w:tcPr>
          <w:p w14:paraId="146A2629"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Alectinib</w:t>
            </w:r>
            <w:proofErr w:type="spellEnd"/>
          </w:p>
        </w:tc>
        <w:tc>
          <w:tcPr>
            <w:tcW w:w="1688" w:type="pct"/>
            <w:gridSpan w:val="3"/>
            <w:tcBorders>
              <w:tl2br w:val="nil"/>
              <w:tr2bl w:val="nil"/>
            </w:tcBorders>
            <w:noWrap/>
            <w:vAlign w:val="center"/>
          </w:tcPr>
          <w:p w14:paraId="4746A851" w14:textId="77777777" w:rsidR="006D1C3F" w:rsidRDefault="00000000">
            <w:pPr>
              <w:pStyle w:val="af"/>
              <w:ind w:firstLine="360"/>
              <w:rPr>
                <w:rFonts w:cstheme="minorBidi"/>
                <w:b w:val="0"/>
                <w:bCs w:val="0"/>
                <w:sz w:val="18"/>
                <w:szCs w:val="18"/>
              </w:rPr>
            </w:pPr>
            <w:proofErr w:type="gramStart"/>
            <w:r>
              <w:rPr>
                <w:rFonts w:hint="eastAsia"/>
                <w:b w:val="0"/>
                <w:bCs w:val="0"/>
                <w:sz w:val="18"/>
                <w:szCs w:val="18"/>
              </w:rPr>
              <w:t>ALEX,ALESIA</w:t>
            </w:r>
            <w:proofErr w:type="gramEnd"/>
            <w:r>
              <w:rPr>
                <w:rFonts w:hint="eastAsia"/>
                <w:b w:val="0"/>
                <w:bCs w:val="0"/>
                <w:sz w:val="18"/>
                <w:szCs w:val="18"/>
              </w:rPr>
              <w:t>,J-</w:t>
            </w:r>
            <w:proofErr w:type="gramStart"/>
            <w:r>
              <w:rPr>
                <w:rFonts w:hint="eastAsia"/>
                <w:b w:val="0"/>
                <w:bCs w:val="0"/>
                <w:sz w:val="18"/>
                <w:szCs w:val="18"/>
              </w:rPr>
              <w:t>ALEX,AF</w:t>
            </w:r>
            <w:proofErr w:type="gramEnd"/>
            <w:r>
              <w:rPr>
                <w:rFonts w:hint="eastAsia"/>
                <w:b w:val="0"/>
                <w:bCs w:val="0"/>
                <w:sz w:val="18"/>
                <w:szCs w:val="18"/>
              </w:rPr>
              <w:t>-001JP</w:t>
            </w:r>
          </w:p>
        </w:tc>
        <w:tc>
          <w:tcPr>
            <w:tcW w:w="489" w:type="pct"/>
            <w:tcBorders>
              <w:tl2br w:val="nil"/>
              <w:tr2bl w:val="nil"/>
            </w:tcBorders>
            <w:noWrap/>
            <w:vAlign w:val="center"/>
          </w:tcPr>
          <w:p w14:paraId="7CB418D1" w14:textId="77777777" w:rsidR="006D1C3F" w:rsidRDefault="00000000">
            <w:pPr>
              <w:pStyle w:val="af"/>
              <w:ind w:firstLine="360"/>
              <w:rPr>
                <w:rFonts w:cstheme="minorBidi"/>
                <w:b w:val="0"/>
                <w:bCs w:val="0"/>
                <w:sz w:val="18"/>
                <w:szCs w:val="18"/>
              </w:rPr>
            </w:pPr>
            <w:r>
              <w:rPr>
                <w:rFonts w:hint="eastAsia"/>
                <w:b w:val="0"/>
                <w:bCs w:val="0"/>
                <w:sz w:val="18"/>
                <w:szCs w:val="18"/>
              </w:rPr>
              <w:t>427</w:t>
            </w:r>
          </w:p>
        </w:tc>
        <w:tc>
          <w:tcPr>
            <w:tcW w:w="738" w:type="pct"/>
            <w:tcBorders>
              <w:tl2br w:val="nil"/>
              <w:tr2bl w:val="nil"/>
            </w:tcBorders>
            <w:noWrap/>
            <w:vAlign w:val="center"/>
          </w:tcPr>
          <w:p w14:paraId="2429119F" w14:textId="77777777" w:rsidR="006D1C3F" w:rsidRDefault="00000000">
            <w:pPr>
              <w:pStyle w:val="af"/>
              <w:ind w:firstLine="360"/>
              <w:rPr>
                <w:rFonts w:cstheme="minorBidi"/>
                <w:b w:val="0"/>
                <w:bCs w:val="0"/>
                <w:sz w:val="18"/>
                <w:szCs w:val="18"/>
              </w:rPr>
            </w:pPr>
            <w:r>
              <w:rPr>
                <w:rFonts w:hint="eastAsia"/>
                <w:b w:val="0"/>
                <w:bCs w:val="0"/>
                <w:sz w:val="18"/>
                <w:szCs w:val="18"/>
              </w:rPr>
              <w:t>37.42 (20.78-40.7)</w:t>
            </w:r>
          </w:p>
        </w:tc>
        <w:tc>
          <w:tcPr>
            <w:tcW w:w="474" w:type="pct"/>
            <w:tcBorders>
              <w:tl2br w:val="nil"/>
              <w:tr2bl w:val="nil"/>
            </w:tcBorders>
            <w:noWrap/>
            <w:vAlign w:val="center"/>
          </w:tcPr>
          <w:p w14:paraId="5695D8CD" w14:textId="77777777" w:rsidR="006D1C3F" w:rsidRDefault="00000000">
            <w:pPr>
              <w:pStyle w:val="af"/>
              <w:ind w:firstLine="360"/>
              <w:rPr>
                <w:rFonts w:cstheme="minorBidi"/>
                <w:b w:val="0"/>
                <w:bCs w:val="0"/>
                <w:sz w:val="18"/>
                <w:szCs w:val="18"/>
              </w:rPr>
            </w:pPr>
            <w:r>
              <w:rPr>
                <w:rFonts w:hint="eastAsia"/>
                <w:b w:val="0"/>
                <w:bCs w:val="0"/>
                <w:sz w:val="18"/>
                <w:szCs w:val="18"/>
              </w:rPr>
              <w:t xml:space="preserve">77.5 </w:t>
            </w:r>
          </w:p>
        </w:tc>
        <w:tc>
          <w:tcPr>
            <w:tcW w:w="522" w:type="pct"/>
            <w:tcBorders>
              <w:tl2br w:val="nil"/>
              <w:tr2bl w:val="nil"/>
            </w:tcBorders>
            <w:noWrap/>
            <w:vAlign w:val="center"/>
          </w:tcPr>
          <w:p w14:paraId="4DAB1AB8" w14:textId="77777777" w:rsidR="006D1C3F" w:rsidRDefault="00000000">
            <w:pPr>
              <w:pStyle w:val="af"/>
              <w:ind w:firstLine="360"/>
              <w:rPr>
                <w:rFonts w:cstheme="minorBidi"/>
                <w:b w:val="0"/>
                <w:bCs w:val="0"/>
                <w:sz w:val="18"/>
                <w:szCs w:val="18"/>
              </w:rPr>
            </w:pPr>
            <w:r>
              <w:rPr>
                <w:rFonts w:hint="eastAsia"/>
                <w:b w:val="0"/>
                <w:bCs w:val="0"/>
                <w:sz w:val="18"/>
                <w:szCs w:val="18"/>
              </w:rPr>
              <w:t xml:space="preserve">53.85 </w:t>
            </w:r>
          </w:p>
        </w:tc>
        <w:tc>
          <w:tcPr>
            <w:tcW w:w="362" w:type="pct"/>
            <w:tcBorders>
              <w:tl2br w:val="nil"/>
              <w:tr2bl w:val="nil"/>
            </w:tcBorders>
            <w:noWrap/>
            <w:vAlign w:val="center"/>
          </w:tcPr>
          <w:p w14:paraId="382CF46A" w14:textId="77777777" w:rsidR="006D1C3F" w:rsidRDefault="00000000">
            <w:pPr>
              <w:pStyle w:val="af"/>
              <w:ind w:firstLine="360"/>
              <w:rPr>
                <w:rFonts w:cstheme="minorBidi"/>
                <w:b w:val="0"/>
                <w:bCs w:val="0"/>
                <w:sz w:val="18"/>
                <w:szCs w:val="18"/>
              </w:rPr>
            </w:pPr>
            <w:r>
              <w:rPr>
                <w:rFonts w:hint="eastAsia"/>
                <w:b w:val="0"/>
                <w:bCs w:val="0"/>
                <w:sz w:val="18"/>
                <w:szCs w:val="18"/>
              </w:rPr>
              <w:t xml:space="preserve">18.4 </w:t>
            </w:r>
          </w:p>
        </w:tc>
      </w:tr>
      <w:tr w:rsidR="006D1C3F" w14:paraId="71A2715C" w14:textId="77777777">
        <w:trPr>
          <w:trHeight w:val="474"/>
        </w:trPr>
        <w:tc>
          <w:tcPr>
            <w:tcW w:w="724" w:type="pct"/>
            <w:gridSpan w:val="2"/>
            <w:tcBorders>
              <w:tl2br w:val="nil"/>
              <w:tr2bl w:val="nil"/>
            </w:tcBorders>
            <w:noWrap/>
            <w:vAlign w:val="center"/>
          </w:tcPr>
          <w:p w14:paraId="0CCB8B92"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Brigatinib</w:t>
            </w:r>
            <w:proofErr w:type="spellEnd"/>
          </w:p>
        </w:tc>
        <w:tc>
          <w:tcPr>
            <w:tcW w:w="1688" w:type="pct"/>
            <w:gridSpan w:val="3"/>
            <w:tcBorders>
              <w:tl2br w:val="nil"/>
              <w:tr2bl w:val="nil"/>
            </w:tcBorders>
            <w:noWrap/>
            <w:vAlign w:val="center"/>
          </w:tcPr>
          <w:p w14:paraId="77B627D1" w14:textId="77777777" w:rsidR="006D1C3F" w:rsidRDefault="00000000">
            <w:pPr>
              <w:pStyle w:val="af"/>
              <w:ind w:firstLine="360"/>
              <w:rPr>
                <w:rFonts w:cstheme="minorBidi"/>
                <w:b w:val="0"/>
                <w:bCs w:val="0"/>
                <w:sz w:val="18"/>
                <w:szCs w:val="18"/>
              </w:rPr>
            </w:pPr>
            <w:r>
              <w:rPr>
                <w:rFonts w:hint="eastAsia"/>
                <w:b w:val="0"/>
                <w:bCs w:val="0"/>
                <w:sz w:val="18"/>
                <w:szCs w:val="18"/>
              </w:rPr>
              <w:t>ALTA-1L</w:t>
            </w:r>
          </w:p>
        </w:tc>
        <w:tc>
          <w:tcPr>
            <w:tcW w:w="489" w:type="pct"/>
            <w:tcBorders>
              <w:tl2br w:val="nil"/>
              <w:tr2bl w:val="nil"/>
            </w:tcBorders>
            <w:noWrap/>
            <w:vAlign w:val="center"/>
          </w:tcPr>
          <w:p w14:paraId="22227D94" w14:textId="77777777" w:rsidR="006D1C3F" w:rsidRDefault="00000000">
            <w:pPr>
              <w:pStyle w:val="af"/>
              <w:ind w:firstLine="360"/>
              <w:rPr>
                <w:rFonts w:cstheme="minorBidi"/>
                <w:b w:val="0"/>
                <w:bCs w:val="0"/>
                <w:sz w:val="18"/>
                <w:szCs w:val="18"/>
              </w:rPr>
            </w:pPr>
            <w:r>
              <w:rPr>
                <w:rFonts w:hint="eastAsia"/>
                <w:b w:val="0"/>
                <w:bCs w:val="0"/>
                <w:sz w:val="18"/>
                <w:szCs w:val="18"/>
              </w:rPr>
              <w:t>137</w:t>
            </w:r>
          </w:p>
        </w:tc>
        <w:tc>
          <w:tcPr>
            <w:tcW w:w="738" w:type="pct"/>
            <w:tcBorders>
              <w:tl2br w:val="nil"/>
              <w:tr2bl w:val="nil"/>
            </w:tcBorders>
            <w:noWrap/>
            <w:vAlign w:val="center"/>
          </w:tcPr>
          <w:p w14:paraId="20386BF6" w14:textId="77777777" w:rsidR="006D1C3F" w:rsidRDefault="00000000">
            <w:pPr>
              <w:pStyle w:val="af"/>
              <w:ind w:firstLine="360"/>
              <w:rPr>
                <w:rFonts w:cstheme="minorBidi"/>
                <w:b w:val="0"/>
                <w:bCs w:val="0"/>
                <w:sz w:val="18"/>
                <w:szCs w:val="18"/>
              </w:rPr>
            </w:pPr>
            <w:r>
              <w:rPr>
                <w:rFonts w:hint="eastAsia"/>
                <w:b w:val="0"/>
                <w:bCs w:val="0"/>
                <w:sz w:val="18"/>
                <w:szCs w:val="18"/>
              </w:rPr>
              <w:t>24.0 (18.5-43.2)</w:t>
            </w:r>
          </w:p>
        </w:tc>
        <w:tc>
          <w:tcPr>
            <w:tcW w:w="474" w:type="pct"/>
            <w:tcBorders>
              <w:tl2br w:val="nil"/>
              <w:tr2bl w:val="nil"/>
            </w:tcBorders>
            <w:noWrap/>
            <w:vAlign w:val="center"/>
          </w:tcPr>
          <w:p w14:paraId="2F928400" w14:textId="77777777" w:rsidR="006D1C3F" w:rsidRDefault="00000000">
            <w:pPr>
              <w:pStyle w:val="af"/>
              <w:ind w:firstLine="360"/>
              <w:rPr>
                <w:rFonts w:cstheme="minorBidi"/>
                <w:b w:val="0"/>
                <w:bCs w:val="0"/>
                <w:sz w:val="18"/>
                <w:szCs w:val="18"/>
              </w:rPr>
            </w:pPr>
            <w:r>
              <w:rPr>
                <w:rFonts w:hint="eastAsia"/>
                <w:b w:val="0"/>
                <w:bCs w:val="0"/>
                <w:sz w:val="18"/>
                <w:szCs w:val="18"/>
              </w:rPr>
              <w:t xml:space="preserve">85.9 </w:t>
            </w:r>
          </w:p>
        </w:tc>
        <w:tc>
          <w:tcPr>
            <w:tcW w:w="522" w:type="pct"/>
            <w:tcBorders>
              <w:tl2br w:val="nil"/>
              <w:tr2bl w:val="nil"/>
            </w:tcBorders>
            <w:noWrap/>
            <w:vAlign w:val="center"/>
          </w:tcPr>
          <w:p w14:paraId="22DEC05B" w14:textId="77777777" w:rsidR="006D1C3F" w:rsidRDefault="00000000">
            <w:pPr>
              <w:pStyle w:val="af"/>
              <w:ind w:firstLine="360"/>
              <w:rPr>
                <w:rFonts w:cstheme="minorBidi"/>
                <w:b w:val="0"/>
                <w:bCs w:val="0"/>
                <w:sz w:val="18"/>
                <w:szCs w:val="18"/>
              </w:rPr>
            </w:pPr>
            <w:r>
              <w:rPr>
                <w:rFonts w:hint="eastAsia"/>
                <w:b w:val="0"/>
                <w:bCs w:val="0"/>
                <w:sz w:val="18"/>
                <w:szCs w:val="18"/>
              </w:rPr>
              <w:t xml:space="preserve">47.13 </w:t>
            </w:r>
          </w:p>
        </w:tc>
        <w:tc>
          <w:tcPr>
            <w:tcW w:w="362" w:type="pct"/>
            <w:tcBorders>
              <w:tl2br w:val="nil"/>
              <w:tr2bl w:val="nil"/>
            </w:tcBorders>
            <w:noWrap/>
            <w:vAlign w:val="center"/>
          </w:tcPr>
          <w:p w14:paraId="56861A0E" w14:textId="77777777" w:rsidR="006D1C3F" w:rsidRDefault="00000000">
            <w:pPr>
              <w:pStyle w:val="af"/>
              <w:ind w:firstLine="360"/>
              <w:rPr>
                <w:rFonts w:cstheme="minorBidi"/>
                <w:b w:val="0"/>
                <w:bCs w:val="0"/>
                <w:sz w:val="18"/>
                <w:szCs w:val="18"/>
              </w:rPr>
            </w:pPr>
            <w:r>
              <w:rPr>
                <w:rFonts w:hint="eastAsia"/>
                <w:b w:val="0"/>
                <w:bCs w:val="0"/>
                <w:sz w:val="18"/>
                <w:szCs w:val="18"/>
              </w:rPr>
              <w:t>NA</w:t>
            </w:r>
          </w:p>
        </w:tc>
      </w:tr>
      <w:tr w:rsidR="006D1C3F" w14:paraId="485C7AD2" w14:textId="77777777">
        <w:trPr>
          <w:trHeight w:val="474"/>
        </w:trPr>
        <w:tc>
          <w:tcPr>
            <w:tcW w:w="724" w:type="pct"/>
            <w:gridSpan w:val="2"/>
            <w:tcBorders>
              <w:tl2br w:val="nil"/>
              <w:tr2bl w:val="nil"/>
            </w:tcBorders>
            <w:noWrap/>
            <w:vAlign w:val="center"/>
          </w:tcPr>
          <w:p w14:paraId="7FE3D44C"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Ensartinib</w:t>
            </w:r>
            <w:proofErr w:type="spellEnd"/>
          </w:p>
        </w:tc>
        <w:tc>
          <w:tcPr>
            <w:tcW w:w="1688" w:type="pct"/>
            <w:gridSpan w:val="3"/>
            <w:tcBorders>
              <w:tl2br w:val="nil"/>
              <w:tr2bl w:val="nil"/>
            </w:tcBorders>
            <w:noWrap/>
            <w:vAlign w:val="center"/>
          </w:tcPr>
          <w:p w14:paraId="62546DCE" w14:textId="77777777" w:rsidR="006D1C3F" w:rsidRDefault="00000000">
            <w:pPr>
              <w:pStyle w:val="af"/>
              <w:ind w:firstLine="360"/>
              <w:rPr>
                <w:rFonts w:cstheme="minorBidi"/>
                <w:b w:val="0"/>
                <w:bCs w:val="0"/>
                <w:sz w:val="18"/>
                <w:szCs w:val="18"/>
              </w:rPr>
            </w:pPr>
            <w:r>
              <w:rPr>
                <w:rFonts w:hint="eastAsia"/>
                <w:b w:val="0"/>
                <w:bCs w:val="0"/>
                <w:sz w:val="18"/>
                <w:szCs w:val="18"/>
              </w:rPr>
              <w:t>eXalt3</w:t>
            </w:r>
          </w:p>
        </w:tc>
        <w:tc>
          <w:tcPr>
            <w:tcW w:w="489" w:type="pct"/>
            <w:tcBorders>
              <w:tl2br w:val="nil"/>
              <w:tr2bl w:val="nil"/>
            </w:tcBorders>
            <w:noWrap/>
            <w:vAlign w:val="center"/>
          </w:tcPr>
          <w:p w14:paraId="5C055DF6" w14:textId="77777777" w:rsidR="006D1C3F" w:rsidRDefault="00000000">
            <w:pPr>
              <w:pStyle w:val="af"/>
              <w:ind w:firstLine="360"/>
              <w:rPr>
                <w:rFonts w:cstheme="minorBidi"/>
                <w:b w:val="0"/>
                <w:bCs w:val="0"/>
                <w:sz w:val="18"/>
                <w:szCs w:val="18"/>
              </w:rPr>
            </w:pPr>
            <w:r>
              <w:rPr>
                <w:rFonts w:hint="eastAsia"/>
                <w:b w:val="0"/>
                <w:bCs w:val="0"/>
                <w:sz w:val="18"/>
                <w:szCs w:val="18"/>
              </w:rPr>
              <w:t>121</w:t>
            </w:r>
          </w:p>
        </w:tc>
        <w:tc>
          <w:tcPr>
            <w:tcW w:w="738" w:type="pct"/>
            <w:tcBorders>
              <w:tl2br w:val="nil"/>
              <w:tr2bl w:val="nil"/>
            </w:tcBorders>
            <w:noWrap/>
            <w:vAlign w:val="center"/>
          </w:tcPr>
          <w:p w14:paraId="54F2964F" w14:textId="77777777" w:rsidR="006D1C3F" w:rsidRDefault="00000000">
            <w:pPr>
              <w:pStyle w:val="af"/>
              <w:ind w:firstLine="360"/>
              <w:rPr>
                <w:rFonts w:cstheme="minorBidi"/>
                <w:b w:val="0"/>
                <w:bCs w:val="0"/>
                <w:sz w:val="18"/>
                <w:szCs w:val="18"/>
              </w:rPr>
            </w:pPr>
            <w:r>
              <w:rPr>
                <w:rFonts w:hint="eastAsia"/>
                <w:b w:val="0"/>
                <w:bCs w:val="0"/>
                <w:sz w:val="18"/>
                <w:szCs w:val="18"/>
              </w:rPr>
              <w:t>25.8 (21.8-NR)</w:t>
            </w:r>
          </w:p>
        </w:tc>
        <w:tc>
          <w:tcPr>
            <w:tcW w:w="474" w:type="pct"/>
            <w:tcBorders>
              <w:tl2br w:val="nil"/>
              <w:tr2bl w:val="nil"/>
            </w:tcBorders>
            <w:noWrap/>
            <w:vAlign w:val="center"/>
          </w:tcPr>
          <w:p w14:paraId="797D3CC5" w14:textId="77777777" w:rsidR="006D1C3F" w:rsidRDefault="00000000">
            <w:pPr>
              <w:pStyle w:val="af"/>
              <w:ind w:firstLine="360"/>
              <w:rPr>
                <w:rFonts w:cstheme="minorBidi"/>
                <w:b w:val="0"/>
                <w:bCs w:val="0"/>
                <w:sz w:val="18"/>
                <w:szCs w:val="18"/>
              </w:rPr>
            </w:pPr>
            <w:r>
              <w:rPr>
                <w:rFonts w:hint="eastAsia"/>
                <w:b w:val="0"/>
                <w:bCs w:val="0"/>
                <w:sz w:val="18"/>
                <w:szCs w:val="18"/>
              </w:rPr>
              <w:t xml:space="preserve">73.1 </w:t>
            </w:r>
          </w:p>
        </w:tc>
        <w:tc>
          <w:tcPr>
            <w:tcW w:w="522" w:type="pct"/>
            <w:tcBorders>
              <w:tl2br w:val="nil"/>
              <w:tr2bl w:val="nil"/>
            </w:tcBorders>
            <w:noWrap/>
            <w:vAlign w:val="center"/>
          </w:tcPr>
          <w:p w14:paraId="54915D3B" w14:textId="77777777" w:rsidR="006D1C3F" w:rsidRDefault="00000000">
            <w:pPr>
              <w:pStyle w:val="af"/>
              <w:ind w:firstLine="360"/>
              <w:rPr>
                <w:rFonts w:cstheme="minorBidi"/>
                <w:b w:val="0"/>
                <w:bCs w:val="0"/>
                <w:sz w:val="18"/>
                <w:szCs w:val="18"/>
              </w:rPr>
            </w:pPr>
            <w:r>
              <w:rPr>
                <w:rFonts w:hint="eastAsia"/>
                <w:b w:val="0"/>
                <w:bCs w:val="0"/>
                <w:sz w:val="18"/>
                <w:szCs w:val="18"/>
              </w:rPr>
              <w:t xml:space="preserve">51.19 </w:t>
            </w:r>
          </w:p>
        </w:tc>
        <w:tc>
          <w:tcPr>
            <w:tcW w:w="362" w:type="pct"/>
            <w:tcBorders>
              <w:tl2br w:val="nil"/>
              <w:tr2bl w:val="nil"/>
            </w:tcBorders>
            <w:noWrap/>
            <w:vAlign w:val="center"/>
          </w:tcPr>
          <w:p w14:paraId="67B29073" w14:textId="77777777" w:rsidR="006D1C3F" w:rsidRDefault="00000000">
            <w:pPr>
              <w:pStyle w:val="af"/>
              <w:ind w:firstLine="360"/>
              <w:rPr>
                <w:rFonts w:cstheme="minorBidi"/>
                <w:b w:val="0"/>
                <w:bCs w:val="0"/>
                <w:sz w:val="18"/>
                <w:szCs w:val="18"/>
              </w:rPr>
            </w:pPr>
            <w:r>
              <w:rPr>
                <w:rFonts w:hint="eastAsia"/>
                <w:b w:val="0"/>
                <w:bCs w:val="0"/>
                <w:sz w:val="18"/>
                <w:szCs w:val="18"/>
              </w:rPr>
              <w:t>NA</w:t>
            </w:r>
          </w:p>
        </w:tc>
      </w:tr>
      <w:tr w:rsidR="006D1C3F" w14:paraId="4A840594" w14:textId="77777777">
        <w:trPr>
          <w:trHeight w:val="474"/>
        </w:trPr>
        <w:tc>
          <w:tcPr>
            <w:tcW w:w="724" w:type="pct"/>
            <w:gridSpan w:val="2"/>
            <w:tcBorders>
              <w:tl2br w:val="nil"/>
              <w:tr2bl w:val="nil"/>
            </w:tcBorders>
            <w:noWrap/>
            <w:vAlign w:val="center"/>
          </w:tcPr>
          <w:p w14:paraId="1EE0AB79"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Lorlatinib</w:t>
            </w:r>
            <w:proofErr w:type="spellEnd"/>
          </w:p>
        </w:tc>
        <w:tc>
          <w:tcPr>
            <w:tcW w:w="1688" w:type="pct"/>
            <w:gridSpan w:val="3"/>
            <w:tcBorders>
              <w:tl2br w:val="nil"/>
              <w:tr2bl w:val="nil"/>
            </w:tcBorders>
            <w:noWrap/>
            <w:vAlign w:val="center"/>
          </w:tcPr>
          <w:p w14:paraId="2C1F0AFD" w14:textId="77777777" w:rsidR="006D1C3F" w:rsidRDefault="00000000">
            <w:pPr>
              <w:pStyle w:val="af"/>
              <w:ind w:firstLine="360"/>
              <w:rPr>
                <w:rFonts w:cstheme="minorBidi"/>
                <w:b w:val="0"/>
                <w:bCs w:val="0"/>
                <w:sz w:val="18"/>
                <w:szCs w:val="18"/>
              </w:rPr>
            </w:pPr>
            <w:proofErr w:type="gramStart"/>
            <w:r>
              <w:rPr>
                <w:rFonts w:hint="eastAsia"/>
                <w:b w:val="0"/>
                <w:bCs w:val="0"/>
                <w:sz w:val="18"/>
                <w:szCs w:val="18"/>
              </w:rPr>
              <w:t>CROWN,NCT</w:t>
            </w:r>
            <w:proofErr w:type="gramEnd"/>
            <w:r>
              <w:rPr>
                <w:rFonts w:hint="eastAsia"/>
                <w:b w:val="0"/>
                <w:bCs w:val="0"/>
                <w:sz w:val="18"/>
                <w:szCs w:val="18"/>
              </w:rPr>
              <w:t>01970865</w:t>
            </w:r>
          </w:p>
        </w:tc>
        <w:tc>
          <w:tcPr>
            <w:tcW w:w="489" w:type="pct"/>
            <w:tcBorders>
              <w:tl2br w:val="nil"/>
              <w:tr2bl w:val="nil"/>
            </w:tcBorders>
            <w:noWrap/>
            <w:vAlign w:val="center"/>
          </w:tcPr>
          <w:p w14:paraId="3DF55112" w14:textId="77777777" w:rsidR="006D1C3F" w:rsidRDefault="00000000">
            <w:pPr>
              <w:pStyle w:val="af"/>
              <w:ind w:firstLine="360"/>
              <w:rPr>
                <w:rFonts w:cstheme="minorBidi"/>
                <w:b w:val="0"/>
                <w:bCs w:val="0"/>
                <w:sz w:val="18"/>
                <w:szCs w:val="18"/>
              </w:rPr>
            </w:pPr>
            <w:r>
              <w:rPr>
                <w:rFonts w:hint="eastAsia"/>
                <w:b w:val="0"/>
                <w:bCs w:val="0"/>
                <w:sz w:val="18"/>
                <w:szCs w:val="18"/>
              </w:rPr>
              <w:t>179</w:t>
            </w:r>
          </w:p>
        </w:tc>
        <w:tc>
          <w:tcPr>
            <w:tcW w:w="738" w:type="pct"/>
            <w:tcBorders>
              <w:tl2br w:val="nil"/>
              <w:tr2bl w:val="nil"/>
            </w:tcBorders>
            <w:noWrap/>
            <w:vAlign w:val="center"/>
          </w:tcPr>
          <w:p w14:paraId="0733EC1F" w14:textId="77777777" w:rsidR="006D1C3F" w:rsidRDefault="00000000">
            <w:pPr>
              <w:pStyle w:val="af"/>
              <w:ind w:firstLine="360"/>
              <w:rPr>
                <w:rFonts w:cstheme="minorBidi"/>
                <w:b w:val="0"/>
                <w:bCs w:val="0"/>
                <w:sz w:val="18"/>
                <w:szCs w:val="18"/>
              </w:rPr>
            </w:pPr>
            <w:r>
              <w:rPr>
                <w:rFonts w:hint="eastAsia"/>
                <w:b w:val="0"/>
                <w:bCs w:val="0"/>
                <w:sz w:val="18"/>
                <w:szCs w:val="18"/>
              </w:rPr>
              <w:t>NR</w:t>
            </w:r>
          </w:p>
        </w:tc>
        <w:tc>
          <w:tcPr>
            <w:tcW w:w="474" w:type="pct"/>
            <w:tcBorders>
              <w:tl2br w:val="nil"/>
              <w:tr2bl w:val="nil"/>
            </w:tcBorders>
            <w:noWrap/>
            <w:vAlign w:val="center"/>
          </w:tcPr>
          <w:p w14:paraId="6DF606CC" w14:textId="77777777" w:rsidR="006D1C3F" w:rsidRDefault="00000000">
            <w:pPr>
              <w:pStyle w:val="af"/>
              <w:ind w:firstLine="360"/>
              <w:rPr>
                <w:rFonts w:cstheme="minorBidi"/>
                <w:b w:val="0"/>
                <w:bCs w:val="0"/>
                <w:sz w:val="18"/>
                <w:szCs w:val="18"/>
              </w:rPr>
            </w:pPr>
            <w:r>
              <w:rPr>
                <w:rFonts w:hint="eastAsia"/>
                <w:b w:val="0"/>
                <w:bCs w:val="0"/>
                <w:sz w:val="18"/>
                <w:szCs w:val="18"/>
              </w:rPr>
              <w:t xml:space="preserve">75.7 </w:t>
            </w:r>
          </w:p>
        </w:tc>
        <w:tc>
          <w:tcPr>
            <w:tcW w:w="522" w:type="pct"/>
            <w:tcBorders>
              <w:tl2br w:val="nil"/>
              <w:tr2bl w:val="nil"/>
            </w:tcBorders>
            <w:noWrap/>
            <w:vAlign w:val="center"/>
          </w:tcPr>
          <w:p w14:paraId="126FC064" w14:textId="77777777" w:rsidR="006D1C3F" w:rsidRDefault="00000000">
            <w:pPr>
              <w:pStyle w:val="af"/>
              <w:ind w:firstLine="360"/>
              <w:rPr>
                <w:rFonts w:cstheme="minorBidi"/>
                <w:b w:val="0"/>
                <w:bCs w:val="0"/>
                <w:sz w:val="18"/>
                <w:szCs w:val="18"/>
              </w:rPr>
            </w:pPr>
            <w:r>
              <w:rPr>
                <w:rFonts w:cstheme="minorBidi" w:hint="eastAsia"/>
                <w:b w:val="0"/>
                <w:bCs w:val="0"/>
                <w:sz w:val="18"/>
                <w:szCs w:val="18"/>
              </w:rPr>
              <w:t>77.97</w:t>
            </w:r>
          </w:p>
        </w:tc>
        <w:tc>
          <w:tcPr>
            <w:tcW w:w="362" w:type="pct"/>
            <w:tcBorders>
              <w:tl2br w:val="nil"/>
              <w:tr2bl w:val="nil"/>
            </w:tcBorders>
            <w:noWrap/>
            <w:vAlign w:val="center"/>
          </w:tcPr>
          <w:p w14:paraId="64346E9A" w14:textId="77777777" w:rsidR="006D1C3F" w:rsidRDefault="00000000">
            <w:pPr>
              <w:pStyle w:val="af"/>
              <w:ind w:firstLine="360"/>
              <w:rPr>
                <w:rFonts w:cstheme="minorBidi"/>
                <w:b w:val="0"/>
                <w:bCs w:val="0"/>
                <w:sz w:val="18"/>
                <w:szCs w:val="18"/>
              </w:rPr>
            </w:pPr>
            <w:r>
              <w:rPr>
                <w:rFonts w:hint="eastAsia"/>
                <w:b w:val="0"/>
                <w:bCs w:val="0"/>
                <w:sz w:val="18"/>
                <w:szCs w:val="18"/>
              </w:rPr>
              <w:t>0</w:t>
            </w:r>
          </w:p>
        </w:tc>
      </w:tr>
      <w:tr w:rsidR="006D1C3F" w14:paraId="06B874BC" w14:textId="77777777">
        <w:trPr>
          <w:trHeight w:val="1423"/>
        </w:trPr>
        <w:tc>
          <w:tcPr>
            <w:tcW w:w="724" w:type="pct"/>
            <w:gridSpan w:val="2"/>
            <w:tcBorders>
              <w:tl2br w:val="nil"/>
              <w:tr2bl w:val="nil"/>
            </w:tcBorders>
            <w:noWrap/>
            <w:vAlign w:val="center"/>
          </w:tcPr>
          <w:p w14:paraId="45D6CD5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Crizotinib</w:t>
            </w:r>
          </w:p>
        </w:tc>
        <w:tc>
          <w:tcPr>
            <w:tcW w:w="1688" w:type="pct"/>
            <w:gridSpan w:val="3"/>
            <w:tcBorders>
              <w:tl2br w:val="nil"/>
              <w:tr2bl w:val="nil"/>
            </w:tcBorders>
            <w:vAlign w:val="center"/>
          </w:tcPr>
          <w:p w14:paraId="5C915761" w14:textId="77777777" w:rsidR="006D1C3F" w:rsidRDefault="00000000">
            <w:pPr>
              <w:pStyle w:val="af"/>
              <w:ind w:firstLine="360"/>
              <w:rPr>
                <w:rFonts w:cstheme="minorBidi"/>
                <w:b w:val="0"/>
                <w:bCs w:val="0"/>
                <w:sz w:val="18"/>
                <w:szCs w:val="18"/>
              </w:rPr>
            </w:pPr>
            <w:r>
              <w:rPr>
                <w:rFonts w:hint="eastAsia"/>
                <w:b w:val="0"/>
                <w:bCs w:val="0"/>
                <w:sz w:val="18"/>
                <w:szCs w:val="18"/>
              </w:rPr>
              <w:t xml:space="preserve">PROFILE </w:t>
            </w:r>
            <w:proofErr w:type="gramStart"/>
            <w:r>
              <w:rPr>
                <w:rFonts w:hint="eastAsia"/>
                <w:b w:val="0"/>
                <w:bCs w:val="0"/>
                <w:sz w:val="18"/>
                <w:szCs w:val="18"/>
              </w:rPr>
              <w:t>1014,PROFILE</w:t>
            </w:r>
            <w:proofErr w:type="gramEnd"/>
            <w:r>
              <w:rPr>
                <w:rFonts w:hint="eastAsia"/>
                <w:b w:val="0"/>
                <w:bCs w:val="0"/>
                <w:sz w:val="18"/>
                <w:szCs w:val="18"/>
              </w:rPr>
              <w:t xml:space="preserve"> </w:t>
            </w:r>
            <w:proofErr w:type="gramStart"/>
            <w:r>
              <w:rPr>
                <w:rFonts w:hint="eastAsia"/>
                <w:b w:val="0"/>
                <w:bCs w:val="0"/>
                <w:sz w:val="18"/>
                <w:szCs w:val="18"/>
              </w:rPr>
              <w:t>1029,ALEX</w:t>
            </w:r>
            <w:proofErr w:type="gramEnd"/>
            <w:r>
              <w:rPr>
                <w:rFonts w:hint="eastAsia"/>
                <w:b w:val="0"/>
                <w:bCs w:val="0"/>
                <w:sz w:val="18"/>
                <w:szCs w:val="18"/>
              </w:rPr>
              <w:t>,</w:t>
            </w:r>
            <w:proofErr w:type="gramStart"/>
            <w:r>
              <w:rPr>
                <w:rFonts w:hint="eastAsia"/>
                <w:b w:val="0"/>
                <w:bCs w:val="0"/>
                <w:sz w:val="18"/>
                <w:szCs w:val="18"/>
              </w:rPr>
              <w:t>ALESIA,J</w:t>
            </w:r>
            <w:proofErr w:type="gramEnd"/>
            <w:r>
              <w:rPr>
                <w:rFonts w:hint="eastAsia"/>
                <w:b w:val="0"/>
                <w:bCs w:val="0"/>
                <w:sz w:val="18"/>
                <w:szCs w:val="18"/>
              </w:rPr>
              <w:t>-</w:t>
            </w:r>
            <w:proofErr w:type="gramStart"/>
            <w:r>
              <w:rPr>
                <w:rFonts w:hint="eastAsia"/>
                <w:b w:val="0"/>
                <w:bCs w:val="0"/>
                <w:sz w:val="18"/>
                <w:szCs w:val="18"/>
              </w:rPr>
              <w:t>ALEX,ALTA</w:t>
            </w:r>
            <w:proofErr w:type="gramEnd"/>
            <w:r>
              <w:rPr>
                <w:rFonts w:hint="eastAsia"/>
                <w:b w:val="0"/>
                <w:bCs w:val="0"/>
                <w:sz w:val="18"/>
                <w:szCs w:val="18"/>
              </w:rPr>
              <w:t>-1</w:t>
            </w:r>
            <w:proofErr w:type="gramStart"/>
            <w:r>
              <w:rPr>
                <w:rFonts w:hint="eastAsia"/>
                <w:b w:val="0"/>
                <w:bCs w:val="0"/>
                <w:sz w:val="18"/>
                <w:szCs w:val="18"/>
              </w:rPr>
              <w:t>L,CROWN</w:t>
            </w:r>
            <w:proofErr w:type="gramEnd"/>
            <w:r>
              <w:rPr>
                <w:rFonts w:hint="eastAsia"/>
                <w:b w:val="0"/>
                <w:bCs w:val="0"/>
                <w:sz w:val="18"/>
                <w:szCs w:val="18"/>
              </w:rPr>
              <w:t>,eXalt</w:t>
            </w:r>
            <w:proofErr w:type="gramStart"/>
            <w:r>
              <w:rPr>
                <w:rFonts w:hint="eastAsia"/>
                <w:b w:val="0"/>
                <w:bCs w:val="0"/>
                <w:sz w:val="18"/>
                <w:szCs w:val="18"/>
              </w:rPr>
              <w:t>3,TQ</w:t>
            </w:r>
            <w:proofErr w:type="gramEnd"/>
            <w:r>
              <w:rPr>
                <w:rFonts w:hint="eastAsia"/>
                <w:b w:val="0"/>
                <w:bCs w:val="0"/>
                <w:sz w:val="18"/>
                <w:szCs w:val="18"/>
              </w:rPr>
              <w:t>-B3139</w:t>
            </w:r>
          </w:p>
        </w:tc>
        <w:tc>
          <w:tcPr>
            <w:tcW w:w="489" w:type="pct"/>
            <w:tcBorders>
              <w:tl2br w:val="nil"/>
              <w:tr2bl w:val="nil"/>
            </w:tcBorders>
            <w:noWrap/>
            <w:vAlign w:val="center"/>
          </w:tcPr>
          <w:p w14:paraId="4ED201F9" w14:textId="77777777" w:rsidR="006D1C3F" w:rsidRDefault="00000000">
            <w:pPr>
              <w:pStyle w:val="af"/>
              <w:ind w:firstLine="360"/>
              <w:rPr>
                <w:rFonts w:cstheme="minorBidi"/>
                <w:b w:val="0"/>
                <w:bCs w:val="0"/>
                <w:sz w:val="18"/>
                <w:szCs w:val="18"/>
              </w:rPr>
            </w:pPr>
            <w:r>
              <w:rPr>
                <w:rFonts w:hint="eastAsia"/>
                <w:b w:val="0"/>
                <w:bCs w:val="0"/>
                <w:sz w:val="18"/>
                <w:szCs w:val="18"/>
              </w:rPr>
              <w:t>1156</w:t>
            </w:r>
          </w:p>
        </w:tc>
        <w:tc>
          <w:tcPr>
            <w:tcW w:w="738" w:type="pct"/>
            <w:tcBorders>
              <w:tl2br w:val="nil"/>
              <w:tr2bl w:val="nil"/>
            </w:tcBorders>
            <w:noWrap/>
            <w:vAlign w:val="center"/>
          </w:tcPr>
          <w:p w14:paraId="69A29036" w14:textId="77777777" w:rsidR="006D1C3F" w:rsidRDefault="00000000">
            <w:pPr>
              <w:pStyle w:val="af"/>
              <w:ind w:firstLine="360"/>
              <w:rPr>
                <w:rFonts w:cstheme="minorBidi"/>
                <w:b w:val="0"/>
                <w:bCs w:val="0"/>
                <w:sz w:val="18"/>
                <w:szCs w:val="18"/>
              </w:rPr>
            </w:pPr>
            <w:r>
              <w:rPr>
                <w:rFonts w:hint="eastAsia"/>
                <w:b w:val="0"/>
                <w:bCs w:val="0"/>
                <w:sz w:val="18"/>
                <w:szCs w:val="18"/>
              </w:rPr>
              <w:t>11.71 (9.97-12.97)</w:t>
            </w:r>
          </w:p>
        </w:tc>
        <w:tc>
          <w:tcPr>
            <w:tcW w:w="474" w:type="pct"/>
            <w:tcBorders>
              <w:tl2br w:val="nil"/>
              <w:tr2bl w:val="nil"/>
            </w:tcBorders>
            <w:noWrap/>
            <w:vAlign w:val="center"/>
          </w:tcPr>
          <w:p w14:paraId="1C8350E5" w14:textId="77777777" w:rsidR="006D1C3F" w:rsidRDefault="00000000">
            <w:pPr>
              <w:pStyle w:val="af"/>
              <w:ind w:firstLine="360"/>
              <w:rPr>
                <w:rFonts w:cstheme="minorBidi"/>
                <w:b w:val="0"/>
                <w:bCs w:val="0"/>
                <w:sz w:val="18"/>
                <w:szCs w:val="18"/>
              </w:rPr>
            </w:pPr>
            <w:r>
              <w:rPr>
                <w:rFonts w:hint="eastAsia"/>
                <w:b w:val="0"/>
                <w:bCs w:val="0"/>
                <w:sz w:val="18"/>
                <w:szCs w:val="18"/>
              </w:rPr>
              <w:t>49.0</w:t>
            </w:r>
          </w:p>
        </w:tc>
        <w:tc>
          <w:tcPr>
            <w:tcW w:w="522" w:type="pct"/>
            <w:tcBorders>
              <w:tl2br w:val="nil"/>
              <w:tr2bl w:val="nil"/>
            </w:tcBorders>
            <w:noWrap/>
            <w:vAlign w:val="center"/>
          </w:tcPr>
          <w:p w14:paraId="74C31C88" w14:textId="77777777" w:rsidR="006D1C3F" w:rsidRDefault="00000000">
            <w:pPr>
              <w:pStyle w:val="af"/>
              <w:ind w:firstLine="360"/>
              <w:rPr>
                <w:rFonts w:cstheme="minorBidi"/>
                <w:b w:val="0"/>
                <w:bCs w:val="0"/>
                <w:sz w:val="18"/>
                <w:szCs w:val="18"/>
              </w:rPr>
            </w:pPr>
            <w:r>
              <w:rPr>
                <w:rFonts w:cstheme="minorBidi" w:hint="eastAsia"/>
                <w:b w:val="0"/>
                <w:bCs w:val="0"/>
                <w:sz w:val="18"/>
                <w:szCs w:val="18"/>
              </w:rPr>
              <w:t>27.21</w:t>
            </w:r>
          </w:p>
        </w:tc>
        <w:tc>
          <w:tcPr>
            <w:tcW w:w="362" w:type="pct"/>
            <w:tcBorders>
              <w:tl2br w:val="nil"/>
              <w:tr2bl w:val="nil"/>
            </w:tcBorders>
            <w:noWrap/>
            <w:vAlign w:val="center"/>
          </w:tcPr>
          <w:p w14:paraId="7C2A8836" w14:textId="77777777" w:rsidR="006D1C3F" w:rsidRDefault="00000000">
            <w:pPr>
              <w:pStyle w:val="af"/>
              <w:ind w:firstLine="360"/>
              <w:rPr>
                <w:rFonts w:cstheme="minorBidi"/>
                <w:b w:val="0"/>
                <w:bCs w:val="0"/>
                <w:sz w:val="18"/>
                <w:szCs w:val="18"/>
              </w:rPr>
            </w:pPr>
            <w:r>
              <w:rPr>
                <w:rFonts w:hint="eastAsia"/>
                <w:b w:val="0"/>
                <w:bCs w:val="0"/>
                <w:sz w:val="18"/>
                <w:szCs w:val="18"/>
              </w:rPr>
              <w:t>8.1</w:t>
            </w:r>
          </w:p>
        </w:tc>
      </w:tr>
      <w:tr w:rsidR="006D1C3F" w14:paraId="7815B026" w14:textId="77777777">
        <w:trPr>
          <w:trHeight w:val="474"/>
        </w:trPr>
        <w:tc>
          <w:tcPr>
            <w:tcW w:w="724" w:type="pct"/>
            <w:gridSpan w:val="2"/>
            <w:tcBorders>
              <w:tl2br w:val="nil"/>
              <w:tr2bl w:val="nil"/>
            </w:tcBorders>
            <w:noWrap/>
            <w:vAlign w:val="center"/>
          </w:tcPr>
          <w:p w14:paraId="6D63002C"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Chemotherapy</w:t>
            </w:r>
          </w:p>
        </w:tc>
        <w:tc>
          <w:tcPr>
            <w:tcW w:w="1688" w:type="pct"/>
            <w:gridSpan w:val="3"/>
            <w:tcBorders>
              <w:tl2br w:val="nil"/>
              <w:tr2bl w:val="nil"/>
            </w:tcBorders>
            <w:noWrap/>
            <w:vAlign w:val="center"/>
          </w:tcPr>
          <w:p w14:paraId="0A0A9AD0" w14:textId="77777777" w:rsidR="006D1C3F" w:rsidRDefault="00000000">
            <w:pPr>
              <w:pStyle w:val="af"/>
              <w:ind w:firstLine="360"/>
              <w:rPr>
                <w:rFonts w:cstheme="minorBidi"/>
                <w:b w:val="0"/>
                <w:bCs w:val="0"/>
                <w:sz w:val="18"/>
                <w:szCs w:val="18"/>
              </w:rPr>
            </w:pPr>
            <w:r>
              <w:rPr>
                <w:rFonts w:hint="eastAsia"/>
                <w:b w:val="0"/>
                <w:bCs w:val="0"/>
                <w:sz w:val="18"/>
                <w:szCs w:val="18"/>
              </w:rPr>
              <w:t xml:space="preserve">PROFILE </w:t>
            </w:r>
            <w:proofErr w:type="gramStart"/>
            <w:r>
              <w:rPr>
                <w:rFonts w:hint="eastAsia"/>
                <w:b w:val="0"/>
                <w:bCs w:val="0"/>
                <w:sz w:val="18"/>
                <w:szCs w:val="18"/>
              </w:rPr>
              <w:t>1014,PROFILE</w:t>
            </w:r>
            <w:proofErr w:type="gramEnd"/>
            <w:r>
              <w:rPr>
                <w:rFonts w:hint="eastAsia"/>
                <w:b w:val="0"/>
                <w:bCs w:val="0"/>
                <w:sz w:val="18"/>
                <w:szCs w:val="18"/>
              </w:rPr>
              <w:t xml:space="preserve"> </w:t>
            </w:r>
            <w:proofErr w:type="gramStart"/>
            <w:r>
              <w:rPr>
                <w:rFonts w:hint="eastAsia"/>
                <w:b w:val="0"/>
                <w:bCs w:val="0"/>
                <w:sz w:val="18"/>
                <w:szCs w:val="18"/>
              </w:rPr>
              <w:t>1029,ASCEND</w:t>
            </w:r>
            <w:proofErr w:type="gramEnd"/>
            <w:r>
              <w:rPr>
                <w:rFonts w:hint="eastAsia"/>
                <w:b w:val="0"/>
                <w:bCs w:val="0"/>
                <w:sz w:val="18"/>
                <w:szCs w:val="18"/>
              </w:rPr>
              <w:t xml:space="preserve"> 4</w:t>
            </w:r>
          </w:p>
        </w:tc>
        <w:tc>
          <w:tcPr>
            <w:tcW w:w="489" w:type="pct"/>
            <w:tcBorders>
              <w:tl2br w:val="nil"/>
              <w:tr2bl w:val="nil"/>
            </w:tcBorders>
            <w:noWrap/>
            <w:vAlign w:val="center"/>
          </w:tcPr>
          <w:p w14:paraId="53E1D6BB" w14:textId="77777777" w:rsidR="006D1C3F" w:rsidRDefault="00000000">
            <w:pPr>
              <w:pStyle w:val="af"/>
              <w:ind w:firstLine="360"/>
              <w:rPr>
                <w:rFonts w:cstheme="minorBidi"/>
                <w:b w:val="0"/>
                <w:bCs w:val="0"/>
                <w:sz w:val="18"/>
                <w:szCs w:val="18"/>
              </w:rPr>
            </w:pPr>
            <w:r>
              <w:rPr>
                <w:rFonts w:hint="eastAsia"/>
                <w:b w:val="0"/>
                <w:bCs w:val="0"/>
                <w:sz w:val="18"/>
                <w:szCs w:val="18"/>
              </w:rPr>
              <w:t>358</w:t>
            </w:r>
          </w:p>
        </w:tc>
        <w:tc>
          <w:tcPr>
            <w:tcW w:w="738" w:type="pct"/>
            <w:tcBorders>
              <w:tl2br w:val="nil"/>
              <w:tr2bl w:val="nil"/>
            </w:tcBorders>
            <w:noWrap/>
            <w:vAlign w:val="center"/>
          </w:tcPr>
          <w:p w14:paraId="19F7B47B" w14:textId="77777777" w:rsidR="006D1C3F" w:rsidRDefault="00000000">
            <w:pPr>
              <w:pStyle w:val="af"/>
              <w:ind w:firstLine="360"/>
              <w:rPr>
                <w:rFonts w:cstheme="minorBidi"/>
                <w:b w:val="0"/>
                <w:bCs w:val="0"/>
                <w:sz w:val="18"/>
                <w:szCs w:val="18"/>
              </w:rPr>
            </w:pPr>
            <w:r>
              <w:rPr>
                <w:rFonts w:hint="eastAsia"/>
                <w:b w:val="0"/>
                <w:bCs w:val="0"/>
                <w:sz w:val="18"/>
                <w:szCs w:val="18"/>
              </w:rPr>
              <w:t>7.22 (5.81-8.63)</w:t>
            </w:r>
          </w:p>
        </w:tc>
        <w:tc>
          <w:tcPr>
            <w:tcW w:w="474" w:type="pct"/>
            <w:tcBorders>
              <w:tl2br w:val="nil"/>
              <w:tr2bl w:val="nil"/>
            </w:tcBorders>
            <w:noWrap/>
            <w:vAlign w:val="center"/>
          </w:tcPr>
          <w:p w14:paraId="4ED37F6A" w14:textId="77777777" w:rsidR="006D1C3F" w:rsidRDefault="00000000">
            <w:pPr>
              <w:pStyle w:val="af"/>
              <w:ind w:firstLine="360"/>
              <w:rPr>
                <w:rFonts w:cstheme="minorBidi"/>
                <w:b w:val="0"/>
                <w:bCs w:val="0"/>
                <w:sz w:val="18"/>
                <w:szCs w:val="18"/>
              </w:rPr>
            </w:pPr>
            <w:r>
              <w:rPr>
                <w:rFonts w:hint="eastAsia"/>
                <w:b w:val="0"/>
                <w:bCs w:val="0"/>
                <w:sz w:val="18"/>
                <w:szCs w:val="18"/>
              </w:rPr>
              <w:t xml:space="preserve">22.3 </w:t>
            </w:r>
          </w:p>
        </w:tc>
        <w:tc>
          <w:tcPr>
            <w:tcW w:w="522" w:type="pct"/>
            <w:tcBorders>
              <w:tl2br w:val="nil"/>
              <w:tr2bl w:val="nil"/>
            </w:tcBorders>
            <w:noWrap/>
            <w:vAlign w:val="center"/>
          </w:tcPr>
          <w:p w14:paraId="22CBF035" w14:textId="77777777" w:rsidR="006D1C3F" w:rsidRDefault="00000000">
            <w:pPr>
              <w:pStyle w:val="af"/>
              <w:ind w:firstLine="360"/>
              <w:rPr>
                <w:rFonts w:cstheme="minorBidi"/>
                <w:b w:val="0"/>
                <w:bCs w:val="0"/>
                <w:sz w:val="18"/>
                <w:szCs w:val="18"/>
              </w:rPr>
            </w:pPr>
            <w:r>
              <w:rPr>
                <w:rFonts w:hint="eastAsia"/>
                <w:b w:val="0"/>
                <w:bCs w:val="0"/>
                <w:sz w:val="18"/>
                <w:szCs w:val="18"/>
              </w:rPr>
              <w:t xml:space="preserve">9.81 </w:t>
            </w:r>
          </w:p>
        </w:tc>
        <w:tc>
          <w:tcPr>
            <w:tcW w:w="362" w:type="pct"/>
            <w:tcBorders>
              <w:tl2br w:val="nil"/>
              <w:tr2bl w:val="nil"/>
            </w:tcBorders>
            <w:noWrap/>
            <w:vAlign w:val="center"/>
          </w:tcPr>
          <w:p w14:paraId="04CAEDE9" w14:textId="77777777" w:rsidR="006D1C3F" w:rsidRDefault="00000000">
            <w:pPr>
              <w:pStyle w:val="af"/>
              <w:ind w:firstLine="360"/>
              <w:rPr>
                <w:rFonts w:cstheme="minorBidi"/>
                <w:b w:val="0"/>
                <w:bCs w:val="0"/>
                <w:sz w:val="18"/>
                <w:szCs w:val="18"/>
              </w:rPr>
            </w:pPr>
            <w:r>
              <w:rPr>
                <w:rFonts w:hint="eastAsia"/>
                <w:b w:val="0"/>
                <w:bCs w:val="0"/>
                <w:sz w:val="18"/>
                <w:szCs w:val="18"/>
              </w:rPr>
              <w:t>7.7</w:t>
            </w:r>
          </w:p>
        </w:tc>
      </w:tr>
      <w:tr w:rsidR="006D1C3F" w14:paraId="1ABD5E87" w14:textId="77777777">
        <w:trPr>
          <w:trHeight w:val="474"/>
        </w:trPr>
        <w:tc>
          <w:tcPr>
            <w:tcW w:w="724" w:type="pct"/>
            <w:gridSpan w:val="2"/>
            <w:tcBorders>
              <w:tl2br w:val="nil"/>
              <w:tr2bl w:val="nil"/>
            </w:tcBorders>
            <w:noWrap/>
            <w:vAlign w:val="center"/>
          </w:tcPr>
          <w:p w14:paraId="73139DF5"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Ceritinib</w:t>
            </w:r>
            <w:proofErr w:type="spellEnd"/>
          </w:p>
        </w:tc>
        <w:tc>
          <w:tcPr>
            <w:tcW w:w="1688" w:type="pct"/>
            <w:gridSpan w:val="3"/>
            <w:tcBorders>
              <w:tl2br w:val="nil"/>
              <w:tr2bl w:val="nil"/>
            </w:tcBorders>
            <w:noWrap/>
            <w:vAlign w:val="center"/>
          </w:tcPr>
          <w:p w14:paraId="529FBF75" w14:textId="77777777" w:rsidR="006D1C3F" w:rsidRDefault="00000000">
            <w:pPr>
              <w:pStyle w:val="af"/>
              <w:ind w:firstLine="360"/>
              <w:rPr>
                <w:rFonts w:cstheme="minorBidi"/>
                <w:b w:val="0"/>
                <w:bCs w:val="0"/>
                <w:sz w:val="18"/>
                <w:szCs w:val="18"/>
              </w:rPr>
            </w:pPr>
            <w:r>
              <w:rPr>
                <w:rFonts w:hint="eastAsia"/>
                <w:b w:val="0"/>
                <w:bCs w:val="0"/>
                <w:sz w:val="18"/>
                <w:szCs w:val="18"/>
              </w:rPr>
              <w:t xml:space="preserve">ASCEND </w:t>
            </w:r>
            <w:proofErr w:type="gramStart"/>
            <w:r>
              <w:rPr>
                <w:rFonts w:hint="eastAsia"/>
                <w:b w:val="0"/>
                <w:bCs w:val="0"/>
                <w:sz w:val="18"/>
                <w:szCs w:val="18"/>
              </w:rPr>
              <w:t>4,ASCEND</w:t>
            </w:r>
            <w:proofErr w:type="gramEnd"/>
            <w:r>
              <w:rPr>
                <w:rFonts w:hint="eastAsia"/>
                <w:b w:val="0"/>
                <w:bCs w:val="0"/>
                <w:sz w:val="18"/>
                <w:szCs w:val="18"/>
              </w:rPr>
              <w:t xml:space="preserve"> 8</w:t>
            </w:r>
          </w:p>
        </w:tc>
        <w:tc>
          <w:tcPr>
            <w:tcW w:w="489" w:type="pct"/>
            <w:tcBorders>
              <w:tl2br w:val="nil"/>
              <w:tr2bl w:val="nil"/>
            </w:tcBorders>
            <w:noWrap/>
            <w:vAlign w:val="center"/>
          </w:tcPr>
          <w:p w14:paraId="5580C44B" w14:textId="77777777" w:rsidR="006D1C3F" w:rsidRDefault="00000000">
            <w:pPr>
              <w:pStyle w:val="af"/>
              <w:ind w:firstLine="360"/>
              <w:rPr>
                <w:rFonts w:cstheme="minorBidi"/>
                <w:b w:val="0"/>
                <w:bCs w:val="0"/>
                <w:sz w:val="18"/>
                <w:szCs w:val="18"/>
              </w:rPr>
            </w:pPr>
            <w:r>
              <w:rPr>
                <w:rFonts w:hint="eastAsia"/>
                <w:b w:val="0"/>
                <w:bCs w:val="0"/>
                <w:sz w:val="18"/>
                <w:szCs w:val="18"/>
              </w:rPr>
              <w:t>387</w:t>
            </w:r>
          </w:p>
        </w:tc>
        <w:tc>
          <w:tcPr>
            <w:tcW w:w="738" w:type="pct"/>
            <w:tcBorders>
              <w:tl2br w:val="nil"/>
              <w:tr2bl w:val="nil"/>
            </w:tcBorders>
            <w:noWrap/>
            <w:vAlign w:val="center"/>
          </w:tcPr>
          <w:p w14:paraId="47F75473" w14:textId="77777777" w:rsidR="006D1C3F" w:rsidRDefault="00000000">
            <w:pPr>
              <w:pStyle w:val="af"/>
              <w:ind w:firstLine="360"/>
              <w:rPr>
                <w:rFonts w:cstheme="minorBidi"/>
                <w:b w:val="0"/>
                <w:bCs w:val="0"/>
                <w:sz w:val="18"/>
                <w:szCs w:val="18"/>
              </w:rPr>
            </w:pPr>
            <w:r>
              <w:rPr>
                <w:rFonts w:hint="eastAsia"/>
                <w:b w:val="0"/>
                <w:bCs w:val="0"/>
                <w:sz w:val="18"/>
                <w:szCs w:val="18"/>
              </w:rPr>
              <w:t>17.99 (12.85-22.58)</w:t>
            </w:r>
          </w:p>
        </w:tc>
        <w:tc>
          <w:tcPr>
            <w:tcW w:w="474" w:type="pct"/>
            <w:tcBorders>
              <w:tl2br w:val="nil"/>
              <w:tr2bl w:val="nil"/>
            </w:tcBorders>
            <w:noWrap/>
            <w:vAlign w:val="center"/>
          </w:tcPr>
          <w:p w14:paraId="766FAC7F" w14:textId="77777777" w:rsidR="006D1C3F" w:rsidRDefault="00000000">
            <w:pPr>
              <w:pStyle w:val="af"/>
              <w:ind w:firstLine="360"/>
              <w:rPr>
                <w:rFonts w:cstheme="minorBidi"/>
                <w:b w:val="0"/>
                <w:bCs w:val="0"/>
                <w:sz w:val="18"/>
                <w:szCs w:val="18"/>
              </w:rPr>
            </w:pPr>
            <w:r>
              <w:rPr>
                <w:rFonts w:hint="eastAsia"/>
                <w:b w:val="0"/>
                <w:bCs w:val="0"/>
                <w:sz w:val="18"/>
                <w:szCs w:val="18"/>
              </w:rPr>
              <w:t xml:space="preserve">63.0 </w:t>
            </w:r>
          </w:p>
        </w:tc>
        <w:tc>
          <w:tcPr>
            <w:tcW w:w="522" w:type="pct"/>
            <w:tcBorders>
              <w:tl2br w:val="nil"/>
              <w:tr2bl w:val="nil"/>
            </w:tcBorders>
            <w:noWrap/>
            <w:vAlign w:val="center"/>
          </w:tcPr>
          <w:p w14:paraId="3539737B" w14:textId="77777777" w:rsidR="006D1C3F" w:rsidRDefault="00000000">
            <w:pPr>
              <w:pStyle w:val="af"/>
              <w:ind w:firstLine="360"/>
              <w:rPr>
                <w:rFonts w:cstheme="minorBidi"/>
                <w:b w:val="0"/>
                <w:bCs w:val="0"/>
                <w:sz w:val="18"/>
                <w:szCs w:val="18"/>
              </w:rPr>
            </w:pPr>
            <w:r>
              <w:rPr>
                <w:rFonts w:hint="eastAsia"/>
                <w:b w:val="0"/>
                <w:bCs w:val="0"/>
                <w:sz w:val="18"/>
                <w:szCs w:val="18"/>
              </w:rPr>
              <w:t xml:space="preserve">25.33 </w:t>
            </w:r>
          </w:p>
        </w:tc>
        <w:tc>
          <w:tcPr>
            <w:tcW w:w="362" w:type="pct"/>
            <w:tcBorders>
              <w:tl2br w:val="nil"/>
              <w:tr2bl w:val="nil"/>
            </w:tcBorders>
            <w:noWrap/>
            <w:vAlign w:val="center"/>
          </w:tcPr>
          <w:p w14:paraId="78100C86" w14:textId="77777777" w:rsidR="006D1C3F" w:rsidRDefault="00000000">
            <w:pPr>
              <w:pStyle w:val="af"/>
              <w:ind w:firstLine="360"/>
              <w:rPr>
                <w:rFonts w:cstheme="minorBidi"/>
                <w:b w:val="0"/>
                <w:bCs w:val="0"/>
                <w:sz w:val="18"/>
                <w:szCs w:val="18"/>
              </w:rPr>
            </w:pPr>
            <w:r>
              <w:rPr>
                <w:rFonts w:hint="eastAsia"/>
                <w:b w:val="0"/>
                <w:bCs w:val="0"/>
                <w:sz w:val="18"/>
                <w:szCs w:val="18"/>
              </w:rPr>
              <w:t>0</w:t>
            </w:r>
          </w:p>
        </w:tc>
      </w:tr>
      <w:tr w:rsidR="006D1C3F" w14:paraId="090365C0" w14:textId="77777777">
        <w:trPr>
          <w:trHeight w:val="504"/>
        </w:trPr>
        <w:tc>
          <w:tcPr>
            <w:tcW w:w="724" w:type="pct"/>
            <w:gridSpan w:val="2"/>
            <w:tcBorders>
              <w:tl2br w:val="nil"/>
              <w:tr2bl w:val="nil"/>
            </w:tcBorders>
            <w:noWrap/>
            <w:vAlign w:val="center"/>
          </w:tcPr>
          <w:p w14:paraId="6DE01F9B"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lastRenderedPageBreak/>
              <w:t>Envonalkib</w:t>
            </w:r>
            <w:proofErr w:type="spellEnd"/>
          </w:p>
        </w:tc>
        <w:tc>
          <w:tcPr>
            <w:tcW w:w="1688" w:type="pct"/>
            <w:gridSpan w:val="3"/>
            <w:tcBorders>
              <w:tl2br w:val="nil"/>
              <w:tr2bl w:val="nil"/>
            </w:tcBorders>
            <w:noWrap/>
            <w:vAlign w:val="center"/>
          </w:tcPr>
          <w:p w14:paraId="4A2970D9" w14:textId="77777777" w:rsidR="006D1C3F" w:rsidRDefault="00000000">
            <w:pPr>
              <w:pStyle w:val="af"/>
              <w:ind w:firstLine="360"/>
              <w:rPr>
                <w:rFonts w:cstheme="minorBidi"/>
                <w:b w:val="0"/>
                <w:bCs w:val="0"/>
                <w:sz w:val="18"/>
                <w:szCs w:val="18"/>
              </w:rPr>
            </w:pPr>
            <w:r>
              <w:rPr>
                <w:rFonts w:hint="eastAsia"/>
                <w:b w:val="0"/>
                <w:bCs w:val="0"/>
                <w:sz w:val="18"/>
                <w:szCs w:val="18"/>
              </w:rPr>
              <w:t>TQ-B3139</w:t>
            </w:r>
          </w:p>
        </w:tc>
        <w:tc>
          <w:tcPr>
            <w:tcW w:w="489" w:type="pct"/>
            <w:tcBorders>
              <w:tl2br w:val="nil"/>
              <w:tr2bl w:val="nil"/>
            </w:tcBorders>
            <w:noWrap/>
            <w:vAlign w:val="center"/>
          </w:tcPr>
          <w:p w14:paraId="32DB1245" w14:textId="77777777" w:rsidR="006D1C3F" w:rsidRDefault="00000000">
            <w:pPr>
              <w:pStyle w:val="af"/>
              <w:ind w:firstLine="360"/>
              <w:rPr>
                <w:rFonts w:cstheme="minorBidi"/>
                <w:b w:val="0"/>
                <w:bCs w:val="0"/>
                <w:sz w:val="18"/>
                <w:szCs w:val="18"/>
              </w:rPr>
            </w:pPr>
            <w:r>
              <w:rPr>
                <w:rFonts w:hint="eastAsia"/>
                <w:b w:val="0"/>
                <w:bCs w:val="0"/>
                <w:sz w:val="18"/>
                <w:szCs w:val="18"/>
              </w:rPr>
              <w:t>131</w:t>
            </w:r>
          </w:p>
        </w:tc>
        <w:tc>
          <w:tcPr>
            <w:tcW w:w="738" w:type="pct"/>
            <w:tcBorders>
              <w:tl2br w:val="nil"/>
              <w:tr2bl w:val="nil"/>
            </w:tcBorders>
            <w:noWrap/>
            <w:vAlign w:val="center"/>
          </w:tcPr>
          <w:p w14:paraId="1958A7F4" w14:textId="77777777" w:rsidR="006D1C3F" w:rsidRDefault="00000000">
            <w:pPr>
              <w:pStyle w:val="af"/>
              <w:ind w:firstLine="360"/>
              <w:rPr>
                <w:rFonts w:cstheme="minorBidi"/>
                <w:b w:val="0"/>
                <w:bCs w:val="0"/>
                <w:sz w:val="18"/>
                <w:szCs w:val="18"/>
              </w:rPr>
            </w:pPr>
            <w:r>
              <w:rPr>
                <w:rFonts w:hint="eastAsia"/>
                <w:b w:val="0"/>
                <w:bCs w:val="0"/>
                <w:sz w:val="18"/>
                <w:szCs w:val="18"/>
              </w:rPr>
              <w:t>24.87 (15.64-30.36)</w:t>
            </w:r>
          </w:p>
        </w:tc>
        <w:tc>
          <w:tcPr>
            <w:tcW w:w="474" w:type="pct"/>
            <w:tcBorders>
              <w:tl2br w:val="nil"/>
              <w:tr2bl w:val="nil"/>
            </w:tcBorders>
            <w:noWrap/>
            <w:vAlign w:val="center"/>
          </w:tcPr>
          <w:p w14:paraId="792FE8AB" w14:textId="77777777" w:rsidR="006D1C3F" w:rsidRDefault="00000000">
            <w:pPr>
              <w:pStyle w:val="af"/>
              <w:ind w:firstLine="360"/>
              <w:rPr>
                <w:rFonts w:cstheme="minorBidi"/>
                <w:b w:val="0"/>
                <w:bCs w:val="0"/>
                <w:sz w:val="18"/>
                <w:szCs w:val="18"/>
              </w:rPr>
            </w:pPr>
            <w:r>
              <w:rPr>
                <w:rFonts w:hint="eastAsia"/>
                <w:b w:val="0"/>
                <w:bCs w:val="0"/>
                <w:sz w:val="18"/>
                <w:szCs w:val="18"/>
              </w:rPr>
              <w:t>65.8</w:t>
            </w:r>
          </w:p>
        </w:tc>
        <w:tc>
          <w:tcPr>
            <w:tcW w:w="522" w:type="pct"/>
            <w:tcBorders>
              <w:tl2br w:val="nil"/>
              <w:tr2bl w:val="nil"/>
            </w:tcBorders>
            <w:noWrap/>
            <w:vAlign w:val="center"/>
          </w:tcPr>
          <w:p w14:paraId="3DFDEEB1" w14:textId="77777777" w:rsidR="006D1C3F" w:rsidRDefault="00000000">
            <w:pPr>
              <w:pStyle w:val="af"/>
              <w:ind w:firstLine="360"/>
              <w:rPr>
                <w:rFonts w:cstheme="minorBidi"/>
                <w:b w:val="0"/>
                <w:bCs w:val="0"/>
                <w:sz w:val="18"/>
                <w:szCs w:val="18"/>
              </w:rPr>
            </w:pPr>
            <w:r>
              <w:rPr>
                <w:rFonts w:hint="eastAsia"/>
                <w:b w:val="0"/>
                <w:bCs w:val="0"/>
                <w:sz w:val="18"/>
                <w:szCs w:val="18"/>
              </w:rPr>
              <w:t xml:space="preserve">32.85 </w:t>
            </w:r>
          </w:p>
        </w:tc>
        <w:tc>
          <w:tcPr>
            <w:tcW w:w="362" w:type="pct"/>
            <w:tcBorders>
              <w:tl2br w:val="nil"/>
              <w:tr2bl w:val="nil"/>
            </w:tcBorders>
            <w:noWrap/>
            <w:vAlign w:val="center"/>
          </w:tcPr>
          <w:p w14:paraId="51BADED5" w14:textId="77777777" w:rsidR="006D1C3F" w:rsidRDefault="00000000">
            <w:pPr>
              <w:pStyle w:val="af"/>
              <w:ind w:firstLine="360"/>
              <w:rPr>
                <w:rFonts w:cstheme="minorBidi"/>
                <w:b w:val="0"/>
                <w:bCs w:val="0"/>
                <w:sz w:val="18"/>
                <w:szCs w:val="18"/>
              </w:rPr>
            </w:pPr>
            <w:r>
              <w:rPr>
                <w:rFonts w:hint="eastAsia"/>
                <w:b w:val="0"/>
                <w:bCs w:val="0"/>
                <w:sz w:val="18"/>
                <w:szCs w:val="18"/>
              </w:rPr>
              <w:t>NA</w:t>
            </w:r>
          </w:p>
        </w:tc>
      </w:tr>
      <w:tr w:rsidR="006D1C3F" w14:paraId="145FE1D4" w14:textId="77777777">
        <w:trPr>
          <w:trHeight w:val="474"/>
        </w:trPr>
        <w:tc>
          <w:tcPr>
            <w:tcW w:w="5000" w:type="pct"/>
            <w:gridSpan w:val="10"/>
            <w:tcBorders>
              <w:tl2br w:val="nil"/>
              <w:tr2bl w:val="nil"/>
            </w:tcBorders>
            <w:noWrap/>
            <w:vAlign w:val="center"/>
          </w:tcPr>
          <w:p w14:paraId="62633E74" w14:textId="77777777" w:rsidR="006D1C3F" w:rsidRDefault="00000000">
            <w:pPr>
              <w:pStyle w:val="af"/>
              <w:ind w:firstLine="361"/>
              <w:rPr>
                <w:sz w:val="18"/>
                <w:szCs w:val="18"/>
              </w:rPr>
            </w:pPr>
            <w:r>
              <w:rPr>
                <w:rFonts w:hint="eastAsia"/>
                <w:sz w:val="18"/>
                <w:szCs w:val="18"/>
              </w:rPr>
              <w:t>Second-line (crizotinib resistance)</w:t>
            </w:r>
          </w:p>
        </w:tc>
      </w:tr>
      <w:tr w:rsidR="006D1C3F" w14:paraId="516C0B5B" w14:textId="77777777">
        <w:trPr>
          <w:trHeight w:val="474"/>
        </w:trPr>
        <w:tc>
          <w:tcPr>
            <w:tcW w:w="724" w:type="pct"/>
            <w:gridSpan w:val="2"/>
            <w:tcBorders>
              <w:tl2br w:val="nil"/>
              <w:tr2bl w:val="nil"/>
            </w:tcBorders>
            <w:noWrap/>
            <w:vAlign w:val="center"/>
          </w:tcPr>
          <w:p w14:paraId="3D6734E4"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Alectinib</w:t>
            </w:r>
            <w:proofErr w:type="spellEnd"/>
          </w:p>
        </w:tc>
        <w:tc>
          <w:tcPr>
            <w:tcW w:w="1545" w:type="pct"/>
            <w:tcBorders>
              <w:tl2br w:val="nil"/>
              <w:tr2bl w:val="nil"/>
            </w:tcBorders>
            <w:noWrap/>
          </w:tcPr>
          <w:p w14:paraId="3B64F57B" w14:textId="77777777" w:rsidR="006D1C3F" w:rsidRDefault="00000000">
            <w:pPr>
              <w:pStyle w:val="af"/>
              <w:ind w:firstLine="360"/>
              <w:rPr>
                <w:b w:val="0"/>
                <w:bCs w:val="0"/>
                <w:sz w:val="18"/>
                <w:szCs w:val="18"/>
              </w:rPr>
            </w:pPr>
            <w:proofErr w:type="gramStart"/>
            <w:r>
              <w:rPr>
                <w:rFonts w:hint="eastAsia"/>
                <w:b w:val="0"/>
                <w:bCs w:val="0"/>
                <w:sz w:val="18"/>
                <w:szCs w:val="18"/>
              </w:rPr>
              <w:t>ALUR,ALTA</w:t>
            </w:r>
            <w:proofErr w:type="gramEnd"/>
            <w:r>
              <w:rPr>
                <w:rFonts w:hint="eastAsia"/>
                <w:b w:val="0"/>
                <w:bCs w:val="0"/>
                <w:sz w:val="18"/>
                <w:szCs w:val="18"/>
              </w:rPr>
              <w:t>-3</w:t>
            </w:r>
            <w:proofErr w:type="gramStart"/>
            <w:r>
              <w:rPr>
                <w:rFonts w:hint="eastAsia"/>
                <w:b w:val="0"/>
                <w:bCs w:val="0"/>
                <w:sz w:val="18"/>
                <w:szCs w:val="18"/>
              </w:rPr>
              <w:t>L,Sai</w:t>
            </w:r>
            <w:proofErr w:type="gramEnd"/>
            <w:r>
              <w:rPr>
                <w:rFonts w:hint="eastAsia"/>
                <w:b w:val="0"/>
                <w:bCs w:val="0"/>
                <w:sz w:val="18"/>
                <w:szCs w:val="18"/>
              </w:rPr>
              <w:t>-Hong 2015</w:t>
            </w:r>
          </w:p>
        </w:tc>
        <w:tc>
          <w:tcPr>
            <w:tcW w:w="632" w:type="pct"/>
            <w:gridSpan w:val="3"/>
            <w:tcBorders>
              <w:tl2br w:val="nil"/>
              <w:tr2bl w:val="nil"/>
            </w:tcBorders>
            <w:noWrap/>
          </w:tcPr>
          <w:p w14:paraId="2B2A43AE" w14:textId="77777777" w:rsidR="006D1C3F" w:rsidRDefault="00000000">
            <w:pPr>
              <w:pStyle w:val="af"/>
              <w:ind w:firstLine="360"/>
              <w:rPr>
                <w:b w:val="0"/>
                <w:bCs w:val="0"/>
                <w:sz w:val="18"/>
                <w:szCs w:val="18"/>
              </w:rPr>
            </w:pPr>
            <w:r>
              <w:rPr>
                <w:rFonts w:hint="eastAsia"/>
                <w:b w:val="0"/>
                <w:bCs w:val="0"/>
                <w:sz w:val="18"/>
                <w:szCs w:val="18"/>
              </w:rPr>
              <w:t>333</w:t>
            </w:r>
          </w:p>
        </w:tc>
        <w:tc>
          <w:tcPr>
            <w:tcW w:w="738" w:type="pct"/>
            <w:tcBorders>
              <w:tl2br w:val="nil"/>
              <w:tr2bl w:val="nil"/>
            </w:tcBorders>
            <w:noWrap/>
          </w:tcPr>
          <w:p w14:paraId="0F733571" w14:textId="77777777" w:rsidR="006D1C3F" w:rsidRDefault="00000000">
            <w:pPr>
              <w:pStyle w:val="af"/>
              <w:ind w:firstLine="360"/>
              <w:rPr>
                <w:b w:val="0"/>
                <w:bCs w:val="0"/>
                <w:sz w:val="18"/>
                <w:szCs w:val="18"/>
              </w:rPr>
            </w:pPr>
            <w:r>
              <w:rPr>
                <w:rFonts w:hint="eastAsia"/>
                <w:b w:val="0"/>
                <w:bCs w:val="0"/>
                <w:sz w:val="18"/>
                <w:szCs w:val="18"/>
              </w:rPr>
              <w:t>11.77 (5.63-16.98)</w:t>
            </w:r>
          </w:p>
        </w:tc>
        <w:tc>
          <w:tcPr>
            <w:tcW w:w="474" w:type="pct"/>
            <w:tcBorders>
              <w:tl2br w:val="nil"/>
              <w:tr2bl w:val="nil"/>
            </w:tcBorders>
            <w:noWrap/>
          </w:tcPr>
          <w:p w14:paraId="51D5F19D" w14:textId="77777777" w:rsidR="006D1C3F" w:rsidRDefault="00000000">
            <w:pPr>
              <w:pStyle w:val="af"/>
              <w:ind w:firstLine="360"/>
              <w:rPr>
                <w:b w:val="0"/>
                <w:bCs w:val="0"/>
                <w:sz w:val="18"/>
                <w:szCs w:val="18"/>
              </w:rPr>
            </w:pPr>
            <w:r>
              <w:rPr>
                <w:rFonts w:hint="eastAsia"/>
                <w:b w:val="0"/>
                <w:bCs w:val="0"/>
                <w:sz w:val="18"/>
                <w:szCs w:val="18"/>
              </w:rPr>
              <w:t>49.8</w:t>
            </w:r>
          </w:p>
        </w:tc>
        <w:tc>
          <w:tcPr>
            <w:tcW w:w="522" w:type="pct"/>
            <w:tcBorders>
              <w:tl2br w:val="nil"/>
              <w:tr2bl w:val="nil"/>
            </w:tcBorders>
            <w:noWrap/>
          </w:tcPr>
          <w:p w14:paraId="17A2EB68" w14:textId="77777777" w:rsidR="006D1C3F" w:rsidRDefault="00000000">
            <w:pPr>
              <w:pStyle w:val="af"/>
              <w:ind w:firstLine="360"/>
              <w:rPr>
                <w:b w:val="0"/>
                <w:bCs w:val="0"/>
                <w:sz w:val="18"/>
                <w:szCs w:val="18"/>
              </w:rPr>
            </w:pPr>
            <w:r>
              <w:rPr>
                <w:rFonts w:hint="eastAsia"/>
                <w:b w:val="0"/>
                <w:bCs w:val="0"/>
                <w:sz w:val="18"/>
                <w:szCs w:val="18"/>
              </w:rPr>
              <w:t>25.76</w:t>
            </w:r>
          </w:p>
        </w:tc>
        <w:tc>
          <w:tcPr>
            <w:tcW w:w="362" w:type="pct"/>
            <w:tcBorders>
              <w:tl2br w:val="nil"/>
              <w:tr2bl w:val="nil"/>
            </w:tcBorders>
            <w:noWrap/>
          </w:tcPr>
          <w:p w14:paraId="602DA050" w14:textId="77777777" w:rsidR="006D1C3F" w:rsidRDefault="00000000">
            <w:pPr>
              <w:pStyle w:val="af"/>
              <w:ind w:firstLine="360"/>
              <w:rPr>
                <w:b w:val="0"/>
                <w:bCs w:val="0"/>
                <w:sz w:val="18"/>
                <w:szCs w:val="18"/>
              </w:rPr>
            </w:pPr>
            <w:r>
              <w:rPr>
                <w:rFonts w:hint="eastAsia"/>
                <w:b w:val="0"/>
                <w:bCs w:val="0"/>
                <w:sz w:val="18"/>
                <w:szCs w:val="18"/>
              </w:rPr>
              <w:t>16.7</w:t>
            </w:r>
          </w:p>
        </w:tc>
      </w:tr>
      <w:tr w:rsidR="006D1C3F" w14:paraId="05A40296" w14:textId="77777777">
        <w:trPr>
          <w:trHeight w:val="474"/>
        </w:trPr>
        <w:tc>
          <w:tcPr>
            <w:tcW w:w="724" w:type="pct"/>
            <w:gridSpan w:val="2"/>
            <w:tcBorders>
              <w:tl2br w:val="nil"/>
              <w:tr2bl w:val="nil"/>
            </w:tcBorders>
            <w:noWrap/>
            <w:vAlign w:val="center"/>
          </w:tcPr>
          <w:p w14:paraId="38FC8A49"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Brigatinib</w:t>
            </w:r>
            <w:proofErr w:type="spellEnd"/>
          </w:p>
        </w:tc>
        <w:tc>
          <w:tcPr>
            <w:tcW w:w="1545" w:type="pct"/>
            <w:tcBorders>
              <w:tl2br w:val="nil"/>
              <w:tr2bl w:val="nil"/>
            </w:tcBorders>
            <w:noWrap/>
          </w:tcPr>
          <w:p w14:paraId="4B51DF65" w14:textId="77777777" w:rsidR="006D1C3F" w:rsidRDefault="00000000">
            <w:pPr>
              <w:pStyle w:val="af"/>
              <w:ind w:firstLine="360"/>
              <w:rPr>
                <w:b w:val="0"/>
                <w:bCs w:val="0"/>
                <w:sz w:val="18"/>
                <w:szCs w:val="18"/>
              </w:rPr>
            </w:pPr>
            <w:r>
              <w:rPr>
                <w:rFonts w:hint="eastAsia"/>
                <w:b w:val="0"/>
                <w:bCs w:val="0"/>
                <w:sz w:val="18"/>
                <w:szCs w:val="18"/>
              </w:rPr>
              <w:t>NCT</w:t>
            </w:r>
            <w:proofErr w:type="gramStart"/>
            <w:r>
              <w:rPr>
                <w:rFonts w:hint="eastAsia"/>
                <w:b w:val="0"/>
                <w:bCs w:val="0"/>
                <w:sz w:val="18"/>
                <w:szCs w:val="18"/>
              </w:rPr>
              <w:t>01449461,ALTA</w:t>
            </w:r>
            <w:proofErr w:type="gramEnd"/>
            <w:r>
              <w:rPr>
                <w:rFonts w:hint="eastAsia"/>
                <w:b w:val="0"/>
                <w:bCs w:val="0"/>
                <w:sz w:val="18"/>
                <w:szCs w:val="18"/>
              </w:rPr>
              <w:t>,ALTA-3L</w:t>
            </w:r>
          </w:p>
        </w:tc>
        <w:tc>
          <w:tcPr>
            <w:tcW w:w="632" w:type="pct"/>
            <w:gridSpan w:val="3"/>
            <w:tcBorders>
              <w:tl2br w:val="nil"/>
              <w:tr2bl w:val="nil"/>
            </w:tcBorders>
            <w:noWrap/>
          </w:tcPr>
          <w:p w14:paraId="1EF40D78" w14:textId="77777777" w:rsidR="006D1C3F" w:rsidRDefault="00000000">
            <w:pPr>
              <w:pStyle w:val="af"/>
              <w:ind w:firstLine="360"/>
              <w:rPr>
                <w:b w:val="0"/>
                <w:bCs w:val="0"/>
                <w:sz w:val="18"/>
                <w:szCs w:val="18"/>
              </w:rPr>
            </w:pPr>
            <w:r>
              <w:rPr>
                <w:rFonts w:hint="eastAsia"/>
                <w:b w:val="0"/>
                <w:bCs w:val="0"/>
                <w:sz w:val="18"/>
                <w:szCs w:val="18"/>
              </w:rPr>
              <w:t>569</w:t>
            </w:r>
          </w:p>
        </w:tc>
        <w:tc>
          <w:tcPr>
            <w:tcW w:w="738" w:type="pct"/>
            <w:tcBorders>
              <w:tl2br w:val="nil"/>
              <w:tr2bl w:val="nil"/>
            </w:tcBorders>
            <w:noWrap/>
          </w:tcPr>
          <w:p w14:paraId="13B57E07" w14:textId="77777777" w:rsidR="006D1C3F" w:rsidRDefault="00000000">
            <w:pPr>
              <w:pStyle w:val="af"/>
              <w:ind w:firstLine="360"/>
              <w:rPr>
                <w:b w:val="0"/>
                <w:bCs w:val="0"/>
                <w:sz w:val="18"/>
                <w:szCs w:val="18"/>
              </w:rPr>
            </w:pPr>
            <w:r>
              <w:rPr>
                <w:rFonts w:hint="eastAsia"/>
                <w:b w:val="0"/>
                <w:bCs w:val="0"/>
                <w:sz w:val="18"/>
                <w:szCs w:val="18"/>
              </w:rPr>
              <w:t>15.02 (9.57-18.69)</w:t>
            </w:r>
          </w:p>
        </w:tc>
        <w:tc>
          <w:tcPr>
            <w:tcW w:w="474" w:type="pct"/>
            <w:tcBorders>
              <w:tl2br w:val="nil"/>
              <w:tr2bl w:val="nil"/>
            </w:tcBorders>
            <w:noWrap/>
          </w:tcPr>
          <w:p w14:paraId="34B08652" w14:textId="77777777" w:rsidR="006D1C3F" w:rsidRDefault="00000000">
            <w:pPr>
              <w:pStyle w:val="af"/>
              <w:ind w:firstLine="360"/>
              <w:rPr>
                <w:b w:val="0"/>
                <w:bCs w:val="0"/>
                <w:sz w:val="18"/>
                <w:szCs w:val="18"/>
              </w:rPr>
            </w:pPr>
            <w:r>
              <w:rPr>
                <w:rFonts w:hint="eastAsia"/>
                <w:b w:val="0"/>
                <w:bCs w:val="0"/>
                <w:sz w:val="18"/>
                <w:szCs w:val="18"/>
              </w:rPr>
              <w:t>54.1</w:t>
            </w:r>
          </w:p>
        </w:tc>
        <w:tc>
          <w:tcPr>
            <w:tcW w:w="522" w:type="pct"/>
            <w:tcBorders>
              <w:tl2br w:val="nil"/>
              <w:tr2bl w:val="nil"/>
            </w:tcBorders>
            <w:noWrap/>
          </w:tcPr>
          <w:p w14:paraId="731DBEF8" w14:textId="77777777" w:rsidR="006D1C3F" w:rsidRDefault="00000000">
            <w:pPr>
              <w:pStyle w:val="af"/>
              <w:ind w:firstLine="360"/>
              <w:rPr>
                <w:b w:val="0"/>
                <w:bCs w:val="0"/>
                <w:sz w:val="18"/>
                <w:szCs w:val="18"/>
              </w:rPr>
            </w:pPr>
            <w:r>
              <w:rPr>
                <w:rFonts w:hint="eastAsia"/>
                <w:b w:val="0"/>
                <w:bCs w:val="0"/>
                <w:sz w:val="18"/>
                <w:szCs w:val="18"/>
              </w:rPr>
              <w:t>24.01</w:t>
            </w:r>
          </w:p>
        </w:tc>
        <w:tc>
          <w:tcPr>
            <w:tcW w:w="362" w:type="pct"/>
            <w:tcBorders>
              <w:tl2br w:val="nil"/>
              <w:tr2bl w:val="nil"/>
            </w:tcBorders>
            <w:noWrap/>
          </w:tcPr>
          <w:p w14:paraId="57341F5C" w14:textId="77777777" w:rsidR="006D1C3F" w:rsidRDefault="00000000">
            <w:pPr>
              <w:pStyle w:val="af"/>
              <w:ind w:firstLine="360"/>
              <w:rPr>
                <w:b w:val="0"/>
                <w:bCs w:val="0"/>
                <w:sz w:val="18"/>
                <w:szCs w:val="18"/>
              </w:rPr>
            </w:pPr>
            <w:r>
              <w:rPr>
                <w:rFonts w:hint="eastAsia"/>
                <w:b w:val="0"/>
                <w:bCs w:val="0"/>
                <w:sz w:val="18"/>
                <w:szCs w:val="18"/>
              </w:rPr>
              <w:t>23.5</w:t>
            </w:r>
          </w:p>
        </w:tc>
      </w:tr>
      <w:tr w:rsidR="006D1C3F" w14:paraId="6D227B9E" w14:textId="77777777">
        <w:trPr>
          <w:trHeight w:val="474"/>
        </w:trPr>
        <w:tc>
          <w:tcPr>
            <w:tcW w:w="724" w:type="pct"/>
            <w:gridSpan w:val="2"/>
            <w:tcBorders>
              <w:tl2br w:val="nil"/>
              <w:tr2bl w:val="nil"/>
            </w:tcBorders>
            <w:noWrap/>
            <w:vAlign w:val="center"/>
          </w:tcPr>
          <w:p w14:paraId="0003F921"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Lorlatinib</w:t>
            </w:r>
            <w:proofErr w:type="spellEnd"/>
          </w:p>
        </w:tc>
        <w:tc>
          <w:tcPr>
            <w:tcW w:w="1545" w:type="pct"/>
            <w:tcBorders>
              <w:tl2br w:val="nil"/>
              <w:tr2bl w:val="nil"/>
            </w:tcBorders>
            <w:noWrap/>
          </w:tcPr>
          <w:p w14:paraId="33792927" w14:textId="77777777" w:rsidR="006D1C3F" w:rsidRDefault="00000000">
            <w:pPr>
              <w:pStyle w:val="af"/>
              <w:ind w:firstLine="360"/>
              <w:rPr>
                <w:b w:val="0"/>
                <w:bCs w:val="0"/>
                <w:sz w:val="18"/>
                <w:szCs w:val="18"/>
              </w:rPr>
            </w:pPr>
            <w:r>
              <w:rPr>
                <w:rFonts w:hint="eastAsia"/>
                <w:b w:val="0"/>
                <w:bCs w:val="0"/>
                <w:sz w:val="18"/>
                <w:szCs w:val="18"/>
              </w:rPr>
              <w:t>NCT</w:t>
            </w:r>
            <w:proofErr w:type="gramStart"/>
            <w:r>
              <w:rPr>
                <w:rFonts w:hint="eastAsia"/>
                <w:b w:val="0"/>
                <w:bCs w:val="0"/>
                <w:sz w:val="18"/>
                <w:szCs w:val="18"/>
              </w:rPr>
              <w:t>01970865,NCT</w:t>
            </w:r>
            <w:proofErr w:type="gramEnd"/>
            <w:r>
              <w:rPr>
                <w:rFonts w:hint="eastAsia"/>
                <w:b w:val="0"/>
                <w:bCs w:val="0"/>
                <w:sz w:val="18"/>
                <w:szCs w:val="18"/>
              </w:rPr>
              <w:t>0390997</w:t>
            </w:r>
          </w:p>
        </w:tc>
        <w:tc>
          <w:tcPr>
            <w:tcW w:w="632" w:type="pct"/>
            <w:gridSpan w:val="3"/>
            <w:tcBorders>
              <w:tl2br w:val="nil"/>
              <w:tr2bl w:val="nil"/>
            </w:tcBorders>
            <w:noWrap/>
          </w:tcPr>
          <w:p w14:paraId="4A2C7F8E" w14:textId="77777777" w:rsidR="006D1C3F" w:rsidRDefault="00000000">
            <w:pPr>
              <w:pStyle w:val="af"/>
              <w:ind w:firstLine="360"/>
              <w:rPr>
                <w:b w:val="0"/>
                <w:bCs w:val="0"/>
                <w:sz w:val="18"/>
                <w:szCs w:val="18"/>
              </w:rPr>
            </w:pPr>
            <w:r>
              <w:rPr>
                <w:rFonts w:hint="eastAsia"/>
                <w:b w:val="0"/>
                <w:bCs w:val="0"/>
                <w:sz w:val="18"/>
                <w:szCs w:val="18"/>
              </w:rPr>
              <w:t>126</w:t>
            </w:r>
          </w:p>
        </w:tc>
        <w:tc>
          <w:tcPr>
            <w:tcW w:w="738" w:type="pct"/>
            <w:tcBorders>
              <w:tl2br w:val="nil"/>
              <w:tr2bl w:val="nil"/>
            </w:tcBorders>
            <w:noWrap/>
          </w:tcPr>
          <w:p w14:paraId="28264FB4" w14:textId="77777777" w:rsidR="006D1C3F" w:rsidRDefault="00000000">
            <w:pPr>
              <w:pStyle w:val="af"/>
              <w:ind w:firstLine="360"/>
              <w:rPr>
                <w:b w:val="0"/>
                <w:bCs w:val="0"/>
                <w:sz w:val="18"/>
                <w:szCs w:val="18"/>
              </w:rPr>
            </w:pPr>
            <w:r>
              <w:rPr>
                <w:rFonts w:hint="eastAsia"/>
                <w:b w:val="0"/>
                <w:bCs w:val="0"/>
                <w:sz w:val="18"/>
                <w:szCs w:val="18"/>
              </w:rPr>
              <w:t>NR</w:t>
            </w:r>
          </w:p>
        </w:tc>
        <w:tc>
          <w:tcPr>
            <w:tcW w:w="474" w:type="pct"/>
            <w:tcBorders>
              <w:tl2br w:val="nil"/>
              <w:tr2bl w:val="nil"/>
            </w:tcBorders>
            <w:noWrap/>
          </w:tcPr>
          <w:p w14:paraId="60CC77C4" w14:textId="77777777" w:rsidR="006D1C3F" w:rsidRDefault="00000000">
            <w:pPr>
              <w:pStyle w:val="af"/>
              <w:ind w:firstLine="360"/>
              <w:rPr>
                <w:b w:val="0"/>
                <w:bCs w:val="0"/>
                <w:sz w:val="18"/>
                <w:szCs w:val="18"/>
              </w:rPr>
            </w:pPr>
            <w:r>
              <w:rPr>
                <w:rFonts w:hint="eastAsia"/>
                <w:b w:val="0"/>
                <w:bCs w:val="0"/>
                <w:sz w:val="18"/>
                <w:szCs w:val="18"/>
              </w:rPr>
              <w:t>64.8</w:t>
            </w:r>
          </w:p>
        </w:tc>
        <w:tc>
          <w:tcPr>
            <w:tcW w:w="522" w:type="pct"/>
            <w:tcBorders>
              <w:tl2br w:val="nil"/>
              <w:tr2bl w:val="nil"/>
            </w:tcBorders>
            <w:noWrap/>
          </w:tcPr>
          <w:p w14:paraId="1F1B9011" w14:textId="77777777" w:rsidR="006D1C3F" w:rsidRDefault="00000000">
            <w:pPr>
              <w:pStyle w:val="af"/>
              <w:ind w:firstLine="360"/>
              <w:rPr>
                <w:b w:val="0"/>
                <w:bCs w:val="0"/>
                <w:sz w:val="18"/>
                <w:szCs w:val="18"/>
              </w:rPr>
            </w:pPr>
            <w:r>
              <w:rPr>
                <w:rFonts w:hint="eastAsia"/>
                <w:b w:val="0"/>
                <w:bCs w:val="0"/>
                <w:sz w:val="18"/>
                <w:szCs w:val="18"/>
              </w:rPr>
              <w:t>26.07</w:t>
            </w:r>
          </w:p>
        </w:tc>
        <w:tc>
          <w:tcPr>
            <w:tcW w:w="362" w:type="pct"/>
            <w:tcBorders>
              <w:tl2br w:val="nil"/>
              <w:tr2bl w:val="nil"/>
            </w:tcBorders>
            <w:noWrap/>
          </w:tcPr>
          <w:p w14:paraId="7F72AB4C" w14:textId="77777777" w:rsidR="006D1C3F" w:rsidRDefault="00000000">
            <w:pPr>
              <w:pStyle w:val="af"/>
              <w:ind w:firstLine="360"/>
              <w:rPr>
                <w:b w:val="0"/>
                <w:bCs w:val="0"/>
                <w:sz w:val="18"/>
                <w:szCs w:val="18"/>
              </w:rPr>
            </w:pPr>
            <w:r>
              <w:rPr>
                <w:rFonts w:hint="eastAsia"/>
                <w:b w:val="0"/>
                <w:bCs w:val="0"/>
                <w:sz w:val="18"/>
                <w:szCs w:val="18"/>
              </w:rPr>
              <w:t>0</w:t>
            </w:r>
          </w:p>
        </w:tc>
      </w:tr>
      <w:tr w:rsidR="006D1C3F" w14:paraId="7CBCC9B8" w14:textId="77777777">
        <w:trPr>
          <w:trHeight w:val="474"/>
        </w:trPr>
        <w:tc>
          <w:tcPr>
            <w:tcW w:w="724" w:type="pct"/>
            <w:gridSpan w:val="2"/>
            <w:tcBorders>
              <w:tl2br w:val="nil"/>
              <w:tr2bl w:val="nil"/>
            </w:tcBorders>
            <w:noWrap/>
            <w:vAlign w:val="center"/>
          </w:tcPr>
          <w:p w14:paraId="5EED43B9"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Ceritinib</w:t>
            </w:r>
            <w:proofErr w:type="spellEnd"/>
          </w:p>
        </w:tc>
        <w:tc>
          <w:tcPr>
            <w:tcW w:w="1545" w:type="pct"/>
            <w:tcBorders>
              <w:tl2br w:val="nil"/>
              <w:tr2bl w:val="nil"/>
            </w:tcBorders>
            <w:noWrap/>
          </w:tcPr>
          <w:p w14:paraId="4F4BFCA1" w14:textId="77777777" w:rsidR="006D1C3F" w:rsidRDefault="00000000">
            <w:pPr>
              <w:pStyle w:val="af"/>
              <w:ind w:firstLine="360"/>
              <w:rPr>
                <w:b w:val="0"/>
                <w:bCs w:val="0"/>
                <w:sz w:val="18"/>
                <w:szCs w:val="18"/>
              </w:rPr>
            </w:pPr>
            <w:r>
              <w:rPr>
                <w:rFonts w:hint="eastAsia"/>
                <w:b w:val="0"/>
                <w:bCs w:val="0"/>
                <w:sz w:val="18"/>
                <w:szCs w:val="18"/>
              </w:rPr>
              <w:t xml:space="preserve">ASCEND </w:t>
            </w:r>
            <w:proofErr w:type="gramStart"/>
            <w:r>
              <w:rPr>
                <w:rFonts w:hint="eastAsia"/>
                <w:b w:val="0"/>
                <w:bCs w:val="0"/>
                <w:sz w:val="18"/>
                <w:szCs w:val="18"/>
              </w:rPr>
              <w:t>2,ASCEND</w:t>
            </w:r>
            <w:proofErr w:type="gramEnd"/>
            <w:r>
              <w:rPr>
                <w:rFonts w:hint="eastAsia"/>
                <w:b w:val="0"/>
                <w:bCs w:val="0"/>
                <w:sz w:val="18"/>
                <w:szCs w:val="18"/>
              </w:rPr>
              <w:t xml:space="preserve"> </w:t>
            </w:r>
            <w:proofErr w:type="gramStart"/>
            <w:r>
              <w:rPr>
                <w:rFonts w:hint="eastAsia"/>
                <w:b w:val="0"/>
                <w:bCs w:val="0"/>
                <w:sz w:val="18"/>
                <w:szCs w:val="18"/>
              </w:rPr>
              <w:t>5,ASCEND</w:t>
            </w:r>
            <w:proofErr w:type="gramEnd"/>
            <w:r>
              <w:rPr>
                <w:rFonts w:hint="eastAsia"/>
                <w:b w:val="0"/>
                <w:bCs w:val="0"/>
                <w:sz w:val="18"/>
                <w:szCs w:val="18"/>
              </w:rPr>
              <w:t xml:space="preserve"> 6</w:t>
            </w:r>
          </w:p>
        </w:tc>
        <w:tc>
          <w:tcPr>
            <w:tcW w:w="632" w:type="pct"/>
            <w:gridSpan w:val="3"/>
            <w:tcBorders>
              <w:tl2br w:val="nil"/>
              <w:tr2bl w:val="nil"/>
            </w:tcBorders>
            <w:noWrap/>
          </w:tcPr>
          <w:p w14:paraId="31277FF6" w14:textId="77777777" w:rsidR="006D1C3F" w:rsidRDefault="00000000">
            <w:pPr>
              <w:pStyle w:val="af"/>
              <w:ind w:firstLine="360"/>
              <w:rPr>
                <w:b w:val="0"/>
                <w:bCs w:val="0"/>
                <w:sz w:val="18"/>
                <w:szCs w:val="18"/>
              </w:rPr>
            </w:pPr>
            <w:r>
              <w:rPr>
                <w:rFonts w:hint="eastAsia"/>
                <w:b w:val="0"/>
                <w:bCs w:val="0"/>
                <w:sz w:val="18"/>
                <w:szCs w:val="18"/>
              </w:rPr>
              <w:t>358</w:t>
            </w:r>
          </w:p>
        </w:tc>
        <w:tc>
          <w:tcPr>
            <w:tcW w:w="738" w:type="pct"/>
            <w:tcBorders>
              <w:tl2br w:val="nil"/>
              <w:tr2bl w:val="nil"/>
            </w:tcBorders>
            <w:noWrap/>
          </w:tcPr>
          <w:p w14:paraId="5364C12E" w14:textId="77777777" w:rsidR="006D1C3F" w:rsidRDefault="00000000">
            <w:pPr>
              <w:pStyle w:val="af"/>
              <w:ind w:firstLine="360"/>
              <w:rPr>
                <w:b w:val="0"/>
                <w:bCs w:val="0"/>
                <w:sz w:val="18"/>
                <w:szCs w:val="18"/>
              </w:rPr>
            </w:pPr>
            <w:r>
              <w:rPr>
                <w:rFonts w:hint="eastAsia"/>
                <w:b w:val="0"/>
                <w:bCs w:val="0"/>
                <w:sz w:val="18"/>
                <w:szCs w:val="18"/>
              </w:rPr>
              <w:t>6.68 (4.15-7.83)</w:t>
            </w:r>
          </w:p>
        </w:tc>
        <w:tc>
          <w:tcPr>
            <w:tcW w:w="474" w:type="pct"/>
            <w:tcBorders>
              <w:tl2br w:val="nil"/>
              <w:tr2bl w:val="nil"/>
            </w:tcBorders>
            <w:noWrap/>
          </w:tcPr>
          <w:p w14:paraId="5B53E01F" w14:textId="77777777" w:rsidR="006D1C3F" w:rsidRDefault="00000000">
            <w:pPr>
              <w:pStyle w:val="af"/>
              <w:ind w:firstLine="360"/>
              <w:rPr>
                <w:b w:val="0"/>
                <w:bCs w:val="0"/>
                <w:sz w:val="18"/>
                <w:szCs w:val="18"/>
              </w:rPr>
            </w:pPr>
            <w:r>
              <w:rPr>
                <w:rFonts w:hint="eastAsia"/>
                <w:b w:val="0"/>
                <w:bCs w:val="0"/>
                <w:sz w:val="18"/>
                <w:szCs w:val="18"/>
              </w:rPr>
              <w:t>26</w:t>
            </w:r>
          </w:p>
        </w:tc>
        <w:tc>
          <w:tcPr>
            <w:tcW w:w="522" w:type="pct"/>
            <w:tcBorders>
              <w:tl2br w:val="nil"/>
              <w:tr2bl w:val="nil"/>
            </w:tcBorders>
            <w:noWrap/>
          </w:tcPr>
          <w:p w14:paraId="3BC9DA02" w14:textId="77777777" w:rsidR="006D1C3F" w:rsidRDefault="00000000">
            <w:pPr>
              <w:pStyle w:val="af"/>
              <w:ind w:firstLine="360"/>
              <w:rPr>
                <w:b w:val="0"/>
                <w:bCs w:val="0"/>
                <w:sz w:val="18"/>
                <w:szCs w:val="18"/>
              </w:rPr>
            </w:pPr>
            <w:r>
              <w:rPr>
                <w:rFonts w:hint="eastAsia"/>
                <w:b w:val="0"/>
                <w:bCs w:val="0"/>
                <w:sz w:val="18"/>
                <w:szCs w:val="18"/>
              </w:rPr>
              <w:t>12</w:t>
            </w:r>
          </w:p>
        </w:tc>
        <w:tc>
          <w:tcPr>
            <w:tcW w:w="362" w:type="pct"/>
            <w:tcBorders>
              <w:tl2br w:val="nil"/>
              <w:tr2bl w:val="nil"/>
            </w:tcBorders>
            <w:noWrap/>
          </w:tcPr>
          <w:p w14:paraId="49BD42E9" w14:textId="77777777" w:rsidR="006D1C3F" w:rsidRDefault="00000000">
            <w:pPr>
              <w:pStyle w:val="af"/>
              <w:ind w:firstLine="360"/>
              <w:rPr>
                <w:b w:val="0"/>
                <w:bCs w:val="0"/>
                <w:sz w:val="18"/>
                <w:szCs w:val="18"/>
              </w:rPr>
            </w:pPr>
            <w:r>
              <w:rPr>
                <w:rFonts w:hint="eastAsia"/>
                <w:b w:val="0"/>
                <w:bCs w:val="0"/>
                <w:sz w:val="18"/>
                <w:szCs w:val="18"/>
              </w:rPr>
              <w:t>28.2</w:t>
            </w:r>
          </w:p>
        </w:tc>
      </w:tr>
      <w:tr w:rsidR="006D1C3F" w14:paraId="62472349" w14:textId="77777777">
        <w:trPr>
          <w:trHeight w:val="474"/>
        </w:trPr>
        <w:tc>
          <w:tcPr>
            <w:tcW w:w="724" w:type="pct"/>
            <w:gridSpan w:val="2"/>
            <w:tcBorders>
              <w:tl2br w:val="nil"/>
              <w:tr2bl w:val="nil"/>
            </w:tcBorders>
            <w:noWrap/>
            <w:vAlign w:val="center"/>
          </w:tcPr>
          <w:p w14:paraId="71939951"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Iruplinalkib</w:t>
            </w:r>
            <w:proofErr w:type="spellEnd"/>
          </w:p>
        </w:tc>
        <w:tc>
          <w:tcPr>
            <w:tcW w:w="1545" w:type="pct"/>
            <w:tcBorders>
              <w:tl2br w:val="nil"/>
              <w:tr2bl w:val="nil"/>
            </w:tcBorders>
            <w:noWrap/>
          </w:tcPr>
          <w:p w14:paraId="466DB3D5" w14:textId="77777777" w:rsidR="006D1C3F" w:rsidRDefault="00000000">
            <w:pPr>
              <w:pStyle w:val="af"/>
              <w:ind w:firstLine="360"/>
              <w:rPr>
                <w:b w:val="0"/>
                <w:bCs w:val="0"/>
                <w:sz w:val="18"/>
                <w:szCs w:val="18"/>
              </w:rPr>
            </w:pPr>
            <w:r>
              <w:rPr>
                <w:rFonts w:hint="eastAsia"/>
                <w:b w:val="0"/>
                <w:bCs w:val="0"/>
                <w:sz w:val="18"/>
                <w:szCs w:val="18"/>
              </w:rPr>
              <w:t>INTELLECT</w:t>
            </w:r>
          </w:p>
        </w:tc>
        <w:tc>
          <w:tcPr>
            <w:tcW w:w="632" w:type="pct"/>
            <w:gridSpan w:val="3"/>
            <w:tcBorders>
              <w:tl2br w:val="nil"/>
              <w:tr2bl w:val="nil"/>
            </w:tcBorders>
            <w:noWrap/>
          </w:tcPr>
          <w:p w14:paraId="7998D282" w14:textId="77777777" w:rsidR="006D1C3F" w:rsidRDefault="00000000">
            <w:pPr>
              <w:pStyle w:val="af"/>
              <w:ind w:firstLine="360"/>
              <w:rPr>
                <w:b w:val="0"/>
                <w:bCs w:val="0"/>
                <w:sz w:val="18"/>
                <w:szCs w:val="18"/>
              </w:rPr>
            </w:pPr>
            <w:r>
              <w:rPr>
                <w:rFonts w:hint="eastAsia"/>
                <w:b w:val="0"/>
                <w:bCs w:val="0"/>
                <w:sz w:val="18"/>
                <w:szCs w:val="18"/>
              </w:rPr>
              <w:t>146</w:t>
            </w:r>
          </w:p>
        </w:tc>
        <w:tc>
          <w:tcPr>
            <w:tcW w:w="738" w:type="pct"/>
            <w:tcBorders>
              <w:tl2br w:val="nil"/>
              <w:tr2bl w:val="nil"/>
            </w:tcBorders>
            <w:noWrap/>
          </w:tcPr>
          <w:p w14:paraId="76D0C726" w14:textId="77777777" w:rsidR="006D1C3F" w:rsidRDefault="00000000">
            <w:pPr>
              <w:pStyle w:val="af"/>
              <w:ind w:firstLine="360"/>
              <w:rPr>
                <w:b w:val="0"/>
                <w:bCs w:val="0"/>
                <w:sz w:val="18"/>
                <w:szCs w:val="18"/>
              </w:rPr>
            </w:pPr>
            <w:r>
              <w:rPr>
                <w:rFonts w:hint="eastAsia"/>
                <w:b w:val="0"/>
                <w:bCs w:val="0"/>
                <w:sz w:val="18"/>
                <w:szCs w:val="18"/>
              </w:rPr>
              <w:t>14.5 (11.7-20.0)</w:t>
            </w:r>
          </w:p>
        </w:tc>
        <w:tc>
          <w:tcPr>
            <w:tcW w:w="474" w:type="pct"/>
            <w:tcBorders>
              <w:tl2br w:val="nil"/>
              <w:tr2bl w:val="nil"/>
            </w:tcBorders>
            <w:noWrap/>
          </w:tcPr>
          <w:p w14:paraId="4274FBCF" w14:textId="77777777" w:rsidR="006D1C3F" w:rsidRDefault="00000000">
            <w:pPr>
              <w:pStyle w:val="af"/>
              <w:ind w:firstLine="360"/>
              <w:rPr>
                <w:b w:val="0"/>
                <w:bCs w:val="0"/>
                <w:sz w:val="18"/>
                <w:szCs w:val="18"/>
              </w:rPr>
            </w:pPr>
            <w:r>
              <w:rPr>
                <w:rFonts w:hint="eastAsia"/>
                <w:b w:val="0"/>
                <w:bCs w:val="0"/>
                <w:sz w:val="18"/>
                <w:szCs w:val="18"/>
              </w:rPr>
              <w:t>56.9</w:t>
            </w:r>
          </w:p>
        </w:tc>
        <w:tc>
          <w:tcPr>
            <w:tcW w:w="522" w:type="pct"/>
            <w:tcBorders>
              <w:tl2br w:val="nil"/>
              <w:tr2bl w:val="nil"/>
            </w:tcBorders>
            <w:noWrap/>
          </w:tcPr>
          <w:p w14:paraId="1CED098C" w14:textId="77777777" w:rsidR="006D1C3F" w:rsidRDefault="00000000">
            <w:pPr>
              <w:pStyle w:val="af"/>
              <w:ind w:firstLine="360"/>
              <w:rPr>
                <w:b w:val="0"/>
                <w:bCs w:val="0"/>
                <w:sz w:val="18"/>
                <w:szCs w:val="18"/>
              </w:rPr>
            </w:pPr>
            <w:r>
              <w:rPr>
                <w:rFonts w:hint="eastAsia"/>
                <w:b w:val="0"/>
                <w:bCs w:val="0"/>
                <w:sz w:val="18"/>
                <w:szCs w:val="18"/>
              </w:rPr>
              <w:t>23.66</w:t>
            </w:r>
          </w:p>
        </w:tc>
        <w:tc>
          <w:tcPr>
            <w:tcW w:w="362" w:type="pct"/>
            <w:tcBorders>
              <w:tl2br w:val="nil"/>
              <w:tr2bl w:val="nil"/>
            </w:tcBorders>
            <w:noWrap/>
          </w:tcPr>
          <w:p w14:paraId="4C93EF10" w14:textId="77777777" w:rsidR="006D1C3F" w:rsidRDefault="00000000">
            <w:pPr>
              <w:pStyle w:val="af"/>
              <w:ind w:firstLine="360"/>
              <w:rPr>
                <w:b w:val="0"/>
                <w:bCs w:val="0"/>
                <w:sz w:val="18"/>
                <w:szCs w:val="18"/>
              </w:rPr>
            </w:pPr>
            <w:r>
              <w:rPr>
                <w:rFonts w:hint="eastAsia"/>
                <w:b w:val="0"/>
                <w:bCs w:val="0"/>
                <w:sz w:val="18"/>
                <w:szCs w:val="18"/>
              </w:rPr>
              <w:t>NA</w:t>
            </w:r>
          </w:p>
        </w:tc>
      </w:tr>
      <w:tr w:rsidR="006D1C3F" w14:paraId="0A18AE93" w14:textId="77777777">
        <w:trPr>
          <w:trHeight w:val="474"/>
        </w:trPr>
        <w:tc>
          <w:tcPr>
            <w:tcW w:w="724" w:type="pct"/>
            <w:gridSpan w:val="2"/>
            <w:tcBorders>
              <w:tl2br w:val="nil"/>
              <w:tr2bl w:val="nil"/>
            </w:tcBorders>
            <w:noWrap/>
            <w:vAlign w:val="center"/>
          </w:tcPr>
          <w:p w14:paraId="5E2185A1"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Ensartinib</w:t>
            </w:r>
            <w:proofErr w:type="spellEnd"/>
          </w:p>
        </w:tc>
        <w:tc>
          <w:tcPr>
            <w:tcW w:w="1545" w:type="pct"/>
            <w:tcBorders>
              <w:tl2br w:val="nil"/>
              <w:tr2bl w:val="nil"/>
            </w:tcBorders>
            <w:noWrap/>
          </w:tcPr>
          <w:p w14:paraId="471050B9" w14:textId="77777777" w:rsidR="006D1C3F" w:rsidRDefault="00000000">
            <w:pPr>
              <w:pStyle w:val="af"/>
              <w:ind w:firstLine="360"/>
              <w:rPr>
                <w:b w:val="0"/>
                <w:bCs w:val="0"/>
                <w:sz w:val="18"/>
                <w:szCs w:val="18"/>
              </w:rPr>
            </w:pPr>
            <w:r>
              <w:rPr>
                <w:rFonts w:hint="eastAsia"/>
                <w:b w:val="0"/>
                <w:bCs w:val="0"/>
                <w:sz w:val="18"/>
                <w:szCs w:val="18"/>
              </w:rPr>
              <w:t>NCT03215693</w:t>
            </w:r>
          </w:p>
        </w:tc>
        <w:tc>
          <w:tcPr>
            <w:tcW w:w="632" w:type="pct"/>
            <w:gridSpan w:val="3"/>
            <w:tcBorders>
              <w:tl2br w:val="nil"/>
              <w:tr2bl w:val="nil"/>
            </w:tcBorders>
            <w:noWrap/>
          </w:tcPr>
          <w:p w14:paraId="57F59DE0" w14:textId="77777777" w:rsidR="006D1C3F" w:rsidRDefault="00000000">
            <w:pPr>
              <w:pStyle w:val="af"/>
              <w:ind w:firstLine="360"/>
              <w:rPr>
                <w:b w:val="0"/>
                <w:bCs w:val="0"/>
                <w:sz w:val="18"/>
                <w:szCs w:val="18"/>
              </w:rPr>
            </w:pPr>
            <w:r>
              <w:rPr>
                <w:rFonts w:hint="eastAsia"/>
                <w:b w:val="0"/>
                <w:bCs w:val="0"/>
                <w:sz w:val="18"/>
                <w:szCs w:val="18"/>
              </w:rPr>
              <w:t>156</w:t>
            </w:r>
          </w:p>
        </w:tc>
        <w:tc>
          <w:tcPr>
            <w:tcW w:w="738" w:type="pct"/>
            <w:tcBorders>
              <w:tl2br w:val="nil"/>
              <w:tr2bl w:val="nil"/>
            </w:tcBorders>
            <w:noWrap/>
          </w:tcPr>
          <w:p w14:paraId="04B67DF5" w14:textId="77777777" w:rsidR="006D1C3F" w:rsidRDefault="00000000">
            <w:pPr>
              <w:pStyle w:val="af"/>
              <w:ind w:firstLine="360"/>
              <w:rPr>
                <w:b w:val="0"/>
                <w:bCs w:val="0"/>
                <w:sz w:val="18"/>
                <w:szCs w:val="18"/>
              </w:rPr>
            </w:pPr>
            <w:r>
              <w:rPr>
                <w:rFonts w:hint="eastAsia"/>
                <w:b w:val="0"/>
                <w:bCs w:val="0"/>
                <w:sz w:val="18"/>
                <w:szCs w:val="18"/>
              </w:rPr>
              <w:t>9.6 (7.4-11.6)</w:t>
            </w:r>
          </w:p>
        </w:tc>
        <w:tc>
          <w:tcPr>
            <w:tcW w:w="474" w:type="pct"/>
            <w:tcBorders>
              <w:tl2br w:val="nil"/>
              <w:tr2bl w:val="nil"/>
            </w:tcBorders>
            <w:noWrap/>
          </w:tcPr>
          <w:p w14:paraId="680AE2D6" w14:textId="77777777" w:rsidR="006D1C3F" w:rsidRDefault="00000000">
            <w:pPr>
              <w:pStyle w:val="af"/>
              <w:ind w:firstLine="360"/>
              <w:rPr>
                <w:b w:val="0"/>
                <w:bCs w:val="0"/>
                <w:sz w:val="18"/>
                <w:szCs w:val="18"/>
              </w:rPr>
            </w:pPr>
            <w:r>
              <w:rPr>
                <w:rFonts w:hint="eastAsia"/>
                <w:b w:val="0"/>
                <w:bCs w:val="0"/>
                <w:sz w:val="18"/>
                <w:szCs w:val="18"/>
              </w:rPr>
              <w:t>38.4</w:t>
            </w:r>
          </w:p>
        </w:tc>
        <w:tc>
          <w:tcPr>
            <w:tcW w:w="522" w:type="pct"/>
            <w:tcBorders>
              <w:tl2br w:val="nil"/>
              <w:tr2bl w:val="nil"/>
            </w:tcBorders>
            <w:noWrap/>
          </w:tcPr>
          <w:p w14:paraId="04AD2CD9" w14:textId="77777777" w:rsidR="006D1C3F" w:rsidRDefault="00000000">
            <w:pPr>
              <w:pStyle w:val="af"/>
              <w:ind w:firstLine="360"/>
              <w:rPr>
                <w:b w:val="0"/>
                <w:bCs w:val="0"/>
                <w:sz w:val="18"/>
                <w:szCs w:val="18"/>
              </w:rPr>
            </w:pPr>
            <w:r>
              <w:rPr>
                <w:rFonts w:hint="eastAsia"/>
                <w:b w:val="0"/>
                <w:bCs w:val="0"/>
                <w:sz w:val="18"/>
                <w:szCs w:val="18"/>
              </w:rPr>
              <w:t>19.97</w:t>
            </w:r>
          </w:p>
        </w:tc>
        <w:tc>
          <w:tcPr>
            <w:tcW w:w="362" w:type="pct"/>
            <w:tcBorders>
              <w:tl2br w:val="nil"/>
              <w:tr2bl w:val="nil"/>
            </w:tcBorders>
            <w:noWrap/>
          </w:tcPr>
          <w:p w14:paraId="029E330A" w14:textId="77777777" w:rsidR="006D1C3F" w:rsidRDefault="00000000">
            <w:pPr>
              <w:pStyle w:val="af"/>
              <w:ind w:firstLine="360"/>
              <w:rPr>
                <w:b w:val="0"/>
                <w:bCs w:val="0"/>
                <w:sz w:val="18"/>
                <w:szCs w:val="18"/>
              </w:rPr>
            </w:pPr>
            <w:r>
              <w:rPr>
                <w:rFonts w:hint="eastAsia"/>
                <w:b w:val="0"/>
                <w:bCs w:val="0"/>
                <w:sz w:val="18"/>
                <w:szCs w:val="18"/>
              </w:rPr>
              <w:t>NA</w:t>
            </w:r>
          </w:p>
        </w:tc>
      </w:tr>
      <w:tr w:rsidR="006D1C3F" w14:paraId="62E5A12E" w14:textId="77777777">
        <w:trPr>
          <w:trHeight w:val="474"/>
        </w:trPr>
        <w:tc>
          <w:tcPr>
            <w:tcW w:w="724" w:type="pct"/>
            <w:gridSpan w:val="2"/>
            <w:tcBorders>
              <w:tl2br w:val="nil"/>
              <w:tr2bl w:val="nil"/>
            </w:tcBorders>
            <w:noWrap/>
            <w:vAlign w:val="center"/>
          </w:tcPr>
          <w:p w14:paraId="6FEDE9C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Chemotherapy</w:t>
            </w:r>
          </w:p>
        </w:tc>
        <w:tc>
          <w:tcPr>
            <w:tcW w:w="1545" w:type="pct"/>
            <w:tcBorders>
              <w:tl2br w:val="nil"/>
              <w:tr2bl w:val="nil"/>
            </w:tcBorders>
            <w:noWrap/>
          </w:tcPr>
          <w:p w14:paraId="152DBCB1" w14:textId="77777777" w:rsidR="006D1C3F" w:rsidRDefault="00000000">
            <w:pPr>
              <w:pStyle w:val="af"/>
              <w:ind w:firstLine="360"/>
              <w:rPr>
                <w:b w:val="0"/>
                <w:bCs w:val="0"/>
                <w:sz w:val="18"/>
                <w:szCs w:val="18"/>
              </w:rPr>
            </w:pPr>
            <w:proofErr w:type="gramStart"/>
            <w:r>
              <w:rPr>
                <w:rFonts w:hint="eastAsia"/>
                <w:b w:val="0"/>
                <w:bCs w:val="0"/>
                <w:sz w:val="18"/>
                <w:szCs w:val="18"/>
              </w:rPr>
              <w:t>ALUR,ASCEND</w:t>
            </w:r>
            <w:proofErr w:type="gramEnd"/>
            <w:r>
              <w:rPr>
                <w:rFonts w:hint="eastAsia"/>
                <w:b w:val="0"/>
                <w:bCs w:val="0"/>
                <w:sz w:val="18"/>
                <w:szCs w:val="18"/>
              </w:rPr>
              <w:t xml:space="preserve"> 5</w:t>
            </w:r>
          </w:p>
        </w:tc>
        <w:tc>
          <w:tcPr>
            <w:tcW w:w="632" w:type="pct"/>
            <w:gridSpan w:val="3"/>
            <w:tcBorders>
              <w:tl2br w:val="nil"/>
              <w:tr2bl w:val="nil"/>
            </w:tcBorders>
            <w:noWrap/>
          </w:tcPr>
          <w:p w14:paraId="16AC9B5C" w14:textId="77777777" w:rsidR="006D1C3F" w:rsidRDefault="00000000">
            <w:pPr>
              <w:pStyle w:val="af"/>
              <w:ind w:firstLine="360"/>
              <w:rPr>
                <w:b w:val="0"/>
                <w:bCs w:val="0"/>
                <w:sz w:val="18"/>
                <w:szCs w:val="18"/>
              </w:rPr>
            </w:pPr>
            <w:r>
              <w:rPr>
                <w:rFonts w:hint="eastAsia"/>
                <w:b w:val="0"/>
                <w:bCs w:val="0"/>
                <w:sz w:val="18"/>
                <w:szCs w:val="18"/>
              </w:rPr>
              <w:t>151</w:t>
            </w:r>
          </w:p>
        </w:tc>
        <w:tc>
          <w:tcPr>
            <w:tcW w:w="738" w:type="pct"/>
            <w:tcBorders>
              <w:tl2br w:val="nil"/>
              <w:tr2bl w:val="nil"/>
            </w:tcBorders>
            <w:noWrap/>
          </w:tcPr>
          <w:p w14:paraId="76D0CFB7" w14:textId="77777777" w:rsidR="006D1C3F" w:rsidRDefault="00000000">
            <w:pPr>
              <w:pStyle w:val="af"/>
              <w:ind w:firstLine="360"/>
              <w:rPr>
                <w:b w:val="0"/>
                <w:bCs w:val="0"/>
                <w:sz w:val="18"/>
                <w:szCs w:val="18"/>
              </w:rPr>
            </w:pPr>
            <w:r>
              <w:rPr>
                <w:rFonts w:hint="eastAsia"/>
                <w:b w:val="0"/>
                <w:bCs w:val="0"/>
                <w:sz w:val="18"/>
                <w:szCs w:val="18"/>
              </w:rPr>
              <w:t>1.4 (1.2-1.6)</w:t>
            </w:r>
          </w:p>
        </w:tc>
        <w:tc>
          <w:tcPr>
            <w:tcW w:w="474" w:type="pct"/>
            <w:tcBorders>
              <w:tl2br w:val="nil"/>
              <w:tr2bl w:val="nil"/>
            </w:tcBorders>
            <w:noWrap/>
          </w:tcPr>
          <w:p w14:paraId="43BDA1A2" w14:textId="77777777" w:rsidR="006D1C3F" w:rsidRDefault="00000000">
            <w:pPr>
              <w:pStyle w:val="af"/>
              <w:ind w:firstLine="360"/>
              <w:rPr>
                <w:b w:val="0"/>
                <w:bCs w:val="0"/>
                <w:sz w:val="18"/>
                <w:szCs w:val="18"/>
              </w:rPr>
            </w:pPr>
            <w:r>
              <w:rPr>
                <w:rFonts w:hint="eastAsia"/>
                <w:b w:val="0"/>
                <w:bCs w:val="0"/>
                <w:sz w:val="18"/>
                <w:szCs w:val="18"/>
              </w:rPr>
              <w:t>5.7</w:t>
            </w:r>
          </w:p>
        </w:tc>
        <w:tc>
          <w:tcPr>
            <w:tcW w:w="522" w:type="pct"/>
            <w:tcBorders>
              <w:tl2br w:val="nil"/>
              <w:tr2bl w:val="nil"/>
            </w:tcBorders>
            <w:noWrap/>
          </w:tcPr>
          <w:p w14:paraId="5CEE8AF5" w14:textId="77777777" w:rsidR="006D1C3F" w:rsidRDefault="00000000">
            <w:pPr>
              <w:pStyle w:val="af"/>
              <w:ind w:firstLineChars="400" w:firstLine="720"/>
              <w:jc w:val="left"/>
              <w:rPr>
                <w:b w:val="0"/>
                <w:bCs w:val="0"/>
                <w:sz w:val="18"/>
                <w:szCs w:val="18"/>
              </w:rPr>
            </w:pPr>
            <w:r>
              <w:rPr>
                <w:rFonts w:hint="eastAsia"/>
                <w:b w:val="0"/>
                <w:bCs w:val="0"/>
                <w:sz w:val="18"/>
                <w:szCs w:val="18"/>
              </w:rPr>
              <w:t>4.88</w:t>
            </w:r>
          </w:p>
        </w:tc>
        <w:tc>
          <w:tcPr>
            <w:tcW w:w="362" w:type="pct"/>
            <w:tcBorders>
              <w:tl2br w:val="nil"/>
              <w:tr2bl w:val="nil"/>
            </w:tcBorders>
            <w:noWrap/>
          </w:tcPr>
          <w:p w14:paraId="4655C14E" w14:textId="77777777" w:rsidR="006D1C3F" w:rsidRDefault="00000000">
            <w:pPr>
              <w:pStyle w:val="af"/>
              <w:ind w:firstLine="360"/>
              <w:rPr>
                <w:b w:val="0"/>
                <w:bCs w:val="0"/>
                <w:sz w:val="18"/>
                <w:szCs w:val="18"/>
              </w:rPr>
            </w:pPr>
            <w:r>
              <w:rPr>
                <w:rFonts w:hint="eastAsia"/>
                <w:b w:val="0"/>
                <w:bCs w:val="0"/>
                <w:sz w:val="18"/>
                <w:szCs w:val="18"/>
              </w:rPr>
              <w:t>0</w:t>
            </w:r>
          </w:p>
        </w:tc>
      </w:tr>
      <w:tr w:rsidR="006D1C3F" w14:paraId="2E22F0F4" w14:textId="77777777">
        <w:trPr>
          <w:trHeight w:val="474"/>
        </w:trPr>
        <w:tc>
          <w:tcPr>
            <w:tcW w:w="5000" w:type="pct"/>
            <w:gridSpan w:val="10"/>
            <w:tcBorders>
              <w:tl2br w:val="nil"/>
              <w:tr2bl w:val="nil"/>
            </w:tcBorders>
            <w:noWrap/>
            <w:vAlign w:val="center"/>
          </w:tcPr>
          <w:p w14:paraId="1E65455E" w14:textId="77777777" w:rsidR="006D1C3F" w:rsidRDefault="00000000">
            <w:pPr>
              <w:pStyle w:val="af"/>
              <w:ind w:firstLine="361"/>
              <w:rPr>
                <w:b w:val="0"/>
                <w:bCs w:val="0"/>
                <w:color w:val="0000FF"/>
                <w:sz w:val="18"/>
                <w:szCs w:val="18"/>
              </w:rPr>
            </w:pPr>
            <w:r>
              <w:rPr>
                <w:rFonts w:hint="eastAsia"/>
                <w:sz w:val="18"/>
                <w:szCs w:val="18"/>
              </w:rPr>
              <w:t>Second-line (chemotherapy resistance)</w:t>
            </w:r>
          </w:p>
        </w:tc>
      </w:tr>
      <w:tr w:rsidR="006D1C3F" w14:paraId="4D002DCF" w14:textId="77777777">
        <w:tblPrEx>
          <w:jc w:val="center"/>
        </w:tblPrEx>
        <w:trPr>
          <w:trHeight w:val="474"/>
          <w:jc w:val="center"/>
        </w:trPr>
        <w:tc>
          <w:tcPr>
            <w:tcW w:w="724" w:type="pct"/>
            <w:gridSpan w:val="2"/>
            <w:tcBorders>
              <w:tl2br w:val="nil"/>
              <w:tr2bl w:val="nil"/>
            </w:tcBorders>
            <w:vAlign w:val="center"/>
          </w:tcPr>
          <w:p w14:paraId="0D829743"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Alectinib</w:t>
            </w:r>
            <w:proofErr w:type="spellEnd"/>
          </w:p>
        </w:tc>
        <w:tc>
          <w:tcPr>
            <w:tcW w:w="1545" w:type="pct"/>
            <w:tcBorders>
              <w:tl2br w:val="nil"/>
              <w:tr2bl w:val="nil"/>
            </w:tcBorders>
            <w:vAlign w:val="center"/>
          </w:tcPr>
          <w:p w14:paraId="65F197EA" w14:textId="77777777" w:rsidR="006D1C3F" w:rsidRDefault="00000000">
            <w:pPr>
              <w:ind w:firstLine="360"/>
              <w:jc w:val="center"/>
              <w:rPr>
                <w:rFonts w:cstheme="minorBidi"/>
                <w:b w:val="0"/>
                <w:bCs w:val="0"/>
                <w:sz w:val="18"/>
                <w:szCs w:val="18"/>
              </w:rPr>
            </w:pPr>
            <w:r>
              <w:rPr>
                <w:rFonts w:cstheme="minorBidi" w:hint="eastAsia"/>
                <w:b w:val="0"/>
                <w:bCs w:val="0"/>
                <w:sz w:val="18"/>
                <w:szCs w:val="18"/>
              </w:rPr>
              <w:t>AF-001JP</w:t>
            </w:r>
          </w:p>
        </w:tc>
        <w:tc>
          <w:tcPr>
            <w:tcW w:w="632" w:type="pct"/>
            <w:gridSpan w:val="3"/>
            <w:tcBorders>
              <w:tl2br w:val="nil"/>
              <w:tr2bl w:val="nil"/>
            </w:tcBorders>
            <w:vAlign w:val="center"/>
          </w:tcPr>
          <w:p w14:paraId="005DDD27" w14:textId="77777777" w:rsidR="006D1C3F" w:rsidRDefault="00000000">
            <w:pPr>
              <w:pStyle w:val="af"/>
              <w:ind w:firstLine="360"/>
              <w:rPr>
                <w:b w:val="0"/>
                <w:bCs w:val="0"/>
                <w:sz w:val="18"/>
                <w:szCs w:val="18"/>
              </w:rPr>
            </w:pPr>
            <w:r>
              <w:rPr>
                <w:rFonts w:hint="eastAsia"/>
                <w:b w:val="0"/>
                <w:bCs w:val="0"/>
                <w:sz w:val="18"/>
                <w:szCs w:val="18"/>
              </w:rPr>
              <w:t>46</w:t>
            </w:r>
          </w:p>
        </w:tc>
        <w:tc>
          <w:tcPr>
            <w:tcW w:w="738" w:type="pct"/>
            <w:tcBorders>
              <w:tl2br w:val="nil"/>
              <w:tr2bl w:val="nil"/>
            </w:tcBorders>
            <w:vAlign w:val="center"/>
          </w:tcPr>
          <w:p w14:paraId="2BF9DF49" w14:textId="77777777" w:rsidR="006D1C3F" w:rsidRDefault="00000000">
            <w:pPr>
              <w:pStyle w:val="af"/>
              <w:ind w:firstLine="360"/>
              <w:rPr>
                <w:b w:val="0"/>
                <w:bCs w:val="0"/>
                <w:sz w:val="18"/>
                <w:szCs w:val="18"/>
              </w:rPr>
            </w:pPr>
            <w:r>
              <w:rPr>
                <w:rFonts w:hint="eastAsia"/>
                <w:b w:val="0"/>
                <w:bCs w:val="0"/>
                <w:sz w:val="18"/>
                <w:szCs w:val="18"/>
              </w:rPr>
              <w:t>NR (33.1-NR)</w:t>
            </w:r>
          </w:p>
        </w:tc>
        <w:tc>
          <w:tcPr>
            <w:tcW w:w="474" w:type="pct"/>
            <w:tcBorders>
              <w:tl2br w:val="nil"/>
              <w:tr2bl w:val="nil"/>
            </w:tcBorders>
            <w:vAlign w:val="center"/>
          </w:tcPr>
          <w:p w14:paraId="2BF7BD41" w14:textId="77777777" w:rsidR="006D1C3F" w:rsidRDefault="00000000">
            <w:pPr>
              <w:pStyle w:val="af"/>
              <w:ind w:firstLine="360"/>
              <w:rPr>
                <w:b w:val="0"/>
                <w:bCs w:val="0"/>
                <w:sz w:val="18"/>
                <w:szCs w:val="18"/>
              </w:rPr>
            </w:pPr>
            <w:r>
              <w:rPr>
                <w:rFonts w:hint="eastAsia"/>
                <w:b w:val="0"/>
                <w:bCs w:val="0"/>
                <w:sz w:val="18"/>
                <w:szCs w:val="18"/>
              </w:rPr>
              <w:t>83.6</w:t>
            </w:r>
          </w:p>
        </w:tc>
        <w:tc>
          <w:tcPr>
            <w:tcW w:w="522" w:type="pct"/>
            <w:tcBorders>
              <w:tl2br w:val="nil"/>
              <w:tr2bl w:val="nil"/>
            </w:tcBorders>
            <w:vAlign w:val="center"/>
          </w:tcPr>
          <w:p w14:paraId="5A241E49" w14:textId="77777777" w:rsidR="006D1C3F" w:rsidRDefault="00000000">
            <w:pPr>
              <w:pStyle w:val="af"/>
              <w:ind w:firstLine="360"/>
              <w:rPr>
                <w:b w:val="0"/>
                <w:bCs w:val="0"/>
                <w:sz w:val="18"/>
                <w:szCs w:val="18"/>
              </w:rPr>
            </w:pPr>
            <w:r>
              <w:rPr>
                <w:rFonts w:hint="eastAsia"/>
                <w:b w:val="0"/>
                <w:bCs w:val="0"/>
                <w:sz w:val="18"/>
                <w:szCs w:val="18"/>
              </w:rPr>
              <w:t>64.21</w:t>
            </w:r>
          </w:p>
        </w:tc>
        <w:tc>
          <w:tcPr>
            <w:tcW w:w="362" w:type="pct"/>
            <w:tcBorders>
              <w:tl2br w:val="nil"/>
              <w:tr2bl w:val="nil"/>
            </w:tcBorders>
            <w:vAlign w:val="center"/>
          </w:tcPr>
          <w:p w14:paraId="36AAAEC9" w14:textId="77777777" w:rsidR="006D1C3F" w:rsidRDefault="00000000">
            <w:pPr>
              <w:pStyle w:val="af"/>
              <w:ind w:firstLine="360"/>
              <w:rPr>
                <w:b w:val="0"/>
                <w:bCs w:val="0"/>
                <w:sz w:val="18"/>
                <w:szCs w:val="18"/>
              </w:rPr>
            </w:pPr>
            <w:r>
              <w:rPr>
                <w:rFonts w:hint="eastAsia"/>
                <w:b w:val="0"/>
                <w:bCs w:val="0"/>
                <w:sz w:val="18"/>
                <w:szCs w:val="18"/>
              </w:rPr>
              <w:t>NA</w:t>
            </w:r>
          </w:p>
        </w:tc>
      </w:tr>
      <w:tr w:rsidR="006D1C3F" w14:paraId="1C194B9E" w14:textId="77777777">
        <w:tblPrEx>
          <w:jc w:val="center"/>
        </w:tblPrEx>
        <w:trPr>
          <w:trHeight w:val="474"/>
          <w:jc w:val="center"/>
        </w:trPr>
        <w:tc>
          <w:tcPr>
            <w:tcW w:w="724" w:type="pct"/>
            <w:gridSpan w:val="2"/>
            <w:tcBorders>
              <w:tl2br w:val="nil"/>
              <w:tr2bl w:val="nil"/>
            </w:tcBorders>
            <w:vAlign w:val="center"/>
          </w:tcPr>
          <w:p w14:paraId="1AEA4168" w14:textId="77777777" w:rsidR="006D1C3F" w:rsidRDefault="00000000">
            <w:pPr>
              <w:ind w:firstLine="360"/>
              <w:jc w:val="center"/>
              <w:rPr>
                <w:rFonts w:cstheme="minorBidi"/>
                <w:b w:val="0"/>
                <w:bCs w:val="0"/>
                <w:sz w:val="18"/>
                <w:szCs w:val="18"/>
              </w:rPr>
            </w:pPr>
            <w:proofErr w:type="spellStart"/>
            <w:r>
              <w:rPr>
                <w:rFonts w:cstheme="minorBidi" w:hint="eastAsia"/>
                <w:b w:val="0"/>
                <w:bCs w:val="0"/>
                <w:sz w:val="18"/>
                <w:szCs w:val="18"/>
              </w:rPr>
              <w:t>Ceritinib</w:t>
            </w:r>
            <w:proofErr w:type="spellEnd"/>
          </w:p>
        </w:tc>
        <w:tc>
          <w:tcPr>
            <w:tcW w:w="1599" w:type="pct"/>
            <w:gridSpan w:val="2"/>
            <w:tcBorders>
              <w:tl2br w:val="nil"/>
              <w:tr2bl w:val="nil"/>
            </w:tcBorders>
            <w:vAlign w:val="center"/>
          </w:tcPr>
          <w:p w14:paraId="27DBF924" w14:textId="77777777" w:rsidR="006D1C3F" w:rsidRDefault="00000000">
            <w:pPr>
              <w:ind w:firstLineChars="900" w:firstLine="1620"/>
              <w:rPr>
                <w:rFonts w:cstheme="minorBidi"/>
                <w:b w:val="0"/>
                <w:bCs w:val="0"/>
                <w:sz w:val="18"/>
                <w:szCs w:val="18"/>
              </w:rPr>
            </w:pPr>
            <w:r>
              <w:rPr>
                <w:rFonts w:cstheme="minorBidi" w:hint="eastAsia"/>
                <w:b w:val="0"/>
                <w:bCs w:val="0"/>
                <w:sz w:val="18"/>
                <w:szCs w:val="18"/>
              </w:rPr>
              <w:t>ASCEND 3</w:t>
            </w:r>
          </w:p>
        </w:tc>
        <w:tc>
          <w:tcPr>
            <w:tcW w:w="578" w:type="pct"/>
            <w:gridSpan w:val="2"/>
            <w:tcBorders>
              <w:tl2br w:val="nil"/>
              <w:tr2bl w:val="nil"/>
            </w:tcBorders>
            <w:vAlign w:val="center"/>
          </w:tcPr>
          <w:p w14:paraId="3CF1A30F" w14:textId="77777777" w:rsidR="006D1C3F" w:rsidRDefault="00000000">
            <w:pPr>
              <w:pStyle w:val="af"/>
              <w:ind w:firstLineChars="400" w:firstLine="720"/>
              <w:jc w:val="both"/>
              <w:rPr>
                <w:b w:val="0"/>
                <w:bCs w:val="0"/>
                <w:sz w:val="18"/>
                <w:szCs w:val="18"/>
              </w:rPr>
            </w:pPr>
            <w:r>
              <w:rPr>
                <w:rFonts w:hint="eastAsia"/>
                <w:b w:val="0"/>
                <w:bCs w:val="0"/>
                <w:sz w:val="18"/>
                <w:szCs w:val="18"/>
              </w:rPr>
              <w:t>124</w:t>
            </w:r>
          </w:p>
        </w:tc>
        <w:tc>
          <w:tcPr>
            <w:tcW w:w="738" w:type="pct"/>
            <w:tcBorders>
              <w:tl2br w:val="nil"/>
              <w:tr2bl w:val="nil"/>
            </w:tcBorders>
            <w:vAlign w:val="center"/>
          </w:tcPr>
          <w:p w14:paraId="1D094D25" w14:textId="77777777" w:rsidR="006D1C3F" w:rsidRDefault="00000000">
            <w:pPr>
              <w:pStyle w:val="af"/>
              <w:ind w:firstLine="360"/>
              <w:rPr>
                <w:b w:val="0"/>
                <w:bCs w:val="0"/>
                <w:sz w:val="18"/>
                <w:szCs w:val="18"/>
              </w:rPr>
            </w:pPr>
            <w:r>
              <w:rPr>
                <w:rFonts w:hint="eastAsia"/>
                <w:b w:val="0"/>
                <w:bCs w:val="0"/>
                <w:sz w:val="18"/>
                <w:szCs w:val="18"/>
              </w:rPr>
              <w:t>16.6 (11.0-23.2)</w:t>
            </w:r>
          </w:p>
        </w:tc>
        <w:tc>
          <w:tcPr>
            <w:tcW w:w="474" w:type="pct"/>
            <w:tcBorders>
              <w:tl2br w:val="nil"/>
              <w:tr2bl w:val="nil"/>
            </w:tcBorders>
            <w:vAlign w:val="center"/>
          </w:tcPr>
          <w:p w14:paraId="08E13DFD" w14:textId="77777777" w:rsidR="006D1C3F" w:rsidRDefault="00000000">
            <w:pPr>
              <w:pStyle w:val="af"/>
              <w:ind w:firstLine="360"/>
              <w:rPr>
                <w:b w:val="0"/>
                <w:bCs w:val="0"/>
                <w:sz w:val="18"/>
                <w:szCs w:val="18"/>
              </w:rPr>
            </w:pPr>
            <w:r>
              <w:rPr>
                <w:rFonts w:hint="eastAsia"/>
                <w:b w:val="0"/>
                <w:bCs w:val="0"/>
                <w:sz w:val="18"/>
                <w:szCs w:val="18"/>
              </w:rPr>
              <w:t>62.2</w:t>
            </w:r>
          </w:p>
        </w:tc>
        <w:tc>
          <w:tcPr>
            <w:tcW w:w="522" w:type="pct"/>
            <w:tcBorders>
              <w:tl2br w:val="nil"/>
              <w:tr2bl w:val="nil"/>
            </w:tcBorders>
            <w:vAlign w:val="center"/>
          </w:tcPr>
          <w:p w14:paraId="4413D991" w14:textId="77777777" w:rsidR="006D1C3F" w:rsidRDefault="00000000">
            <w:pPr>
              <w:pStyle w:val="af"/>
              <w:ind w:firstLine="360"/>
              <w:rPr>
                <w:b w:val="0"/>
                <w:bCs w:val="0"/>
                <w:sz w:val="18"/>
                <w:szCs w:val="18"/>
              </w:rPr>
            </w:pPr>
            <w:r>
              <w:rPr>
                <w:rFonts w:hint="eastAsia"/>
                <w:b w:val="0"/>
                <w:bCs w:val="0"/>
                <w:sz w:val="18"/>
                <w:szCs w:val="18"/>
              </w:rPr>
              <w:t>43.39</w:t>
            </w:r>
          </w:p>
        </w:tc>
        <w:tc>
          <w:tcPr>
            <w:tcW w:w="362" w:type="pct"/>
            <w:tcBorders>
              <w:tl2br w:val="nil"/>
              <w:tr2bl w:val="nil"/>
            </w:tcBorders>
            <w:vAlign w:val="center"/>
          </w:tcPr>
          <w:p w14:paraId="488E7487" w14:textId="77777777" w:rsidR="006D1C3F" w:rsidRDefault="00000000">
            <w:pPr>
              <w:pStyle w:val="af"/>
              <w:ind w:firstLine="360"/>
              <w:rPr>
                <w:b w:val="0"/>
                <w:bCs w:val="0"/>
                <w:sz w:val="18"/>
                <w:szCs w:val="18"/>
              </w:rPr>
            </w:pPr>
            <w:r>
              <w:rPr>
                <w:rFonts w:hint="eastAsia"/>
                <w:b w:val="0"/>
                <w:bCs w:val="0"/>
                <w:sz w:val="18"/>
                <w:szCs w:val="18"/>
              </w:rPr>
              <w:t>NA</w:t>
            </w:r>
          </w:p>
        </w:tc>
      </w:tr>
      <w:tr w:rsidR="006D1C3F" w14:paraId="5130A403" w14:textId="77777777">
        <w:trPr>
          <w:trHeight w:val="474"/>
        </w:trPr>
        <w:tc>
          <w:tcPr>
            <w:tcW w:w="724" w:type="pct"/>
            <w:gridSpan w:val="2"/>
            <w:tcBorders>
              <w:tl2br w:val="nil"/>
              <w:tr2bl w:val="nil"/>
            </w:tcBorders>
            <w:noWrap/>
            <w:vAlign w:val="center"/>
          </w:tcPr>
          <w:p w14:paraId="1176A772"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Crizotinib</w:t>
            </w:r>
          </w:p>
        </w:tc>
        <w:tc>
          <w:tcPr>
            <w:tcW w:w="1599" w:type="pct"/>
            <w:gridSpan w:val="2"/>
            <w:tcBorders>
              <w:tl2br w:val="nil"/>
              <w:tr2bl w:val="nil"/>
            </w:tcBorders>
            <w:noWrap/>
            <w:vAlign w:val="center"/>
          </w:tcPr>
          <w:p w14:paraId="100278FD" w14:textId="77777777" w:rsidR="006D1C3F" w:rsidRDefault="00000000">
            <w:pPr>
              <w:ind w:firstLine="360"/>
              <w:jc w:val="center"/>
              <w:rPr>
                <w:rFonts w:cstheme="minorBidi"/>
                <w:b w:val="0"/>
                <w:bCs w:val="0"/>
                <w:sz w:val="18"/>
                <w:szCs w:val="18"/>
              </w:rPr>
            </w:pPr>
            <w:r>
              <w:rPr>
                <w:rFonts w:cstheme="minorBidi" w:hint="eastAsia"/>
                <w:b w:val="0"/>
                <w:bCs w:val="0"/>
                <w:sz w:val="18"/>
                <w:szCs w:val="18"/>
              </w:rPr>
              <w:t>PROFILE 1007</w:t>
            </w:r>
          </w:p>
        </w:tc>
        <w:tc>
          <w:tcPr>
            <w:tcW w:w="578" w:type="pct"/>
            <w:gridSpan w:val="2"/>
            <w:tcBorders>
              <w:tl2br w:val="nil"/>
              <w:tr2bl w:val="nil"/>
            </w:tcBorders>
            <w:noWrap/>
            <w:vAlign w:val="center"/>
          </w:tcPr>
          <w:p w14:paraId="49E83AB5" w14:textId="77777777" w:rsidR="006D1C3F" w:rsidRDefault="00000000">
            <w:pPr>
              <w:ind w:firstLineChars="400" w:firstLine="720"/>
              <w:rPr>
                <w:rFonts w:cstheme="minorBidi"/>
                <w:b w:val="0"/>
                <w:bCs w:val="0"/>
                <w:sz w:val="18"/>
                <w:szCs w:val="18"/>
              </w:rPr>
            </w:pPr>
            <w:r>
              <w:rPr>
                <w:rFonts w:cstheme="minorBidi" w:hint="eastAsia"/>
                <w:b w:val="0"/>
                <w:bCs w:val="0"/>
                <w:sz w:val="18"/>
                <w:szCs w:val="18"/>
              </w:rPr>
              <w:t>173</w:t>
            </w:r>
          </w:p>
        </w:tc>
        <w:tc>
          <w:tcPr>
            <w:tcW w:w="738" w:type="pct"/>
            <w:tcBorders>
              <w:tl2br w:val="nil"/>
              <w:tr2bl w:val="nil"/>
            </w:tcBorders>
            <w:noWrap/>
            <w:vAlign w:val="center"/>
          </w:tcPr>
          <w:p w14:paraId="6D20FF74"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7.7</w:t>
            </w:r>
          </w:p>
        </w:tc>
        <w:tc>
          <w:tcPr>
            <w:tcW w:w="474" w:type="pct"/>
            <w:tcBorders>
              <w:tl2br w:val="nil"/>
              <w:tr2bl w:val="nil"/>
            </w:tcBorders>
            <w:noWrap/>
            <w:vAlign w:val="center"/>
          </w:tcPr>
          <w:p w14:paraId="25F4ECD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31.5</w:t>
            </w:r>
          </w:p>
        </w:tc>
        <w:tc>
          <w:tcPr>
            <w:tcW w:w="522" w:type="pct"/>
            <w:tcBorders>
              <w:tl2br w:val="nil"/>
              <w:tr2bl w:val="nil"/>
            </w:tcBorders>
            <w:noWrap/>
            <w:vAlign w:val="center"/>
          </w:tcPr>
          <w:p w14:paraId="402EDCE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10.54</w:t>
            </w:r>
          </w:p>
        </w:tc>
        <w:tc>
          <w:tcPr>
            <w:tcW w:w="362" w:type="pct"/>
            <w:tcBorders>
              <w:tl2br w:val="nil"/>
              <w:tr2bl w:val="nil"/>
            </w:tcBorders>
            <w:noWrap/>
            <w:vAlign w:val="center"/>
          </w:tcPr>
          <w:p w14:paraId="60DE74B8"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w:t>
            </w:r>
          </w:p>
        </w:tc>
      </w:tr>
      <w:tr w:rsidR="006D1C3F" w14:paraId="6CF164B6" w14:textId="77777777">
        <w:trPr>
          <w:trHeight w:val="504"/>
        </w:trPr>
        <w:tc>
          <w:tcPr>
            <w:tcW w:w="724" w:type="pct"/>
            <w:gridSpan w:val="2"/>
            <w:tcBorders>
              <w:tl2br w:val="nil"/>
              <w:tr2bl w:val="nil"/>
            </w:tcBorders>
            <w:noWrap/>
            <w:vAlign w:val="center"/>
          </w:tcPr>
          <w:p w14:paraId="5210F9E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Chemotherapy</w:t>
            </w:r>
          </w:p>
        </w:tc>
        <w:tc>
          <w:tcPr>
            <w:tcW w:w="1599" w:type="pct"/>
            <w:gridSpan w:val="2"/>
            <w:tcBorders>
              <w:tl2br w:val="nil"/>
              <w:tr2bl w:val="nil"/>
            </w:tcBorders>
            <w:noWrap/>
            <w:vAlign w:val="center"/>
          </w:tcPr>
          <w:p w14:paraId="704F1111" w14:textId="77777777" w:rsidR="006D1C3F" w:rsidRDefault="00000000">
            <w:pPr>
              <w:ind w:firstLine="360"/>
              <w:jc w:val="center"/>
              <w:rPr>
                <w:rFonts w:cstheme="minorBidi"/>
                <w:b w:val="0"/>
                <w:bCs w:val="0"/>
                <w:sz w:val="18"/>
                <w:szCs w:val="18"/>
              </w:rPr>
            </w:pPr>
            <w:r>
              <w:rPr>
                <w:rFonts w:cstheme="minorBidi" w:hint="eastAsia"/>
                <w:b w:val="0"/>
                <w:bCs w:val="0"/>
                <w:sz w:val="18"/>
                <w:szCs w:val="18"/>
              </w:rPr>
              <w:t>PROFILE 1007</w:t>
            </w:r>
          </w:p>
        </w:tc>
        <w:tc>
          <w:tcPr>
            <w:tcW w:w="578" w:type="pct"/>
            <w:gridSpan w:val="2"/>
            <w:tcBorders>
              <w:tl2br w:val="nil"/>
              <w:tr2bl w:val="nil"/>
            </w:tcBorders>
            <w:noWrap/>
            <w:vAlign w:val="center"/>
          </w:tcPr>
          <w:p w14:paraId="244E9B55" w14:textId="77777777" w:rsidR="006D1C3F" w:rsidRDefault="00000000">
            <w:pPr>
              <w:ind w:firstLineChars="400" w:firstLine="720"/>
              <w:rPr>
                <w:rFonts w:cstheme="minorBidi"/>
                <w:b w:val="0"/>
                <w:bCs w:val="0"/>
                <w:sz w:val="18"/>
                <w:szCs w:val="18"/>
              </w:rPr>
            </w:pPr>
            <w:r>
              <w:rPr>
                <w:rFonts w:cstheme="minorBidi" w:hint="eastAsia"/>
                <w:b w:val="0"/>
                <w:bCs w:val="0"/>
                <w:sz w:val="18"/>
                <w:szCs w:val="18"/>
              </w:rPr>
              <w:t>174</w:t>
            </w:r>
          </w:p>
        </w:tc>
        <w:tc>
          <w:tcPr>
            <w:tcW w:w="738" w:type="pct"/>
            <w:tcBorders>
              <w:tl2br w:val="nil"/>
              <w:tr2bl w:val="nil"/>
            </w:tcBorders>
            <w:noWrap/>
            <w:vAlign w:val="center"/>
          </w:tcPr>
          <w:p w14:paraId="76A9E3EB" w14:textId="77777777" w:rsidR="006D1C3F" w:rsidRDefault="00000000">
            <w:pPr>
              <w:ind w:firstLine="360"/>
              <w:jc w:val="center"/>
              <w:rPr>
                <w:rFonts w:cstheme="minorBidi"/>
                <w:b w:val="0"/>
                <w:bCs w:val="0"/>
                <w:sz w:val="18"/>
                <w:szCs w:val="18"/>
              </w:rPr>
            </w:pPr>
            <w:r>
              <w:rPr>
                <w:rFonts w:cstheme="minorBidi" w:hint="eastAsia"/>
                <w:b w:val="0"/>
                <w:bCs w:val="0"/>
                <w:sz w:val="18"/>
                <w:szCs w:val="18"/>
              </w:rPr>
              <w:t>3</w:t>
            </w:r>
          </w:p>
        </w:tc>
        <w:tc>
          <w:tcPr>
            <w:tcW w:w="474" w:type="pct"/>
            <w:tcBorders>
              <w:tl2br w:val="nil"/>
              <w:tr2bl w:val="nil"/>
            </w:tcBorders>
            <w:noWrap/>
            <w:vAlign w:val="center"/>
          </w:tcPr>
          <w:p w14:paraId="6E99989E" w14:textId="77777777" w:rsidR="006D1C3F" w:rsidRDefault="00000000">
            <w:pPr>
              <w:ind w:firstLine="360"/>
              <w:jc w:val="center"/>
              <w:rPr>
                <w:rFonts w:cstheme="minorBidi"/>
                <w:b w:val="0"/>
                <w:bCs w:val="0"/>
                <w:sz w:val="18"/>
                <w:szCs w:val="18"/>
              </w:rPr>
            </w:pPr>
            <w:r>
              <w:rPr>
                <w:rFonts w:cstheme="minorBidi" w:hint="eastAsia"/>
                <w:b w:val="0"/>
                <w:bCs w:val="0"/>
                <w:sz w:val="18"/>
                <w:szCs w:val="18"/>
              </w:rPr>
              <w:t>12.1</w:t>
            </w:r>
          </w:p>
        </w:tc>
        <w:tc>
          <w:tcPr>
            <w:tcW w:w="522" w:type="pct"/>
            <w:tcBorders>
              <w:tl2br w:val="nil"/>
              <w:tr2bl w:val="nil"/>
            </w:tcBorders>
            <w:noWrap/>
            <w:vAlign w:val="center"/>
          </w:tcPr>
          <w:p w14:paraId="1580D51F" w14:textId="77777777" w:rsidR="006D1C3F" w:rsidRDefault="00000000">
            <w:pPr>
              <w:ind w:firstLine="360"/>
              <w:jc w:val="center"/>
              <w:rPr>
                <w:rFonts w:cstheme="minorBidi"/>
                <w:b w:val="0"/>
                <w:bCs w:val="0"/>
                <w:sz w:val="18"/>
                <w:szCs w:val="18"/>
              </w:rPr>
            </w:pPr>
            <w:r>
              <w:rPr>
                <w:rFonts w:cstheme="minorBidi" w:hint="eastAsia"/>
                <w:b w:val="0"/>
                <w:bCs w:val="0"/>
                <w:sz w:val="18"/>
                <w:szCs w:val="18"/>
              </w:rPr>
              <w:t>7.98</w:t>
            </w:r>
          </w:p>
        </w:tc>
        <w:tc>
          <w:tcPr>
            <w:tcW w:w="362" w:type="pct"/>
            <w:tcBorders>
              <w:tl2br w:val="nil"/>
              <w:tr2bl w:val="nil"/>
            </w:tcBorders>
            <w:noWrap/>
            <w:vAlign w:val="center"/>
          </w:tcPr>
          <w:p w14:paraId="0A7CB326" w14:textId="77777777" w:rsidR="006D1C3F" w:rsidRDefault="00000000">
            <w:pPr>
              <w:ind w:firstLine="360"/>
              <w:jc w:val="center"/>
              <w:rPr>
                <w:rFonts w:cstheme="minorBidi"/>
                <w:b w:val="0"/>
                <w:bCs w:val="0"/>
                <w:sz w:val="18"/>
                <w:szCs w:val="18"/>
              </w:rPr>
            </w:pPr>
            <w:r>
              <w:rPr>
                <w:rFonts w:cstheme="minorBidi" w:hint="eastAsia"/>
                <w:b w:val="0"/>
                <w:bCs w:val="0"/>
                <w:sz w:val="18"/>
                <w:szCs w:val="18"/>
              </w:rPr>
              <w:t>0</w:t>
            </w:r>
          </w:p>
        </w:tc>
      </w:tr>
      <w:tr w:rsidR="006D1C3F" w14:paraId="4C43F286" w14:textId="77777777">
        <w:trPr>
          <w:trHeight w:val="474"/>
        </w:trPr>
        <w:tc>
          <w:tcPr>
            <w:tcW w:w="5000" w:type="pct"/>
            <w:gridSpan w:val="10"/>
            <w:tcBorders>
              <w:tl2br w:val="nil"/>
              <w:tr2bl w:val="nil"/>
            </w:tcBorders>
            <w:noWrap/>
            <w:vAlign w:val="center"/>
          </w:tcPr>
          <w:p w14:paraId="03B184E5" w14:textId="77777777" w:rsidR="006D1C3F" w:rsidRDefault="00000000">
            <w:pPr>
              <w:ind w:firstLine="361"/>
              <w:jc w:val="center"/>
              <w:rPr>
                <w:rFonts w:cstheme="minorBidi"/>
                <w:b w:val="0"/>
                <w:bCs w:val="0"/>
                <w:color w:val="0000FF"/>
                <w:sz w:val="18"/>
                <w:szCs w:val="18"/>
              </w:rPr>
            </w:pPr>
            <w:r>
              <w:rPr>
                <w:rFonts w:cstheme="minorBidi" w:hint="eastAsia"/>
                <w:sz w:val="18"/>
                <w:szCs w:val="18"/>
              </w:rPr>
              <w:t>Second-line (</w:t>
            </w:r>
            <w:proofErr w:type="spellStart"/>
            <w:r>
              <w:rPr>
                <w:rFonts w:cstheme="minorBidi" w:hint="eastAsia"/>
                <w:sz w:val="18"/>
                <w:szCs w:val="18"/>
              </w:rPr>
              <w:t>Alectinib</w:t>
            </w:r>
            <w:proofErr w:type="spellEnd"/>
            <w:r>
              <w:rPr>
                <w:rFonts w:cstheme="minorBidi" w:hint="eastAsia"/>
                <w:sz w:val="18"/>
                <w:szCs w:val="18"/>
              </w:rPr>
              <w:t xml:space="preserve"> resistance)</w:t>
            </w:r>
          </w:p>
        </w:tc>
      </w:tr>
      <w:tr w:rsidR="006D1C3F" w14:paraId="268D8349" w14:textId="77777777">
        <w:trPr>
          <w:trHeight w:val="474"/>
        </w:trPr>
        <w:tc>
          <w:tcPr>
            <w:tcW w:w="634" w:type="pct"/>
            <w:tcBorders>
              <w:tl2br w:val="nil"/>
              <w:tr2bl w:val="nil"/>
            </w:tcBorders>
            <w:noWrap/>
          </w:tcPr>
          <w:p w14:paraId="65BBD465" w14:textId="77777777" w:rsidR="006D1C3F" w:rsidRDefault="00000000">
            <w:pPr>
              <w:ind w:firstLine="360"/>
              <w:jc w:val="center"/>
              <w:rPr>
                <w:rFonts w:cstheme="minorBidi"/>
                <w:sz w:val="18"/>
                <w:szCs w:val="18"/>
              </w:rPr>
            </w:pPr>
            <w:proofErr w:type="spellStart"/>
            <w:r>
              <w:rPr>
                <w:rFonts w:cstheme="minorBidi" w:hint="eastAsia"/>
                <w:b w:val="0"/>
                <w:bCs w:val="0"/>
                <w:sz w:val="18"/>
                <w:szCs w:val="18"/>
              </w:rPr>
              <w:t>Brigatinib</w:t>
            </w:r>
            <w:proofErr w:type="spellEnd"/>
          </w:p>
        </w:tc>
        <w:tc>
          <w:tcPr>
            <w:tcW w:w="1689" w:type="pct"/>
            <w:gridSpan w:val="3"/>
            <w:tcBorders>
              <w:tl2br w:val="nil"/>
              <w:tr2bl w:val="nil"/>
            </w:tcBorders>
            <w:noWrap/>
          </w:tcPr>
          <w:p w14:paraId="71D01F19" w14:textId="77777777" w:rsidR="006D1C3F" w:rsidRDefault="00000000">
            <w:pPr>
              <w:pStyle w:val="af"/>
              <w:ind w:firstLine="360"/>
              <w:rPr>
                <w:rFonts w:cstheme="minorBidi"/>
                <w:b w:val="0"/>
                <w:bCs w:val="0"/>
                <w:sz w:val="18"/>
                <w:szCs w:val="18"/>
              </w:rPr>
            </w:pPr>
            <w:r>
              <w:rPr>
                <w:rFonts w:hint="eastAsia"/>
                <w:b w:val="0"/>
                <w:bCs w:val="0"/>
                <w:sz w:val="18"/>
                <w:szCs w:val="18"/>
              </w:rPr>
              <w:t>J-ALTA</w:t>
            </w:r>
          </w:p>
        </w:tc>
        <w:tc>
          <w:tcPr>
            <w:tcW w:w="578" w:type="pct"/>
            <w:gridSpan w:val="2"/>
            <w:tcBorders>
              <w:tl2br w:val="nil"/>
              <w:tr2bl w:val="nil"/>
            </w:tcBorders>
            <w:noWrap/>
            <w:vAlign w:val="center"/>
          </w:tcPr>
          <w:p w14:paraId="5845FE50" w14:textId="77777777" w:rsidR="006D1C3F" w:rsidRDefault="00000000">
            <w:pPr>
              <w:pStyle w:val="af"/>
              <w:ind w:firstLine="360"/>
              <w:rPr>
                <w:rFonts w:cstheme="minorBidi"/>
                <w:b w:val="0"/>
                <w:bCs w:val="0"/>
                <w:sz w:val="18"/>
                <w:szCs w:val="18"/>
              </w:rPr>
            </w:pPr>
            <w:r>
              <w:rPr>
                <w:rFonts w:hint="eastAsia"/>
                <w:b w:val="0"/>
                <w:bCs w:val="0"/>
                <w:sz w:val="18"/>
                <w:szCs w:val="18"/>
              </w:rPr>
              <w:t>47</w:t>
            </w:r>
          </w:p>
        </w:tc>
        <w:tc>
          <w:tcPr>
            <w:tcW w:w="738" w:type="pct"/>
            <w:tcBorders>
              <w:tl2br w:val="nil"/>
              <w:tr2bl w:val="nil"/>
            </w:tcBorders>
            <w:noWrap/>
            <w:vAlign w:val="center"/>
          </w:tcPr>
          <w:p w14:paraId="103A2333" w14:textId="77777777" w:rsidR="006D1C3F" w:rsidRDefault="00000000">
            <w:pPr>
              <w:pStyle w:val="af"/>
              <w:ind w:firstLine="360"/>
              <w:rPr>
                <w:rFonts w:cstheme="minorBidi"/>
                <w:b w:val="0"/>
                <w:bCs w:val="0"/>
                <w:sz w:val="18"/>
                <w:szCs w:val="18"/>
              </w:rPr>
            </w:pPr>
            <w:r>
              <w:rPr>
                <w:rFonts w:hint="eastAsia"/>
                <w:b w:val="0"/>
                <w:bCs w:val="0"/>
                <w:sz w:val="18"/>
                <w:szCs w:val="18"/>
              </w:rPr>
              <w:t>7.3 (3.7-9.3)</w:t>
            </w:r>
          </w:p>
        </w:tc>
        <w:tc>
          <w:tcPr>
            <w:tcW w:w="474" w:type="pct"/>
            <w:tcBorders>
              <w:tl2br w:val="nil"/>
              <w:tr2bl w:val="nil"/>
            </w:tcBorders>
            <w:noWrap/>
            <w:vAlign w:val="center"/>
          </w:tcPr>
          <w:p w14:paraId="216510BB" w14:textId="77777777" w:rsidR="006D1C3F" w:rsidRDefault="00000000">
            <w:pPr>
              <w:pStyle w:val="af"/>
              <w:ind w:firstLine="360"/>
              <w:rPr>
                <w:rFonts w:cstheme="minorBidi"/>
                <w:b w:val="0"/>
                <w:bCs w:val="0"/>
                <w:sz w:val="18"/>
                <w:szCs w:val="18"/>
              </w:rPr>
            </w:pPr>
            <w:r>
              <w:rPr>
                <w:rFonts w:hint="eastAsia"/>
                <w:b w:val="0"/>
                <w:bCs w:val="0"/>
                <w:sz w:val="18"/>
                <w:szCs w:val="18"/>
              </w:rPr>
              <w:t>32.9</w:t>
            </w:r>
          </w:p>
        </w:tc>
        <w:tc>
          <w:tcPr>
            <w:tcW w:w="522" w:type="pct"/>
            <w:tcBorders>
              <w:tl2br w:val="nil"/>
              <w:tr2bl w:val="nil"/>
            </w:tcBorders>
            <w:noWrap/>
            <w:vAlign w:val="center"/>
          </w:tcPr>
          <w:p w14:paraId="3D3F8810" w14:textId="77777777" w:rsidR="006D1C3F" w:rsidRDefault="00000000">
            <w:pPr>
              <w:pStyle w:val="af"/>
              <w:ind w:firstLine="360"/>
              <w:rPr>
                <w:rFonts w:cstheme="minorBidi"/>
                <w:b w:val="0"/>
                <w:bCs w:val="0"/>
                <w:sz w:val="18"/>
                <w:szCs w:val="18"/>
              </w:rPr>
            </w:pPr>
            <w:r>
              <w:rPr>
                <w:rFonts w:cstheme="minorBidi" w:hint="eastAsia"/>
                <w:b w:val="0"/>
                <w:bCs w:val="0"/>
                <w:sz w:val="18"/>
                <w:szCs w:val="18"/>
              </w:rPr>
              <w:t>17.63</w:t>
            </w:r>
          </w:p>
        </w:tc>
        <w:tc>
          <w:tcPr>
            <w:tcW w:w="362" w:type="pct"/>
            <w:tcBorders>
              <w:tl2br w:val="nil"/>
              <w:tr2bl w:val="nil"/>
            </w:tcBorders>
            <w:noWrap/>
            <w:vAlign w:val="center"/>
          </w:tcPr>
          <w:p w14:paraId="49539525" w14:textId="77777777" w:rsidR="006D1C3F" w:rsidRDefault="00000000">
            <w:pPr>
              <w:pStyle w:val="af"/>
              <w:ind w:firstLine="360"/>
              <w:rPr>
                <w:rFonts w:cstheme="minorBidi"/>
                <w:b w:val="0"/>
                <w:bCs w:val="0"/>
                <w:sz w:val="18"/>
                <w:szCs w:val="18"/>
              </w:rPr>
            </w:pPr>
            <w:r>
              <w:rPr>
                <w:rFonts w:hint="eastAsia"/>
                <w:b w:val="0"/>
                <w:bCs w:val="0"/>
                <w:sz w:val="18"/>
                <w:szCs w:val="18"/>
              </w:rPr>
              <w:t>NA</w:t>
            </w:r>
          </w:p>
        </w:tc>
      </w:tr>
      <w:tr w:rsidR="006D1C3F" w14:paraId="2EDD0FCB" w14:textId="77777777">
        <w:trPr>
          <w:trHeight w:val="474"/>
        </w:trPr>
        <w:tc>
          <w:tcPr>
            <w:tcW w:w="634" w:type="pct"/>
            <w:tcBorders>
              <w:tl2br w:val="nil"/>
              <w:tr2bl w:val="nil"/>
            </w:tcBorders>
            <w:noWrap/>
            <w:vAlign w:val="center"/>
          </w:tcPr>
          <w:p w14:paraId="1DF24F01" w14:textId="77777777" w:rsidR="006D1C3F" w:rsidRDefault="00000000">
            <w:pPr>
              <w:ind w:firstLineChars="300" w:firstLine="540"/>
              <w:rPr>
                <w:rFonts w:cstheme="minorBidi"/>
                <w:b w:val="0"/>
                <w:bCs w:val="0"/>
                <w:sz w:val="18"/>
                <w:szCs w:val="18"/>
              </w:rPr>
            </w:pPr>
            <w:proofErr w:type="spellStart"/>
            <w:r>
              <w:rPr>
                <w:rFonts w:cstheme="minorBidi" w:hint="eastAsia"/>
                <w:b w:val="0"/>
                <w:bCs w:val="0"/>
                <w:sz w:val="18"/>
                <w:szCs w:val="18"/>
              </w:rPr>
              <w:t>Lorlatinib</w:t>
            </w:r>
            <w:proofErr w:type="spellEnd"/>
          </w:p>
        </w:tc>
        <w:tc>
          <w:tcPr>
            <w:tcW w:w="1689" w:type="pct"/>
            <w:gridSpan w:val="3"/>
            <w:tcBorders>
              <w:tl2br w:val="nil"/>
              <w:tr2bl w:val="nil"/>
            </w:tcBorders>
            <w:noWrap/>
            <w:vAlign w:val="center"/>
          </w:tcPr>
          <w:p w14:paraId="73CD97C7" w14:textId="77777777" w:rsidR="006D1C3F" w:rsidRDefault="00000000">
            <w:pPr>
              <w:pStyle w:val="af"/>
              <w:ind w:firstLine="360"/>
              <w:rPr>
                <w:rFonts w:cstheme="minorBidi"/>
                <w:b w:val="0"/>
                <w:bCs w:val="0"/>
                <w:sz w:val="18"/>
                <w:szCs w:val="18"/>
              </w:rPr>
            </w:pPr>
            <w:r>
              <w:rPr>
                <w:rFonts w:hint="eastAsia"/>
                <w:b w:val="0"/>
                <w:bCs w:val="0"/>
                <w:sz w:val="18"/>
                <w:szCs w:val="18"/>
              </w:rPr>
              <w:t>NCT</w:t>
            </w:r>
            <w:proofErr w:type="gramStart"/>
            <w:r>
              <w:rPr>
                <w:rFonts w:hint="eastAsia"/>
                <w:b w:val="0"/>
                <w:bCs w:val="0"/>
                <w:sz w:val="18"/>
                <w:szCs w:val="18"/>
              </w:rPr>
              <w:t>01970865,NCT</w:t>
            </w:r>
            <w:proofErr w:type="gramEnd"/>
            <w:r>
              <w:rPr>
                <w:rFonts w:hint="eastAsia"/>
                <w:b w:val="0"/>
                <w:bCs w:val="0"/>
                <w:sz w:val="18"/>
                <w:szCs w:val="18"/>
              </w:rPr>
              <w:t>0390997</w:t>
            </w:r>
          </w:p>
        </w:tc>
        <w:tc>
          <w:tcPr>
            <w:tcW w:w="578" w:type="pct"/>
            <w:gridSpan w:val="2"/>
            <w:tcBorders>
              <w:tl2br w:val="nil"/>
              <w:tr2bl w:val="nil"/>
            </w:tcBorders>
            <w:noWrap/>
            <w:vAlign w:val="center"/>
          </w:tcPr>
          <w:p w14:paraId="314492E6" w14:textId="77777777" w:rsidR="006D1C3F" w:rsidRDefault="00000000">
            <w:pPr>
              <w:pStyle w:val="af"/>
              <w:ind w:firstLine="360"/>
              <w:rPr>
                <w:rFonts w:cstheme="minorBidi"/>
                <w:b w:val="0"/>
                <w:bCs w:val="0"/>
                <w:sz w:val="18"/>
                <w:szCs w:val="18"/>
              </w:rPr>
            </w:pPr>
            <w:r>
              <w:rPr>
                <w:rFonts w:hint="eastAsia"/>
                <w:b w:val="0"/>
                <w:bCs w:val="0"/>
                <w:sz w:val="18"/>
                <w:szCs w:val="18"/>
              </w:rPr>
              <w:t>71</w:t>
            </w:r>
          </w:p>
        </w:tc>
        <w:tc>
          <w:tcPr>
            <w:tcW w:w="738" w:type="pct"/>
            <w:tcBorders>
              <w:tl2br w:val="nil"/>
              <w:tr2bl w:val="nil"/>
            </w:tcBorders>
            <w:noWrap/>
            <w:vAlign w:val="center"/>
          </w:tcPr>
          <w:p w14:paraId="2EC440B8" w14:textId="77777777" w:rsidR="006D1C3F" w:rsidRDefault="00000000">
            <w:pPr>
              <w:pStyle w:val="af"/>
              <w:ind w:firstLine="360"/>
              <w:rPr>
                <w:rFonts w:cstheme="minorBidi"/>
                <w:b w:val="0"/>
                <w:bCs w:val="0"/>
                <w:sz w:val="18"/>
                <w:szCs w:val="18"/>
              </w:rPr>
            </w:pPr>
            <w:r>
              <w:rPr>
                <w:rFonts w:hint="eastAsia"/>
                <w:b w:val="0"/>
                <w:bCs w:val="0"/>
                <w:sz w:val="18"/>
                <w:szCs w:val="18"/>
              </w:rPr>
              <w:t>5.93 (2.93-7.91)</w:t>
            </w:r>
          </w:p>
        </w:tc>
        <w:tc>
          <w:tcPr>
            <w:tcW w:w="474" w:type="pct"/>
            <w:tcBorders>
              <w:tl2br w:val="nil"/>
              <w:tr2bl w:val="nil"/>
            </w:tcBorders>
            <w:noWrap/>
            <w:vAlign w:val="center"/>
          </w:tcPr>
          <w:p w14:paraId="39F3B167" w14:textId="77777777" w:rsidR="006D1C3F" w:rsidRDefault="00000000">
            <w:pPr>
              <w:pStyle w:val="af"/>
              <w:ind w:firstLine="360"/>
              <w:rPr>
                <w:rFonts w:cstheme="minorBidi"/>
                <w:b w:val="0"/>
                <w:bCs w:val="0"/>
                <w:sz w:val="18"/>
                <w:szCs w:val="18"/>
              </w:rPr>
            </w:pPr>
            <w:r>
              <w:rPr>
                <w:rFonts w:hint="eastAsia"/>
                <w:b w:val="0"/>
                <w:bCs w:val="0"/>
                <w:sz w:val="18"/>
                <w:szCs w:val="18"/>
              </w:rPr>
              <w:t>31.9</w:t>
            </w:r>
          </w:p>
        </w:tc>
        <w:tc>
          <w:tcPr>
            <w:tcW w:w="522" w:type="pct"/>
            <w:tcBorders>
              <w:tl2br w:val="nil"/>
              <w:tr2bl w:val="nil"/>
            </w:tcBorders>
            <w:noWrap/>
            <w:vAlign w:val="center"/>
          </w:tcPr>
          <w:p w14:paraId="54E99F19" w14:textId="77777777" w:rsidR="006D1C3F" w:rsidRDefault="00000000">
            <w:pPr>
              <w:pStyle w:val="af"/>
              <w:ind w:firstLine="360"/>
              <w:rPr>
                <w:rFonts w:cstheme="minorBidi"/>
                <w:b w:val="0"/>
                <w:bCs w:val="0"/>
                <w:sz w:val="18"/>
                <w:szCs w:val="18"/>
              </w:rPr>
            </w:pPr>
            <w:r>
              <w:rPr>
                <w:rFonts w:cstheme="minorBidi" w:hint="eastAsia"/>
                <w:b w:val="0"/>
                <w:bCs w:val="0"/>
                <w:sz w:val="18"/>
                <w:szCs w:val="18"/>
              </w:rPr>
              <w:t>10.79</w:t>
            </w:r>
          </w:p>
        </w:tc>
        <w:tc>
          <w:tcPr>
            <w:tcW w:w="362" w:type="pct"/>
            <w:tcBorders>
              <w:tl2br w:val="nil"/>
              <w:tr2bl w:val="nil"/>
            </w:tcBorders>
            <w:noWrap/>
            <w:vAlign w:val="center"/>
          </w:tcPr>
          <w:p w14:paraId="21896464" w14:textId="77777777" w:rsidR="006D1C3F" w:rsidRDefault="00000000">
            <w:pPr>
              <w:pStyle w:val="af"/>
              <w:ind w:firstLine="360"/>
              <w:rPr>
                <w:rFonts w:cstheme="minorBidi"/>
                <w:b w:val="0"/>
                <w:bCs w:val="0"/>
                <w:sz w:val="18"/>
                <w:szCs w:val="18"/>
              </w:rPr>
            </w:pPr>
            <w:r>
              <w:rPr>
                <w:rFonts w:hint="eastAsia"/>
                <w:b w:val="0"/>
                <w:bCs w:val="0"/>
                <w:sz w:val="18"/>
                <w:szCs w:val="18"/>
              </w:rPr>
              <w:t>0</w:t>
            </w:r>
          </w:p>
        </w:tc>
      </w:tr>
      <w:tr w:rsidR="006D1C3F" w14:paraId="2953DB8A" w14:textId="77777777">
        <w:trPr>
          <w:trHeight w:val="504"/>
        </w:trPr>
        <w:tc>
          <w:tcPr>
            <w:tcW w:w="634" w:type="pct"/>
            <w:tcBorders>
              <w:tl2br w:val="nil"/>
              <w:tr2bl w:val="nil"/>
            </w:tcBorders>
            <w:noWrap/>
            <w:vAlign w:val="center"/>
          </w:tcPr>
          <w:p w14:paraId="71B3B2D0" w14:textId="77777777" w:rsidR="006D1C3F" w:rsidRDefault="00000000">
            <w:pPr>
              <w:ind w:firstLineChars="300" w:firstLine="540"/>
              <w:rPr>
                <w:rFonts w:cstheme="minorBidi"/>
                <w:b w:val="0"/>
                <w:bCs w:val="0"/>
                <w:sz w:val="18"/>
                <w:szCs w:val="18"/>
              </w:rPr>
            </w:pPr>
            <w:proofErr w:type="spellStart"/>
            <w:r>
              <w:rPr>
                <w:rFonts w:cstheme="minorBidi" w:hint="eastAsia"/>
                <w:b w:val="0"/>
                <w:bCs w:val="0"/>
                <w:sz w:val="18"/>
                <w:szCs w:val="18"/>
              </w:rPr>
              <w:lastRenderedPageBreak/>
              <w:t>Ceritinib</w:t>
            </w:r>
            <w:proofErr w:type="spellEnd"/>
          </w:p>
        </w:tc>
        <w:tc>
          <w:tcPr>
            <w:tcW w:w="1689" w:type="pct"/>
            <w:gridSpan w:val="3"/>
            <w:tcBorders>
              <w:tl2br w:val="nil"/>
              <w:tr2bl w:val="nil"/>
            </w:tcBorders>
            <w:noWrap/>
            <w:vAlign w:val="center"/>
          </w:tcPr>
          <w:p w14:paraId="15DFCE20" w14:textId="77777777" w:rsidR="006D1C3F" w:rsidRDefault="00000000">
            <w:pPr>
              <w:pStyle w:val="af"/>
              <w:ind w:firstLine="360"/>
              <w:rPr>
                <w:rFonts w:cstheme="minorBidi"/>
                <w:b w:val="0"/>
                <w:bCs w:val="0"/>
                <w:sz w:val="18"/>
                <w:szCs w:val="18"/>
              </w:rPr>
            </w:pPr>
            <w:r>
              <w:rPr>
                <w:rFonts w:hint="eastAsia"/>
                <w:b w:val="0"/>
                <w:bCs w:val="0"/>
                <w:sz w:val="18"/>
                <w:szCs w:val="18"/>
              </w:rPr>
              <w:t>ASCEND 9</w:t>
            </w:r>
          </w:p>
        </w:tc>
        <w:tc>
          <w:tcPr>
            <w:tcW w:w="578" w:type="pct"/>
            <w:gridSpan w:val="2"/>
            <w:tcBorders>
              <w:tl2br w:val="nil"/>
              <w:tr2bl w:val="nil"/>
            </w:tcBorders>
            <w:noWrap/>
            <w:vAlign w:val="center"/>
          </w:tcPr>
          <w:p w14:paraId="45F35F24" w14:textId="77777777" w:rsidR="006D1C3F" w:rsidRDefault="00000000">
            <w:pPr>
              <w:pStyle w:val="af"/>
              <w:ind w:firstLine="360"/>
              <w:rPr>
                <w:rFonts w:cstheme="minorBidi"/>
                <w:b w:val="0"/>
                <w:bCs w:val="0"/>
                <w:sz w:val="18"/>
                <w:szCs w:val="18"/>
              </w:rPr>
            </w:pPr>
            <w:r>
              <w:rPr>
                <w:rFonts w:hint="eastAsia"/>
                <w:b w:val="0"/>
                <w:bCs w:val="0"/>
                <w:sz w:val="18"/>
                <w:szCs w:val="18"/>
              </w:rPr>
              <w:t>20</w:t>
            </w:r>
          </w:p>
        </w:tc>
        <w:tc>
          <w:tcPr>
            <w:tcW w:w="738" w:type="pct"/>
            <w:tcBorders>
              <w:tl2br w:val="nil"/>
              <w:tr2bl w:val="nil"/>
            </w:tcBorders>
            <w:noWrap/>
            <w:vAlign w:val="center"/>
          </w:tcPr>
          <w:p w14:paraId="2495C6CA" w14:textId="77777777" w:rsidR="006D1C3F" w:rsidRDefault="00000000">
            <w:pPr>
              <w:pStyle w:val="af"/>
              <w:ind w:firstLine="360"/>
              <w:rPr>
                <w:rFonts w:cstheme="minorBidi"/>
                <w:b w:val="0"/>
                <w:bCs w:val="0"/>
                <w:sz w:val="18"/>
                <w:szCs w:val="18"/>
              </w:rPr>
            </w:pPr>
            <w:r>
              <w:rPr>
                <w:rFonts w:hint="eastAsia"/>
                <w:b w:val="0"/>
                <w:bCs w:val="0"/>
                <w:sz w:val="18"/>
                <w:szCs w:val="18"/>
              </w:rPr>
              <w:t>3.7 (1.9</w:t>
            </w:r>
            <w:r>
              <w:rPr>
                <w:rFonts w:hint="eastAsia"/>
                <w:b w:val="0"/>
                <w:bCs w:val="0"/>
                <w:sz w:val="18"/>
                <w:szCs w:val="18"/>
              </w:rPr>
              <w:t>–</w:t>
            </w:r>
            <w:r>
              <w:rPr>
                <w:rFonts w:hint="eastAsia"/>
                <w:b w:val="0"/>
                <w:bCs w:val="0"/>
                <w:sz w:val="18"/>
                <w:szCs w:val="18"/>
              </w:rPr>
              <w:t>5.3)</w:t>
            </w:r>
          </w:p>
        </w:tc>
        <w:tc>
          <w:tcPr>
            <w:tcW w:w="474" w:type="pct"/>
            <w:tcBorders>
              <w:tl2br w:val="nil"/>
              <w:tr2bl w:val="nil"/>
            </w:tcBorders>
            <w:noWrap/>
            <w:vAlign w:val="center"/>
          </w:tcPr>
          <w:p w14:paraId="20F7FDA4" w14:textId="77777777" w:rsidR="006D1C3F" w:rsidRDefault="00000000">
            <w:pPr>
              <w:pStyle w:val="af"/>
              <w:ind w:firstLine="360"/>
              <w:rPr>
                <w:rFonts w:cstheme="minorBidi"/>
                <w:b w:val="0"/>
                <w:bCs w:val="0"/>
                <w:sz w:val="18"/>
                <w:szCs w:val="18"/>
              </w:rPr>
            </w:pPr>
            <w:r>
              <w:rPr>
                <w:rFonts w:hint="eastAsia"/>
                <w:b w:val="0"/>
                <w:bCs w:val="0"/>
                <w:sz w:val="18"/>
                <w:szCs w:val="18"/>
              </w:rPr>
              <w:t>12.7</w:t>
            </w:r>
          </w:p>
        </w:tc>
        <w:tc>
          <w:tcPr>
            <w:tcW w:w="522" w:type="pct"/>
            <w:tcBorders>
              <w:tl2br w:val="nil"/>
              <w:tr2bl w:val="nil"/>
            </w:tcBorders>
            <w:noWrap/>
            <w:vAlign w:val="center"/>
          </w:tcPr>
          <w:p w14:paraId="64CA3047" w14:textId="77777777" w:rsidR="006D1C3F" w:rsidRDefault="00000000">
            <w:pPr>
              <w:pStyle w:val="af"/>
              <w:ind w:firstLine="360"/>
              <w:rPr>
                <w:rFonts w:cstheme="minorBidi"/>
                <w:b w:val="0"/>
                <w:bCs w:val="0"/>
                <w:sz w:val="18"/>
                <w:szCs w:val="18"/>
              </w:rPr>
            </w:pPr>
            <w:r>
              <w:rPr>
                <w:rFonts w:cstheme="minorBidi" w:hint="eastAsia"/>
                <w:b w:val="0"/>
                <w:bCs w:val="0"/>
                <w:sz w:val="18"/>
                <w:szCs w:val="18"/>
              </w:rPr>
              <w:t>5.73</w:t>
            </w:r>
          </w:p>
        </w:tc>
        <w:tc>
          <w:tcPr>
            <w:tcW w:w="362" w:type="pct"/>
            <w:tcBorders>
              <w:tl2br w:val="nil"/>
              <w:tr2bl w:val="nil"/>
            </w:tcBorders>
            <w:noWrap/>
            <w:vAlign w:val="center"/>
          </w:tcPr>
          <w:p w14:paraId="3BAAFA5F" w14:textId="77777777" w:rsidR="006D1C3F" w:rsidRDefault="00000000">
            <w:pPr>
              <w:pStyle w:val="af"/>
              <w:ind w:firstLine="360"/>
              <w:rPr>
                <w:rFonts w:cstheme="minorBidi"/>
                <w:b w:val="0"/>
                <w:bCs w:val="0"/>
                <w:sz w:val="18"/>
                <w:szCs w:val="18"/>
              </w:rPr>
            </w:pPr>
            <w:r>
              <w:rPr>
                <w:rFonts w:hint="eastAsia"/>
                <w:b w:val="0"/>
                <w:bCs w:val="0"/>
                <w:sz w:val="18"/>
                <w:szCs w:val="18"/>
              </w:rPr>
              <w:t>NA</w:t>
            </w:r>
          </w:p>
        </w:tc>
      </w:tr>
    </w:tbl>
    <w:p w14:paraId="111A0C7C" w14:textId="77777777" w:rsidR="006D1C3F" w:rsidRDefault="00000000">
      <w:pPr>
        <w:ind w:firstLine="360"/>
        <w:jc w:val="left"/>
        <w:rPr>
          <w:rFonts w:cstheme="minorBidi"/>
          <w:b w:val="0"/>
          <w:bCs w:val="0"/>
          <w:sz w:val="18"/>
          <w:szCs w:val="18"/>
        </w:rPr>
      </w:pPr>
      <w:r>
        <w:rPr>
          <w:rFonts w:cstheme="minorBidi" w:hint="eastAsia"/>
          <w:b w:val="0"/>
          <w:bCs w:val="0"/>
          <w:sz w:val="18"/>
          <w:szCs w:val="18"/>
        </w:rPr>
        <w:t xml:space="preserve"># resistance to second-generation ALK-TKIs in trials; NR, not reported; NA, not available; LYs, </w:t>
      </w:r>
      <w:r>
        <w:rPr>
          <w:rFonts w:cstheme="minorBidi"/>
          <w:b w:val="0"/>
          <w:bCs w:val="0"/>
          <w:sz w:val="18"/>
          <w:szCs w:val="18"/>
        </w:rPr>
        <w:t>Life-Years</w:t>
      </w:r>
    </w:p>
    <w:p w14:paraId="2F5DB23C" w14:textId="77777777" w:rsidR="006D1C3F" w:rsidRDefault="00000000">
      <w:pPr>
        <w:keepNext/>
        <w:keepLines/>
        <w:pageBreakBefore/>
        <w:spacing w:before="340" w:after="156" w:line="240" w:lineRule="auto"/>
        <w:ind w:firstLineChars="0" w:firstLine="0"/>
        <w:outlineLvl w:val="0"/>
        <w:rPr>
          <w:rFonts w:eastAsia="Times New Roman" w:cstheme="minorBidi"/>
          <w:b w:val="0"/>
          <w:bCs w:val="0"/>
          <w:kern w:val="44"/>
        </w:rPr>
      </w:pPr>
      <w:bookmarkStart w:id="22" w:name="_Toc225844812"/>
      <w:r>
        <w:rPr>
          <w:rFonts w:eastAsia="Times New Roman" w:cstheme="minorBidi"/>
          <w:b w:val="0"/>
          <w:bCs w:val="0"/>
          <w:kern w:val="44"/>
        </w:rPr>
        <w:lastRenderedPageBreak/>
        <w:t>Table S</w:t>
      </w:r>
      <w:r>
        <w:rPr>
          <w:rFonts w:eastAsiaTheme="minorEastAsia" w:cstheme="minorBidi" w:hint="eastAsia"/>
          <w:b w:val="0"/>
          <w:bCs w:val="0"/>
          <w:kern w:val="44"/>
        </w:rPr>
        <w:t>8</w:t>
      </w:r>
      <w:r>
        <w:rPr>
          <w:rFonts w:eastAsia="Times New Roman" w:cstheme="minorBidi"/>
          <w:b w:val="0"/>
          <w:bCs w:val="0"/>
          <w:kern w:val="44"/>
        </w:rPr>
        <w:t xml:space="preserve"> Parametric Fitting Effects of Survival Curves Across Treatment Regimens</w:t>
      </w:r>
      <w:bookmarkEnd w:id="2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5"/>
        <w:gridCol w:w="586"/>
        <w:gridCol w:w="1096"/>
        <w:gridCol w:w="576"/>
        <w:gridCol w:w="1114"/>
        <w:gridCol w:w="576"/>
        <w:gridCol w:w="1096"/>
        <w:gridCol w:w="576"/>
        <w:gridCol w:w="1444"/>
        <w:gridCol w:w="863"/>
        <w:gridCol w:w="1052"/>
        <w:gridCol w:w="576"/>
        <w:gridCol w:w="1052"/>
        <w:gridCol w:w="576"/>
        <w:gridCol w:w="1114"/>
        <w:gridCol w:w="496"/>
      </w:tblGrid>
      <w:tr w:rsidR="006D1C3F" w14:paraId="5B215A13" w14:textId="77777777">
        <w:trPr>
          <w:trHeight w:val="288"/>
        </w:trPr>
        <w:tc>
          <w:tcPr>
            <w:tcW w:w="5000" w:type="pct"/>
            <w:gridSpan w:val="16"/>
            <w:noWrap/>
            <w:vAlign w:val="center"/>
          </w:tcPr>
          <w:p w14:paraId="388B82B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color w:val="000000"/>
                <w:kern w:val="0"/>
                <w:sz w:val="16"/>
                <w:szCs w:val="16"/>
                <w:lang w:bidi="ar"/>
              </w:rPr>
              <w:t>PFS of first-line</w:t>
            </w:r>
          </w:p>
        </w:tc>
      </w:tr>
      <w:tr w:rsidR="006D1C3F" w14:paraId="1C800DC8" w14:textId="77777777">
        <w:trPr>
          <w:trHeight w:val="288"/>
        </w:trPr>
        <w:tc>
          <w:tcPr>
            <w:tcW w:w="644" w:type="pct"/>
            <w:gridSpan w:val="2"/>
            <w:noWrap/>
            <w:vAlign w:val="center"/>
          </w:tcPr>
          <w:p w14:paraId="29897753"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Brigatinib</w:t>
            </w:r>
            <w:proofErr w:type="spellEnd"/>
          </w:p>
        </w:tc>
        <w:tc>
          <w:tcPr>
            <w:tcW w:w="589" w:type="pct"/>
            <w:gridSpan w:val="2"/>
            <w:noWrap/>
            <w:vAlign w:val="center"/>
          </w:tcPr>
          <w:p w14:paraId="19B37EA0"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Ensartinib</w:t>
            </w:r>
            <w:proofErr w:type="spellEnd"/>
          </w:p>
        </w:tc>
        <w:tc>
          <w:tcPr>
            <w:tcW w:w="596" w:type="pct"/>
            <w:gridSpan w:val="2"/>
            <w:noWrap/>
            <w:vAlign w:val="center"/>
          </w:tcPr>
          <w:p w14:paraId="160D80F1"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Alectinib</w:t>
            </w:r>
            <w:proofErr w:type="spellEnd"/>
          </w:p>
        </w:tc>
        <w:tc>
          <w:tcPr>
            <w:tcW w:w="595" w:type="pct"/>
            <w:gridSpan w:val="2"/>
            <w:noWrap/>
            <w:vAlign w:val="center"/>
          </w:tcPr>
          <w:p w14:paraId="1F185599"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Ceritinib</w:t>
            </w:r>
            <w:proofErr w:type="spellEnd"/>
          </w:p>
        </w:tc>
        <w:tc>
          <w:tcPr>
            <w:tcW w:w="851" w:type="pct"/>
            <w:gridSpan w:val="2"/>
            <w:noWrap/>
            <w:vAlign w:val="center"/>
          </w:tcPr>
          <w:p w14:paraId="0398A35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Lorlatinib</w:t>
            </w:r>
            <w:proofErr w:type="spellEnd"/>
          </w:p>
        </w:tc>
        <w:tc>
          <w:tcPr>
            <w:tcW w:w="574" w:type="pct"/>
            <w:gridSpan w:val="2"/>
            <w:noWrap/>
            <w:vAlign w:val="center"/>
          </w:tcPr>
          <w:p w14:paraId="11BE91B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Crizotinib</w:t>
            </w:r>
          </w:p>
        </w:tc>
        <w:tc>
          <w:tcPr>
            <w:tcW w:w="580" w:type="pct"/>
            <w:gridSpan w:val="2"/>
            <w:noWrap/>
            <w:vAlign w:val="center"/>
          </w:tcPr>
          <w:p w14:paraId="56E8651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Chemotherapy</w:t>
            </w:r>
          </w:p>
        </w:tc>
        <w:tc>
          <w:tcPr>
            <w:tcW w:w="568" w:type="pct"/>
            <w:gridSpan w:val="2"/>
            <w:noWrap/>
            <w:vAlign w:val="center"/>
          </w:tcPr>
          <w:p w14:paraId="2C7B97EC"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Envonalkib</w:t>
            </w:r>
            <w:proofErr w:type="spellEnd"/>
          </w:p>
        </w:tc>
      </w:tr>
      <w:tr w:rsidR="006D1C3F" w14:paraId="3D652C73" w14:textId="77777777">
        <w:trPr>
          <w:trHeight w:val="288"/>
        </w:trPr>
        <w:tc>
          <w:tcPr>
            <w:tcW w:w="424" w:type="pct"/>
            <w:noWrap/>
            <w:vAlign w:val="center"/>
          </w:tcPr>
          <w:p w14:paraId="779D6B5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19" w:type="pct"/>
            <w:noWrap/>
            <w:vAlign w:val="center"/>
          </w:tcPr>
          <w:p w14:paraId="6D2C304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86" w:type="pct"/>
            <w:noWrap/>
            <w:vAlign w:val="center"/>
          </w:tcPr>
          <w:p w14:paraId="5345639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3" w:type="pct"/>
            <w:noWrap/>
            <w:vAlign w:val="center"/>
          </w:tcPr>
          <w:p w14:paraId="2809A60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92" w:type="pct"/>
            <w:noWrap/>
            <w:vAlign w:val="center"/>
          </w:tcPr>
          <w:p w14:paraId="1533AAD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3" w:type="pct"/>
            <w:noWrap/>
            <w:vAlign w:val="center"/>
          </w:tcPr>
          <w:p w14:paraId="7A2DF8C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86" w:type="pct"/>
            <w:noWrap/>
            <w:vAlign w:val="center"/>
          </w:tcPr>
          <w:p w14:paraId="50AEFCF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8" w:type="pct"/>
            <w:noWrap/>
            <w:vAlign w:val="center"/>
          </w:tcPr>
          <w:p w14:paraId="642B223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532" w:type="pct"/>
            <w:noWrap/>
            <w:vAlign w:val="center"/>
          </w:tcPr>
          <w:p w14:paraId="65CD52D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318" w:type="pct"/>
            <w:noWrap/>
            <w:vAlign w:val="center"/>
          </w:tcPr>
          <w:p w14:paraId="10EF729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71" w:type="pct"/>
            <w:noWrap/>
            <w:vAlign w:val="center"/>
          </w:tcPr>
          <w:p w14:paraId="4D0C1A6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3" w:type="pct"/>
            <w:noWrap/>
            <w:vAlign w:val="center"/>
          </w:tcPr>
          <w:p w14:paraId="645E559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72" w:type="pct"/>
            <w:noWrap/>
            <w:vAlign w:val="center"/>
          </w:tcPr>
          <w:p w14:paraId="12071A3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7" w:type="pct"/>
            <w:noWrap/>
            <w:vAlign w:val="center"/>
          </w:tcPr>
          <w:p w14:paraId="3586647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92" w:type="pct"/>
            <w:noWrap/>
            <w:vAlign w:val="center"/>
          </w:tcPr>
          <w:p w14:paraId="7FC8D59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175" w:type="pct"/>
            <w:noWrap/>
            <w:vAlign w:val="center"/>
          </w:tcPr>
          <w:p w14:paraId="56B6C9B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r>
      <w:tr w:rsidR="006D1C3F" w14:paraId="7160EDBF" w14:textId="77777777">
        <w:trPr>
          <w:trHeight w:val="288"/>
        </w:trPr>
        <w:tc>
          <w:tcPr>
            <w:tcW w:w="424" w:type="pct"/>
            <w:noWrap/>
            <w:vAlign w:val="center"/>
          </w:tcPr>
          <w:p w14:paraId="6D670FBE" w14:textId="77777777" w:rsidR="006D1C3F" w:rsidRDefault="00000000">
            <w:pPr>
              <w:widowControl/>
              <w:spacing w:line="240" w:lineRule="auto"/>
              <w:ind w:firstLineChars="0" w:firstLine="0"/>
              <w:jc w:val="center"/>
              <w:textAlignment w:val="center"/>
              <w:rPr>
                <w:color w:val="000000"/>
                <w:sz w:val="16"/>
                <w:szCs w:val="16"/>
              </w:rPr>
            </w:pPr>
            <w:proofErr w:type="spellStart"/>
            <w:r>
              <w:rPr>
                <w:rFonts w:hint="eastAsia"/>
                <w:color w:val="000000"/>
                <w:kern w:val="0"/>
                <w:sz w:val="16"/>
                <w:szCs w:val="16"/>
                <w:lang w:bidi="ar"/>
              </w:rPr>
              <w:t>lnorm</w:t>
            </w:r>
            <w:proofErr w:type="spellEnd"/>
          </w:p>
        </w:tc>
        <w:tc>
          <w:tcPr>
            <w:tcW w:w="219" w:type="pct"/>
            <w:noWrap/>
            <w:vAlign w:val="center"/>
          </w:tcPr>
          <w:p w14:paraId="25D3CF4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162.8 </w:t>
            </w:r>
          </w:p>
        </w:tc>
        <w:tc>
          <w:tcPr>
            <w:tcW w:w="386" w:type="pct"/>
            <w:noWrap/>
            <w:vAlign w:val="center"/>
          </w:tcPr>
          <w:p w14:paraId="49C4B0BD" w14:textId="77777777" w:rsidR="006D1C3F" w:rsidRDefault="00000000">
            <w:pPr>
              <w:widowControl/>
              <w:spacing w:line="240" w:lineRule="auto"/>
              <w:ind w:firstLineChars="0" w:firstLine="0"/>
              <w:jc w:val="center"/>
              <w:textAlignment w:val="center"/>
              <w:rPr>
                <w:color w:val="000000"/>
                <w:sz w:val="16"/>
                <w:szCs w:val="16"/>
              </w:rPr>
            </w:pPr>
            <w:proofErr w:type="spellStart"/>
            <w:r>
              <w:rPr>
                <w:rFonts w:hint="eastAsia"/>
                <w:color w:val="000000"/>
                <w:kern w:val="0"/>
                <w:sz w:val="16"/>
                <w:szCs w:val="16"/>
                <w:lang w:bidi="ar"/>
              </w:rPr>
              <w:t>lnorm</w:t>
            </w:r>
            <w:proofErr w:type="spellEnd"/>
          </w:p>
        </w:tc>
        <w:tc>
          <w:tcPr>
            <w:tcW w:w="203" w:type="pct"/>
            <w:noWrap/>
            <w:vAlign w:val="center"/>
          </w:tcPr>
          <w:p w14:paraId="19BD0E7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98.3 </w:t>
            </w:r>
          </w:p>
        </w:tc>
        <w:tc>
          <w:tcPr>
            <w:tcW w:w="392" w:type="pct"/>
            <w:noWrap/>
            <w:vAlign w:val="center"/>
          </w:tcPr>
          <w:p w14:paraId="04E1A45C" w14:textId="77777777" w:rsidR="006D1C3F" w:rsidRDefault="00000000">
            <w:pPr>
              <w:widowControl/>
              <w:spacing w:line="240" w:lineRule="auto"/>
              <w:ind w:firstLineChars="0" w:firstLine="0"/>
              <w:jc w:val="center"/>
              <w:textAlignment w:val="center"/>
              <w:rPr>
                <w:color w:val="000000"/>
                <w:sz w:val="16"/>
                <w:szCs w:val="16"/>
              </w:rPr>
            </w:pPr>
            <w:r>
              <w:rPr>
                <w:rFonts w:hint="eastAsia"/>
                <w:color w:val="000000"/>
                <w:kern w:val="0"/>
                <w:sz w:val="16"/>
                <w:szCs w:val="16"/>
                <w:lang w:bidi="ar"/>
              </w:rPr>
              <w:t>RP-normal-1</w:t>
            </w:r>
          </w:p>
        </w:tc>
        <w:tc>
          <w:tcPr>
            <w:tcW w:w="203" w:type="pct"/>
            <w:noWrap/>
            <w:vAlign w:val="center"/>
          </w:tcPr>
          <w:p w14:paraId="5F6B13D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173.0 </w:t>
            </w:r>
          </w:p>
        </w:tc>
        <w:tc>
          <w:tcPr>
            <w:tcW w:w="386" w:type="pct"/>
            <w:noWrap/>
            <w:vAlign w:val="center"/>
          </w:tcPr>
          <w:p w14:paraId="29E4342F" w14:textId="77777777" w:rsidR="006D1C3F" w:rsidRDefault="00000000">
            <w:pPr>
              <w:widowControl/>
              <w:spacing w:line="240" w:lineRule="auto"/>
              <w:ind w:firstLineChars="0" w:firstLine="0"/>
              <w:jc w:val="center"/>
              <w:textAlignment w:val="center"/>
              <w:rPr>
                <w:color w:val="000000"/>
                <w:sz w:val="16"/>
                <w:szCs w:val="16"/>
              </w:rPr>
            </w:pPr>
            <w:r>
              <w:rPr>
                <w:rFonts w:hint="eastAsia"/>
                <w:color w:val="000000"/>
                <w:kern w:val="0"/>
                <w:sz w:val="16"/>
                <w:szCs w:val="16"/>
                <w:lang w:bidi="ar"/>
              </w:rPr>
              <w:t>RP-hazard-1</w:t>
            </w:r>
          </w:p>
        </w:tc>
        <w:tc>
          <w:tcPr>
            <w:tcW w:w="208" w:type="pct"/>
            <w:noWrap/>
            <w:vAlign w:val="center"/>
          </w:tcPr>
          <w:p w14:paraId="32B2C13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143.3 </w:t>
            </w:r>
          </w:p>
        </w:tc>
        <w:tc>
          <w:tcPr>
            <w:tcW w:w="532" w:type="pct"/>
            <w:noWrap/>
            <w:vAlign w:val="center"/>
          </w:tcPr>
          <w:p w14:paraId="0EAA7801" w14:textId="77777777" w:rsidR="006D1C3F" w:rsidRDefault="00000000">
            <w:pPr>
              <w:widowControl/>
              <w:spacing w:line="240" w:lineRule="auto"/>
              <w:ind w:firstLineChars="0" w:firstLine="0"/>
              <w:jc w:val="center"/>
              <w:textAlignment w:val="center"/>
              <w:rPr>
                <w:color w:val="000000"/>
                <w:sz w:val="16"/>
                <w:szCs w:val="16"/>
              </w:rPr>
            </w:pPr>
            <w:proofErr w:type="spellStart"/>
            <w:r>
              <w:rPr>
                <w:rFonts w:hint="eastAsia"/>
                <w:color w:val="000000"/>
                <w:kern w:val="0"/>
                <w:sz w:val="16"/>
                <w:szCs w:val="16"/>
                <w:lang w:bidi="ar"/>
              </w:rPr>
              <w:t>genf</w:t>
            </w:r>
            <w:proofErr w:type="spellEnd"/>
          </w:p>
        </w:tc>
        <w:tc>
          <w:tcPr>
            <w:tcW w:w="318" w:type="pct"/>
            <w:noWrap/>
            <w:vAlign w:val="center"/>
          </w:tcPr>
          <w:p w14:paraId="3CCA73DD" w14:textId="77777777" w:rsidR="006D1C3F" w:rsidRDefault="00000000">
            <w:pPr>
              <w:widowControl/>
              <w:spacing w:line="240" w:lineRule="auto"/>
              <w:ind w:firstLineChars="0" w:firstLine="0"/>
              <w:jc w:val="center"/>
              <w:textAlignment w:val="center"/>
              <w:rPr>
                <w:color w:val="000000"/>
                <w:sz w:val="16"/>
                <w:szCs w:val="16"/>
              </w:rPr>
            </w:pPr>
            <w:r>
              <w:rPr>
                <w:rFonts w:hint="eastAsia"/>
                <w:color w:val="000000"/>
                <w:kern w:val="0"/>
                <w:sz w:val="16"/>
                <w:szCs w:val="16"/>
                <w:lang w:bidi="ar"/>
              </w:rPr>
              <w:t xml:space="preserve">103.7 </w:t>
            </w:r>
          </w:p>
        </w:tc>
        <w:tc>
          <w:tcPr>
            <w:tcW w:w="371" w:type="pct"/>
            <w:noWrap/>
            <w:vAlign w:val="center"/>
          </w:tcPr>
          <w:p w14:paraId="3DCBB349" w14:textId="77777777" w:rsidR="006D1C3F" w:rsidRDefault="00000000">
            <w:pPr>
              <w:widowControl/>
              <w:spacing w:line="240" w:lineRule="auto"/>
              <w:ind w:firstLineChars="0" w:firstLine="0"/>
              <w:jc w:val="center"/>
              <w:textAlignment w:val="center"/>
              <w:rPr>
                <w:color w:val="000000"/>
                <w:sz w:val="16"/>
                <w:szCs w:val="16"/>
              </w:rPr>
            </w:pPr>
            <w:r>
              <w:rPr>
                <w:rFonts w:hint="eastAsia"/>
                <w:color w:val="000000"/>
                <w:kern w:val="0"/>
                <w:sz w:val="16"/>
                <w:szCs w:val="16"/>
                <w:lang w:bidi="ar"/>
              </w:rPr>
              <w:t>FP2-2</w:t>
            </w:r>
          </w:p>
        </w:tc>
        <w:tc>
          <w:tcPr>
            <w:tcW w:w="203" w:type="pct"/>
            <w:noWrap/>
            <w:vAlign w:val="center"/>
          </w:tcPr>
          <w:p w14:paraId="4AA9D4B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197.1 </w:t>
            </w:r>
          </w:p>
        </w:tc>
        <w:tc>
          <w:tcPr>
            <w:tcW w:w="372" w:type="pct"/>
            <w:noWrap/>
            <w:vAlign w:val="center"/>
          </w:tcPr>
          <w:p w14:paraId="7052E245" w14:textId="77777777" w:rsidR="006D1C3F" w:rsidRDefault="00000000">
            <w:pPr>
              <w:widowControl/>
              <w:spacing w:line="240" w:lineRule="auto"/>
              <w:ind w:firstLineChars="0" w:firstLine="0"/>
              <w:jc w:val="center"/>
              <w:textAlignment w:val="center"/>
              <w:rPr>
                <w:color w:val="000000"/>
                <w:sz w:val="16"/>
                <w:szCs w:val="16"/>
              </w:rPr>
            </w:pPr>
            <w:r>
              <w:rPr>
                <w:rFonts w:hint="eastAsia"/>
                <w:color w:val="000000"/>
                <w:kern w:val="0"/>
                <w:sz w:val="16"/>
                <w:szCs w:val="16"/>
                <w:lang w:bidi="ar"/>
              </w:rPr>
              <w:t>RP-odds-1</w:t>
            </w:r>
          </w:p>
        </w:tc>
        <w:tc>
          <w:tcPr>
            <w:tcW w:w="207" w:type="pct"/>
            <w:noWrap/>
            <w:vAlign w:val="center"/>
          </w:tcPr>
          <w:p w14:paraId="36BF773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146.9 </w:t>
            </w:r>
          </w:p>
        </w:tc>
        <w:tc>
          <w:tcPr>
            <w:tcW w:w="392" w:type="pct"/>
            <w:noWrap/>
            <w:vAlign w:val="center"/>
          </w:tcPr>
          <w:p w14:paraId="6A4C4BA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color w:val="000000"/>
                <w:kern w:val="0"/>
                <w:sz w:val="16"/>
                <w:szCs w:val="16"/>
                <w:lang w:bidi="ar"/>
              </w:rPr>
              <w:t>RP-normal-1</w:t>
            </w:r>
          </w:p>
        </w:tc>
        <w:tc>
          <w:tcPr>
            <w:tcW w:w="175" w:type="pct"/>
            <w:noWrap/>
            <w:vAlign w:val="center"/>
          </w:tcPr>
          <w:p w14:paraId="0BFFDA2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80.8 </w:t>
            </w:r>
          </w:p>
        </w:tc>
      </w:tr>
      <w:tr w:rsidR="006D1C3F" w14:paraId="1D60EB57" w14:textId="77777777">
        <w:trPr>
          <w:trHeight w:val="288"/>
        </w:trPr>
        <w:tc>
          <w:tcPr>
            <w:tcW w:w="424" w:type="pct"/>
            <w:noWrap/>
            <w:vAlign w:val="center"/>
          </w:tcPr>
          <w:p w14:paraId="2E8DA19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19" w:type="pct"/>
            <w:noWrap/>
            <w:vAlign w:val="center"/>
          </w:tcPr>
          <w:p w14:paraId="0A7CD23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162.8 </w:t>
            </w:r>
          </w:p>
        </w:tc>
        <w:tc>
          <w:tcPr>
            <w:tcW w:w="386" w:type="pct"/>
            <w:noWrap/>
            <w:vAlign w:val="center"/>
          </w:tcPr>
          <w:p w14:paraId="7199F9F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03" w:type="pct"/>
            <w:noWrap/>
            <w:vAlign w:val="center"/>
          </w:tcPr>
          <w:p w14:paraId="3B18A04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98.3 </w:t>
            </w:r>
          </w:p>
        </w:tc>
        <w:tc>
          <w:tcPr>
            <w:tcW w:w="392" w:type="pct"/>
            <w:noWrap/>
            <w:vAlign w:val="center"/>
          </w:tcPr>
          <w:p w14:paraId="3ACA7CC5"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203" w:type="pct"/>
            <w:noWrap/>
            <w:vAlign w:val="center"/>
          </w:tcPr>
          <w:p w14:paraId="0521606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173.0 </w:t>
            </w:r>
          </w:p>
        </w:tc>
        <w:tc>
          <w:tcPr>
            <w:tcW w:w="386" w:type="pct"/>
            <w:noWrap/>
            <w:vAlign w:val="center"/>
          </w:tcPr>
          <w:p w14:paraId="6C7BB97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8" w:type="pct"/>
            <w:noWrap/>
            <w:vAlign w:val="center"/>
          </w:tcPr>
          <w:p w14:paraId="6186DB9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143.7 </w:t>
            </w:r>
          </w:p>
        </w:tc>
        <w:tc>
          <w:tcPr>
            <w:tcW w:w="532" w:type="pct"/>
            <w:noWrap/>
            <w:vAlign w:val="center"/>
          </w:tcPr>
          <w:p w14:paraId="0DA386F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318" w:type="pct"/>
            <w:noWrap/>
            <w:vAlign w:val="center"/>
          </w:tcPr>
          <w:p w14:paraId="557DEB1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115.8 </w:t>
            </w:r>
          </w:p>
        </w:tc>
        <w:tc>
          <w:tcPr>
            <w:tcW w:w="371" w:type="pct"/>
            <w:noWrap/>
            <w:vAlign w:val="center"/>
          </w:tcPr>
          <w:p w14:paraId="5AB12CD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3" w:type="pct"/>
            <w:noWrap/>
            <w:vAlign w:val="center"/>
          </w:tcPr>
          <w:p w14:paraId="5A114F1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200.7 </w:t>
            </w:r>
          </w:p>
        </w:tc>
        <w:tc>
          <w:tcPr>
            <w:tcW w:w="372" w:type="pct"/>
            <w:noWrap/>
            <w:vAlign w:val="center"/>
          </w:tcPr>
          <w:p w14:paraId="651477F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07" w:type="pct"/>
            <w:noWrap/>
            <w:vAlign w:val="center"/>
          </w:tcPr>
          <w:p w14:paraId="5D4BA25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147.3 </w:t>
            </w:r>
          </w:p>
        </w:tc>
        <w:tc>
          <w:tcPr>
            <w:tcW w:w="392" w:type="pct"/>
            <w:noWrap/>
            <w:vAlign w:val="center"/>
          </w:tcPr>
          <w:p w14:paraId="39A09CE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175" w:type="pct"/>
            <w:noWrap/>
            <w:vAlign w:val="center"/>
          </w:tcPr>
          <w:p w14:paraId="61AF4E6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80.6 </w:t>
            </w:r>
          </w:p>
        </w:tc>
      </w:tr>
      <w:tr w:rsidR="006D1C3F" w14:paraId="5C754294" w14:textId="77777777">
        <w:trPr>
          <w:trHeight w:val="288"/>
        </w:trPr>
        <w:tc>
          <w:tcPr>
            <w:tcW w:w="424" w:type="pct"/>
            <w:noWrap/>
            <w:vAlign w:val="center"/>
          </w:tcPr>
          <w:p w14:paraId="2A313B7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19" w:type="pct"/>
            <w:noWrap/>
            <w:vAlign w:val="center"/>
          </w:tcPr>
          <w:p w14:paraId="3DC38D1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164.1 </w:t>
            </w:r>
          </w:p>
        </w:tc>
        <w:tc>
          <w:tcPr>
            <w:tcW w:w="386" w:type="pct"/>
            <w:noWrap/>
            <w:vAlign w:val="center"/>
          </w:tcPr>
          <w:p w14:paraId="12096A8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3" w:type="pct"/>
            <w:noWrap/>
            <w:vAlign w:val="center"/>
          </w:tcPr>
          <w:p w14:paraId="0E4974F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99.3 </w:t>
            </w:r>
          </w:p>
        </w:tc>
        <w:tc>
          <w:tcPr>
            <w:tcW w:w="392" w:type="pct"/>
            <w:noWrap/>
            <w:vAlign w:val="center"/>
          </w:tcPr>
          <w:p w14:paraId="33192E7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03" w:type="pct"/>
            <w:noWrap/>
            <w:vAlign w:val="center"/>
          </w:tcPr>
          <w:p w14:paraId="6817E23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173.9 </w:t>
            </w:r>
          </w:p>
        </w:tc>
        <w:tc>
          <w:tcPr>
            <w:tcW w:w="386" w:type="pct"/>
            <w:noWrap/>
            <w:vAlign w:val="center"/>
          </w:tcPr>
          <w:p w14:paraId="774F570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08" w:type="pct"/>
            <w:noWrap/>
            <w:vAlign w:val="center"/>
          </w:tcPr>
          <w:p w14:paraId="39C9FCE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144.5 </w:t>
            </w:r>
          </w:p>
        </w:tc>
        <w:tc>
          <w:tcPr>
            <w:tcW w:w="532" w:type="pct"/>
            <w:noWrap/>
            <w:vAlign w:val="center"/>
          </w:tcPr>
          <w:p w14:paraId="14F8430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318" w:type="pct"/>
            <w:noWrap/>
            <w:vAlign w:val="center"/>
          </w:tcPr>
          <w:p w14:paraId="132F0E0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117.1 </w:t>
            </w:r>
          </w:p>
        </w:tc>
        <w:tc>
          <w:tcPr>
            <w:tcW w:w="371" w:type="pct"/>
            <w:noWrap/>
            <w:vAlign w:val="center"/>
          </w:tcPr>
          <w:p w14:paraId="0F38D5E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3" w:type="pct"/>
            <w:noWrap/>
            <w:vAlign w:val="center"/>
          </w:tcPr>
          <w:p w14:paraId="1273498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201.0 </w:t>
            </w:r>
          </w:p>
        </w:tc>
        <w:tc>
          <w:tcPr>
            <w:tcW w:w="372" w:type="pct"/>
            <w:noWrap/>
            <w:vAlign w:val="center"/>
          </w:tcPr>
          <w:p w14:paraId="6BD8798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07" w:type="pct"/>
            <w:noWrap/>
            <w:vAlign w:val="center"/>
          </w:tcPr>
          <w:p w14:paraId="6ABA7CA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147.8 </w:t>
            </w:r>
          </w:p>
        </w:tc>
        <w:tc>
          <w:tcPr>
            <w:tcW w:w="392" w:type="pct"/>
            <w:noWrap/>
            <w:vAlign w:val="center"/>
          </w:tcPr>
          <w:p w14:paraId="0F4C88B5"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175" w:type="pct"/>
            <w:noWrap/>
            <w:vAlign w:val="center"/>
          </w:tcPr>
          <w:p w14:paraId="0625352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80.8 </w:t>
            </w:r>
          </w:p>
        </w:tc>
      </w:tr>
      <w:tr w:rsidR="006D1C3F" w14:paraId="59343892" w14:textId="77777777">
        <w:trPr>
          <w:trHeight w:val="288"/>
        </w:trPr>
        <w:tc>
          <w:tcPr>
            <w:tcW w:w="424" w:type="pct"/>
            <w:noWrap/>
            <w:vAlign w:val="center"/>
          </w:tcPr>
          <w:p w14:paraId="19881C0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19" w:type="pct"/>
            <w:noWrap/>
            <w:vAlign w:val="center"/>
          </w:tcPr>
          <w:p w14:paraId="15A91B5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164.5 </w:t>
            </w:r>
          </w:p>
        </w:tc>
        <w:tc>
          <w:tcPr>
            <w:tcW w:w="386" w:type="pct"/>
            <w:noWrap/>
            <w:vAlign w:val="center"/>
          </w:tcPr>
          <w:p w14:paraId="138A41FB"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03" w:type="pct"/>
            <w:noWrap/>
            <w:vAlign w:val="center"/>
          </w:tcPr>
          <w:p w14:paraId="3A11F33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99.6 </w:t>
            </w:r>
          </w:p>
        </w:tc>
        <w:tc>
          <w:tcPr>
            <w:tcW w:w="392" w:type="pct"/>
            <w:noWrap/>
            <w:vAlign w:val="center"/>
          </w:tcPr>
          <w:p w14:paraId="5DABF47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3" w:type="pct"/>
            <w:noWrap/>
            <w:vAlign w:val="center"/>
          </w:tcPr>
          <w:p w14:paraId="28CF877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174.3 </w:t>
            </w:r>
          </w:p>
        </w:tc>
        <w:tc>
          <w:tcPr>
            <w:tcW w:w="386" w:type="pct"/>
            <w:noWrap/>
            <w:vAlign w:val="center"/>
          </w:tcPr>
          <w:p w14:paraId="3C8D16E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08" w:type="pct"/>
            <w:noWrap/>
            <w:vAlign w:val="center"/>
          </w:tcPr>
          <w:p w14:paraId="0BB495F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144.6 </w:t>
            </w:r>
          </w:p>
        </w:tc>
        <w:tc>
          <w:tcPr>
            <w:tcW w:w="532" w:type="pct"/>
            <w:noWrap/>
            <w:vAlign w:val="center"/>
          </w:tcPr>
          <w:p w14:paraId="29EA6D8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318" w:type="pct"/>
            <w:noWrap/>
            <w:vAlign w:val="center"/>
          </w:tcPr>
          <w:p w14:paraId="2179192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109.6 </w:t>
            </w:r>
          </w:p>
        </w:tc>
        <w:tc>
          <w:tcPr>
            <w:tcW w:w="371" w:type="pct"/>
            <w:noWrap/>
            <w:vAlign w:val="center"/>
          </w:tcPr>
          <w:p w14:paraId="3DC7CF9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3" w:type="pct"/>
            <w:noWrap/>
            <w:vAlign w:val="center"/>
          </w:tcPr>
          <w:p w14:paraId="357340C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201.2 </w:t>
            </w:r>
          </w:p>
        </w:tc>
        <w:tc>
          <w:tcPr>
            <w:tcW w:w="372" w:type="pct"/>
            <w:noWrap/>
            <w:vAlign w:val="center"/>
          </w:tcPr>
          <w:p w14:paraId="2187D36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7" w:type="pct"/>
            <w:noWrap/>
            <w:vAlign w:val="center"/>
          </w:tcPr>
          <w:p w14:paraId="72C4EA9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148.2 </w:t>
            </w:r>
          </w:p>
        </w:tc>
        <w:tc>
          <w:tcPr>
            <w:tcW w:w="392" w:type="pct"/>
            <w:noWrap/>
            <w:vAlign w:val="center"/>
          </w:tcPr>
          <w:p w14:paraId="0769294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175" w:type="pct"/>
            <w:noWrap/>
            <w:vAlign w:val="center"/>
          </w:tcPr>
          <w:p w14:paraId="686080A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80.9 </w:t>
            </w:r>
          </w:p>
        </w:tc>
      </w:tr>
      <w:tr w:rsidR="006D1C3F" w14:paraId="145B696D" w14:textId="77777777">
        <w:trPr>
          <w:trHeight w:val="288"/>
        </w:trPr>
        <w:tc>
          <w:tcPr>
            <w:tcW w:w="424" w:type="pct"/>
            <w:noWrap/>
            <w:vAlign w:val="center"/>
          </w:tcPr>
          <w:p w14:paraId="436B11D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19" w:type="pct"/>
            <w:noWrap/>
            <w:vAlign w:val="center"/>
          </w:tcPr>
          <w:p w14:paraId="7D97D53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164.5 </w:t>
            </w:r>
          </w:p>
        </w:tc>
        <w:tc>
          <w:tcPr>
            <w:tcW w:w="386" w:type="pct"/>
            <w:noWrap/>
            <w:vAlign w:val="center"/>
          </w:tcPr>
          <w:p w14:paraId="44DBB21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3" w:type="pct"/>
            <w:noWrap/>
            <w:vAlign w:val="center"/>
          </w:tcPr>
          <w:p w14:paraId="3B4AFF3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99.6 </w:t>
            </w:r>
          </w:p>
        </w:tc>
        <w:tc>
          <w:tcPr>
            <w:tcW w:w="392" w:type="pct"/>
            <w:noWrap/>
            <w:vAlign w:val="center"/>
          </w:tcPr>
          <w:p w14:paraId="472E5818"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03" w:type="pct"/>
            <w:noWrap/>
            <w:vAlign w:val="center"/>
          </w:tcPr>
          <w:p w14:paraId="57F66C8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174.5 </w:t>
            </w:r>
          </w:p>
        </w:tc>
        <w:tc>
          <w:tcPr>
            <w:tcW w:w="386" w:type="pct"/>
            <w:noWrap/>
            <w:vAlign w:val="center"/>
          </w:tcPr>
          <w:p w14:paraId="23AD7E4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08" w:type="pct"/>
            <w:noWrap/>
            <w:vAlign w:val="center"/>
          </w:tcPr>
          <w:p w14:paraId="51D18B4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144.8 </w:t>
            </w:r>
          </w:p>
        </w:tc>
        <w:tc>
          <w:tcPr>
            <w:tcW w:w="532" w:type="pct"/>
            <w:noWrap/>
            <w:vAlign w:val="center"/>
          </w:tcPr>
          <w:p w14:paraId="6EDA2DA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318" w:type="pct"/>
            <w:noWrap/>
            <w:vAlign w:val="center"/>
          </w:tcPr>
          <w:p w14:paraId="4316B60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105.8 </w:t>
            </w:r>
          </w:p>
        </w:tc>
        <w:tc>
          <w:tcPr>
            <w:tcW w:w="371" w:type="pct"/>
            <w:noWrap/>
            <w:vAlign w:val="center"/>
          </w:tcPr>
          <w:p w14:paraId="59526B0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03" w:type="pct"/>
            <w:noWrap/>
            <w:vAlign w:val="center"/>
          </w:tcPr>
          <w:p w14:paraId="49E1041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201.4 </w:t>
            </w:r>
          </w:p>
        </w:tc>
        <w:tc>
          <w:tcPr>
            <w:tcW w:w="372" w:type="pct"/>
            <w:noWrap/>
            <w:vAlign w:val="center"/>
          </w:tcPr>
          <w:p w14:paraId="5867060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07" w:type="pct"/>
            <w:noWrap/>
            <w:vAlign w:val="center"/>
          </w:tcPr>
          <w:p w14:paraId="035F174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148.6 </w:t>
            </w:r>
          </w:p>
        </w:tc>
        <w:tc>
          <w:tcPr>
            <w:tcW w:w="392" w:type="pct"/>
            <w:noWrap/>
            <w:vAlign w:val="center"/>
          </w:tcPr>
          <w:p w14:paraId="720DE03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175" w:type="pct"/>
            <w:noWrap/>
            <w:vAlign w:val="center"/>
          </w:tcPr>
          <w:p w14:paraId="1960098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81.5 </w:t>
            </w:r>
          </w:p>
        </w:tc>
      </w:tr>
      <w:tr w:rsidR="006D1C3F" w14:paraId="400049FC" w14:textId="77777777">
        <w:trPr>
          <w:trHeight w:val="288"/>
        </w:trPr>
        <w:tc>
          <w:tcPr>
            <w:tcW w:w="424" w:type="pct"/>
            <w:noWrap/>
            <w:vAlign w:val="center"/>
          </w:tcPr>
          <w:p w14:paraId="11E83019"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19" w:type="pct"/>
            <w:noWrap/>
            <w:vAlign w:val="center"/>
          </w:tcPr>
          <w:p w14:paraId="1389FD1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164.6 </w:t>
            </w:r>
          </w:p>
        </w:tc>
        <w:tc>
          <w:tcPr>
            <w:tcW w:w="386" w:type="pct"/>
            <w:noWrap/>
            <w:vAlign w:val="center"/>
          </w:tcPr>
          <w:p w14:paraId="2FBEEBD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03" w:type="pct"/>
            <w:noWrap/>
            <w:vAlign w:val="center"/>
          </w:tcPr>
          <w:p w14:paraId="4A6A6F7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99.7 </w:t>
            </w:r>
          </w:p>
        </w:tc>
        <w:tc>
          <w:tcPr>
            <w:tcW w:w="392" w:type="pct"/>
            <w:noWrap/>
            <w:vAlign w:val="center"/>
          </w:tcPr>
          <w:p w14:paraId="7042482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03" w:type="pct"/>
            <w:noWrap/>
            <w:vAlign w:val="center"/>
          </w:tcPr>
          <w:p w14:paraId="39D79F1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174.5 </w:t>
            </w:r>
          </w:p>
        </w:tc>
        <w:tc>
          <w:tcPr>
            <w:tcW w:w="386" w:type="pct"/>
            <w:noWrap/>
            <w:vAlign w:val="center"/>
          </w:tcPr>
          <w:p w14:paraId="1FFE3C5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8" w:type="pct"/>
            <w:noWrap/>
            <w:vAlign w:val="center"/>
          </w:tcPr>
          <w:p w14:paraId="775DEEC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145.2 </w:t>
            </w:r>
          </w:p>
        </w:tc>
        <w:tc>
          <w:tcPr>
            <w:tcW w:w="532" w:type="pct"/>
            <w:noWrap/>
            <w:vAlign w:val="center"/>
          </w:tcPr>
          <w:p w14:paraId="699D6CC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318" w:type="pct"/>
            <w:noWrap/>
            <w:vAlign w:val="center"/>
          </w:tcPr>
          <w:p w14:paraId="5763FD1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113.1 </w:t>
            </w:r>
          </w:p>
        </w:tc>
        <w:tc>
          <w:tcPr>
            <w:tcW w:w="371" w:type="pct"/>
            <w:noWrap/>
            <w:vAlign w:val="center"/>
          </w:tcPr>
          <w:p w14:paraId="31F0540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03" w:type="pct"/>
            <w:noWrap/>
            <w:vAlign w:val="center"/>
          </w:tcPr>
          <w:p w14:paraId="6BD4B57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201.8 </w:t>
            </w:r>
          </w:p>
        </w:tc>
        <w:tc>
          <w:tcPr>
            <w:tcW w:w="372" w:type="pct"/>
            <w:noWrap/>
            <w:vAlign w:val="center"/>
          </w:tcPr>
          <w:p w14:paraId="5A4241B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7" w:type="pct"/>
            <w:noWrap/>
            <w:vAlign w:val="center"/>
          </w:tcPr>
          <w:p w14:paraId="3ADEE44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150.7 </w:t>
            </w:r>
          </w:p>
        </w:tc>
        <w:tc>
          <w:tcPr>
            <w:tcW w:w="392" w:type="pct"/>
            <w:noWrap/>
            <w:vAlign w:val="center"/>
          </w:tcPr>
          <w:p w14:paraId="13E7CAB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175" w:type="pct"/>
            <w:noWrap/>
            <w:vAlign w:val="center"/>
          </w:tcPr>
          <w:p w14:paraId="3E578E7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81.6 </w:t>
            </w:r>
          </w:p>
        </w:tc>
      </w:tr>
      <w:tr w:rsidR="006D1C3F" w14:paraId="69354A6A" w14:textId="77777777">
        <w:trPr>
          <w:trHeight w:val="288"/>
        </w:trPr>
        <w:tc>
          <w:tcPr>
            <w:tcW w:w="424" w:type="pct"/>
            <w:noWrap/>
            <w:vAlign w:val="center"/>
          </w:tcPr>
          <w:p w14:paraId="6623269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19" w:type="pct"/>
            <w:noWrap/>
            <w:vAlign w:val="center"/>
          </w:tcPr>
          <w:p w14:paraId="6D8BFA6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165.0 </w:t>
            </w:r>
          </w:p>
        </w:tc>
        <w:tc>
          <w:tcPr>
            <w:tcW w:w="386" w:type="pct"/>
            <w:noWrap/>
            <w:vAlign w:val="center"/>
          </w:tcPr>
          <w:p w14:paraId="2E11CD7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3" w:type="pct"/>
            <w:noWrap/>
            <w:vAlign w:val="center"/>
          </w:tcPr>
          <w:p w14:paraId="7C04CAF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99.8 </w:t>
            </w:r>
          </w:p>
        </w:tc>
        <w:tc>
          <w:tcPr>
            <w:tcW w:w="392" w:type="pct"/>
            <w:noWrap/>
            <w:vAlign w:val="center"/>
          </w:tcPr>
          <w:p w14:paraId="5EEB330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3" w:type="pct"/>
            <w:noWrap/>
            <w:vAlign w:val="center"/>
          </w:tcPr>
          <w:p w14:paraId="00128B5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174.6 </w:t>
            </w:r>
          </w:p>
        </w:tc>
        <w:tc>
          <w:tcPr>
            <w:tcW w:w="386" w:type="pct"/>
            <w:noWrap/>
            <w:vAlign w:val="center"/>
          </w:tcPr>
          <w:p w14:paraId="62772CC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208" w:type="pct"/>
            <w:noWrap/>
            <w:vAlign w:val="center"/>
          </w:tcPr>
          <w:p w14:paraId="10FD379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149.0 </w:t>
            </w:r>
          </w:p>
        </w:tc>
        <w:tc>
          <w:tcPr>
            <w:tcW w:w="532" w:type="pct"/>
            <w:noWrap/>
            <w:vAlign w:val="center"/>
          </w:tcPr>
          <w:p w14:paraId="5D4A81E8"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318" w:type="pct"/>
            <w:noWrap/>
            <w:vAlign w:val="center"/>
          </w:tcPr>
          <w:p w14:paraId="0E668A4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105.6 </w:t>
            </w:r>
          </w:p>
        </w:tc>
        <w:tc>
          <w:tcPr>
            <w:tcW w:w="371" w:type="pct"/>
            <w:noWrap/>
            <w:vAlign w:val="center"/>
          </w:tcPr>
          <w:p w14:paraId="0ED2CBD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03" w:type="pct"/>
            <w:noWrap/>
            <w:vAlign w:val="center"/>
          </w:tcPr>
          <w:p w14:paraId="47E1A92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202.4 </w:t>
            </w:r>
          </w:p>
        </w:tc>
        <w:tc>
          <w:tcPr>
            <w:tcW w:w="372" w:type="pct"/>
            <w:noWrap/>
            <w:vAlign w:val="center"/>
          </w:tcPr>
          <w:p w14:paraId="3722242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07" w:type="pct"/>
            <w:noWrap/>
            <w:vAlign w:val="center"/>
          </w:tcPr>
          <w:p w14:paraId="33D23C8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159.6 </w:t>
            </w:r>
          </w:p>
        </w:tc>
        <w:tc>
          <w:tcPr>
            <w:tcW w:w="392" w:type="pct"/>
            <w:noWrap/>
            <w:vAlign w:val="center"/>
          </w:tcPr>
          <w:p w14:paraId="23697FC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175" w:type="pct"/>
            <w:noWrap/>
            <w:vAlign w:val="center"/>
          </w:tcPr>
          <w:p w14:paraId="2158DD7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81.7 </w:t>
            </w:r>
          </w:p>
        </w:tc>
      </w:tr>
      <w:tr w:rsidR="006D1C3F" w14:paraId="16F04712" w14:textId="77777777">
        <w:trPr>
          <w:trHeight w:val="288"/>
        </w:trPr>
        <w:tc>
          <w:tcPr>
            <w:tcW w:w="424" w:type="pct"/>
            <w:noWrap/>
            <w:vAlign w:val="center"/>
          </w:tcPr>
          <w:p w14:paraId="3C74AE1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19" w:type="pct"/>
            <w:noWrap/>
            <w:vAlign w:val="center"/>
          </w:tcPr>
          <w:p w14:paraId="634732D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165.2 </w:t>
            </w:r>
          </w:p>
        </w:tc>
        <w:tc>
          <w:tcPr>
            <w:tcW w:w="386" w:type="pct"/>
            <w:noWrap/>
            <w:vAlign w:val="center"/>
          </w:tcPr>
          <w:p w14:paraId="3D7672C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3" w:type="pct"/>
            <w:noWrap/>
            <w:vAlign w:val="center"/>
          </w:tcPr>
          <w:p w14:paraId="041EA5E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100.2 </w:t>
            </w:r>
          </w:p>
        </w:tc>
        <w:tc>
          <w:tcPr>
            <w:tcW w:w="392" w:type="pct"/>
            <w:noWrap/>
            <w:vAlign w:val="center"/>
          </w:tcPr>
          <w:p w14:paraId="26D00FD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3" w:type="pct"/>
            <w:noWrap/>
            <w:vAlign w:val="center"/>
          </w:tcPr>
          <w:p w14:paraId="16FCCBC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175.1 </w:t>
            </w:r>
          </w:p>
        </w:tc>
        <w:tc>
          <w:tcPr>
            <w:tcW w:w="386" w:type="pct"/>
            <w:noWrap/>
            <w:vAlign w:val="center"/>
          </w:tcPr>
          <w:p w14:paraId="7B216F5F"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08" w:type="pct"/>
            <w:noWrap/>
            <w:vAlign w:val="center"/>
          </w:tcPr>
          <w:p w14:paraId="4CBA7B8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150.0 </w:t>
            </w:r>
          </w:p>
        </w:tc>
        <w:tc>
          <w:tcPr>
            <w:tcW w:w="532" w:type="pct"/>
            <w:noWrap/>
            <w:vAlign w:val="center"/>
          </w:tcPr>
          <w:p w14:paraId="2922F41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sz w:val="16"/>
                <w:szCs w:val="16"/>
              </w:rPr>
              <w:t>exp</w:t>
            </w:r>
          </w:p>
        </w:tc>
        <w:tc>
          <w:tcPr>
            <w:tcW w:w="318" w:type="pct"/>
            <w:noWrap/>
            <w:vAlign w:val="center"/>
          </w:tcPr>
          <w:p w14:paraId="3CFAF9B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123.0 </w:t>
            </w:r>
          </w:p>
        </w:tc>
        <w:tc>
          <w:tcPr>
            <w:tcW w:w="371" w:type="pct"/>
            <w:noWrap/>
            <w:vAlign w:val="center"/>
          </w:tcPr>
          <w:p w14:paraId="034A8F6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03" w:type="pct"/>
            <w:noWrap/>
            <w:vAlign w:val="center"/>
          </w:tcPr>
          <w:p w14:paraId="5E6C963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203.1 </w:t>
            </w:r>
          </w:p>
        </w:tc>
        <w:tc>
          <w:tcPr>
            <w:tcW w:w="372" w:type="pct"/>
            <w:noWrap/>
            <w:vAlign w:val="center"/>
          </w:tcPr>
          <w:p w14:paraId="06CCC65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7" w:type="pct"/>
            <w:noWrap/>
            <w:vAlign w:val="center"/>
          </w:tcPr>
          <w:p w14:paraId="78E1746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159.7 </w:t>
            </w:r>
          </w:p>
        </w:tc>
        <w:tc>
          <w:tcPr>
            <w:tcW w:w="392" w:type="pct"/>
            <w:noWrap/>
            <w:vAlign w:val="center"/>
          </w:tcPr>
          <w:p w14:paraId="7C3AB4B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175" w:type="pct"/>
            <w:noWrap/>
            <w:vAlign w:val="center"/>
          </w:tcPr>
          <w:p w14:paraId="73336D2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82.3 </w:t>
            </w:r>
          </w:p>
        </w:tc>
      </w:tr>
      <w:tr w:rsidR="006D1C3F" w14:paraId="5F8C56CE" w14:textId="77777777">
        <w:trPr>
          <w:trHeight w:val="288"/>
        </w:trPr>
        <w:tc>
          <w:tcPr>
            <w:tcW w:w="424" w:type="pct"/>
            <w:noWrap/>
            <w:vAlign w:val="center"/>
          </w:tcPr>
          <w:p w14:paraId="1AE32A6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19" w:type="pct"/>
            <w:noWrap/>
            <w:vAlign w:val="center"/>
          </w:tcPr>
          <w:p w14:paraId="17DF438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165.3 </w:t>
            </w:r>
          </w:p>
        </w:tc>
        <w:tc>
          <w:tcPr>
            <w:tcW w:w="386" w:type="pct"/>
            <w:noWrap/>
            <w:vAlign w:val="center"/>
          </w:tcPr>
          <w:p w14:paraId="6B2D96A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03" w:type="pct"/>
            <w:noWrap/>
            <w:vAlign w:val="center"/>
          </w:tcPr>
          <w:p w14:paraId="4EF8BED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100.3 </w:t>
            </w:r>
          </w:p>
        </w:tc>
        <w:tc>
          <w:tcPr>
            <w:tcW w:w="392" w:type="pct"/>
            <w:noWrap/>
            <w:vAlign w:val="center"/>
          </w:tcPr>
          <w:p w14:paraId="37BDE67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03" w:type="pct"/>
            <w:noWrap/>
            <w:vAlign w:val="center"/>
          </w:tcPr>
          <w:p w14:paraId="0B4045F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175.6 </w:t>
            </w:r>
          </w:p>
        </w:tc>
        <w:tc>
          <w:tcPr>
            <w:tcW w:w="386" w:type="pct"/>
            <w:noWrap/>
            <w:vAlign w:val="center"/>
          </w:tcPr>
          <w:p w14:paraId="3BC8040B"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08" w:type="pct"/>
            <w:noWrap/>
            <w:vAlign w:val="center"/>
          </w:tcPr>
          <w:p w14:paraId="034FFD8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152.0 </w:t>
            </w:r>
          </w:p>
        </w:tc>
        <w:tc>
          <w:tcPr>
            <w:tcW w:w="532" w:type="pct"/>
            <w:noWrap/>
            <w:vAlign w:val="center"/>
          </w:tcPr>
          <w:p w14:paraId="2EBCF9B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318" w:type="pct"/>
            <w:noWrap/>
            <w:vAlign w:val="center"/>
          </w:tcPr>
          <w:p w14:paraId="22C559C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122.2 </w:t>
            </w:r>
          </w:p>
        </w:tc>
        <w:tc>
          <w:tcPr>
            <w:tcW w:w="371" w:type="pct"/>
            <w:noWrap/>
            <w:vAlign w:val="center"/>
          </w:tcPr>
          <w:p w14:paraId="0812AFF2"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03" w:type="pct"/>
            <w:noWrap/>
            <w:vAlign w:val="center"/>
          </w:tcPr>
          <w:p w14:paraId="4FF4794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203.2 </w:t>
            </w:r>
          </w:p>
        </w:tc>
        <w:tc>
          <w:tcPr>
            <w:tcW w:w="372" w:type="pct"/>
            <w:noWrap/>
            <w:vAlign w:val="center"/>
          </w:tcPr>
          <w:p w14:paraId="70DE8D7C"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07" w:type="pct"/>
            <w:noWrap/>
            <w:vAlign w:val="center"/>
          </w:tcPr>
          <w:p w14:paraId="24E6BA5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160.5 </w:t>
            </w:r>
          </w:p>
        </w:tc>
        <w:tc>
          <w:tcPr>
            <w:tcW w:w="392" w:type="pct"/>
            <w:noWrap/>
            <w:vAlign w:val="center"/>
          </w:tcPr>
          <w:p w14:paraId="4286A16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175" w:type="pct"/>
            <w:noWrap/>
            <w:vAlign w:val="center"/>
          </w:tcPr>
          <w:p w14:paraId="41EA961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82.7 </w:t>
            </w:r>
          </w:p>
        </w:tc>
      </w:tr>
      <w:tr w:rsidR="006D1C3F" w14:paraId="7BE64A87" w14:textId="77777777">
        <w:trPr>
          <w:trHeight w:val="288"/>
        </w:trPr>
        <w:tc>
          <w:tcPr>
            <w:tcW w:w="424" w:type="pct"/>
            <w:noWrap/>
            <w:vAlign w:val="center"/>
          </w:tcPr>
          <w:p w14:paraId="25EAF90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19" w:type="pct"/>
            <w:noWrap/>
            <w:vAlign w:val="center"/>
          </w:tcPr>
          <w:p w14:paraId="425F388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165.9 </w:t>
            </w:r>
          </w:p>
        </w:tc>
        <w:tc>
          <w:tcPr>
            <w:tcW w:w="386" w:type="pct"/>
            <w:noWrap/>
            <w:vAlign w:val="center"/>
          </w:tcPr>
          <w:p w14:paraId="5A07C651"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03" w:type="pct"/>
            <w:noWrap/>
            <w:vAlign w:val="center"/>
          </w:tcPr>
          <w:p w14:paraId="774FEB4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100.5 </w:t>
            </w:r>
          </w:p>
        </w:tc>
        <w:tc>
          <w:tcPr>
            <w:tcW w:w="392" w:type="pct"/>
            <w:noWrap/>
            <w:vAlign w:val="center"/>
          </w:tcPr>
          <w:p w14:paraId="5001616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3" w:type="pct"/>
            <w:noWrap/>
            <w:vAlign w:val="center"/>
          </w:tcPr>
          <w:p w14:paraId="6001796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175.7 </w:t>
            </w:r>
          </w:p>
        </w:tc>
        <w:tc>
          <w:tcPr>
            <w:tcW w:w="386" w:type="pct"/>
            <w:noWrap/>
            <w:vAlign w:val="center"/>
          </w:tcPr>
          <w:p w14:paraId="339BB3AC"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08" w:type="pct"/>
            <w:noWrap/>
            <w:vAlign w:val="center"/>
          </w:tcPr>
          <w:p w14:paraId="774890F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154.3 </w:t>
            </w:r>
          </w:p>
        </w:tc>
        <w:tc>
          <w:tcPr>
            <w:tcW w:w="532" w:type="pct"/>
            <w:noWrap/>
            <w:vAlign w:val="center"/>
          </w:tcPr>
          <w:p w14:paraId="35EF535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318" w:type="pct"/>
            <w:noWrap/>
            <w:vAlign w:val="center"/>
          </w:tcPr>
          <w:p w14:paraId="395DF0A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125.0 </w:t>
            </w:r>
          </w:p>
        </w:tc>
        <w:tc>
          <w:tcPr>
            <w:tcW w:w="371" w:type="pct"/>
            <w:noWrap/>
            <w:vAlign w:val="center"/>
          </w:tcPr>
          <w:p w14:paraId="63E4FBCC"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03" w:type="pct"/>
            <w:noWrap/>
            <w:vAlign w:val="center"/>
          </w:tcPr>
          <w:p w14:paraId="629C9A7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204.0 </w:t>
            </w:r>
          </w:p>
        </w:tc>
        <w:tc>
          <w:tcPr>
            <w:tcW w:w="372" w:type="pct"/>
            <w:noWrap/>
            <w:vAlign w:val="center"/>
          </w:tcPr>
          <w:p w14:paraId="2CDFEEB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7" w:type="pct"/>
            <w:noWrap/>
            <w:vAlign w:val="center"/>
          </w:tcPr>
          <w:p w14:paraId="25D6215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160.8 </w:t>
            </w:r>
          </w:p>
        </w:tc>
        <w:tc>
          <w:tcPr>
            <w:tcW w:w="392" w:type="pct"/>
            <w:noWrap/>
            <w:vAlign w:val="center"/>
          </w:tcPr>
          <w:p w14:paraId="22C9392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175" w:type="pct"/>
            <w:noWrap/>
            <w:vAlign w:val="center"/>
          </w:tcPr>
          <w:p w14:paraId="1CA187D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82.8 </w:t>
            </w:r>
          </w:p>
        </w:tc>
      </w:tr>
      <w:tr w:rsidR="006D1C3F" w14:paraId="177D1F63" w14:textId="77777777">
        <w:trPr>
          <w:trHeight w:val="288"/>
        </w:trPr>
        <w:tc>
          <w:tcPr>
            <w:tcW w:w="424" w:type="pct"/>
            <w:noWrap/>
            <w:vAlign w:val="center"/>
          </w:tcPr>
          <w:p w14:paraId="4CC6190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19" w:type="pct"/>
            <w:noWrap/>
            <w:vAlign w:val="center"/>
          </w:tcPr>
          <w:p w14:paraId="66BBD2E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166.0 </w:t>
            </w:r>
          </w:p>
        </w:tc>
        <w:tc>
          <w:tcPr>
            <w:tcW w:w="386" w:type="pct"/>
            <w:noWrap/>
            <w:vAlign w:val="center"/>
          </w:tcPr>
          <w:p w14:paraId="4E95BC5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03" w:type="pct"/>
            <w:noWrap/>
            <w:vAlign w:val="center"/>
          </w:tcPr>
          <w:p w14:paraId="6166E45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100.6 </w:t>
            </w:r>
          </w:p>
        </w:tc>
        <w:tc>
          <w:tcPr>
            <w:tcW w:w="392" w:type="pct"/>
            <w:noWrap/>
            <w:vAlign w:val="center"/>
          </w:tcPr>
          <w:p w14:paraId="4353BBAC"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03" w:type="pct"/>
            <w:noWrap/>
            <w:vAlign w:val="center"/>
          </w:tcPr>
          <w:p w14:paraId="7E5380E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175.9 </w:t>
            </w:r>
          </w:p>
        </w:tc>
        <w:tc>
          <w:tcPr>
            <w:tcW w:w="386" w:type="pct"/>
            <w:noWrap/>
            <w:vAlign w:val="center"/>
          </w:tcPr>
          <w:p w14:paraId="64864DA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8" w:type="pct"/>
            <w:noWrap/>
            <w:vAlign w:val="center"/>
          </w:tcPr>
          <w:p w14:paraId="0F5DF13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154.4 </w:t>
            </w:r>
          </w:p>
        </w:tc>
        <w:tc>
          <w:tcPr>
            <w:tcW w:w="532" w:type="pct"/>
            <w:noWrap/>
            <w:vAlign w:val="center"/>
          </w:tcPr>
          <w:p w14:paraId="21FA790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318" w:type="pct"/>
            <w:noWrap/>
            <w:vAlign w:val="center"/>
          </w:tcPr>
          <w:p w14:paraId="2102036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104.2 </w:t>
            </w:r>
          </w:p>
        </w:tc>
        <w:tc>
          <w:tcPr>
            <w:tcW w:w="371" w:type="pct"/>
            <w:noWrap/>
            <w:vAlign w:val="center"/>
          </w:tcPr>
          <w:p w14:paraId="65490B3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203" w:type="pct"/>
            <w:noWrap/>
            <w:vAlign w:val="center"/>
          </w:tcPr>
          <w:p w14:paraId="3E40086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211.1 </w:t>
            </w:r>
          </w:p>
        </w:tc>
        <w:tc>
          <w:tcPr>
            <w:tcW w:w="372" w:type="pct"/>
            <w:noWrap/>
            <w:vAlign w:val="center"/>
          </w:tcPr>
          <w:p w14:paraId="399060C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7" w:type="pct"/>
            <w:noWrap/>
            <w:vAlign w:val="center"/>
          </w:tcPr>
          <w:p w14:paraId="72DE16B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161.2 </w:t>
            </w:r>
          </w:p>
        </w:tc>
        <w:tc>
          <w:tcPr>
            <w:tcW w:w="392" w:type="pct"/>
            <w:noWrap/>
            <w:vAlign w:val="center"/>
          </w:tcPr>
          <w:p w14:paraId="4D1B96C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175" w:type="pct"/>
            <w:noWrap/>
            <w:vAlign w:val="center"/>
          </w:tcPr>
          <w:p w14:paraId="3673E74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82.8 </w:t>
            </w:r>
          </w:p>
        </w:tc>
      </w:tr>
      <w:tr w:rsidR="006D1C3F" w14:paraId="44CF6938" w14:textId="77777777">
        <w:trPr>
          <w:trHeight w:val="288"/>
        </w:trPr>
        <w:tc>
          <w:tcPr>
            <w:tcW w:w="424" w:type="pct"/>
            <w:noWrap/>
            <w:vAlign w:val="center"/>
          </w:tcPr>
          <w:p w14:paraId="3629C51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19" w:type="pct"/>
            <w:noWrap/>
            <w:vAlign w:val="center"/>
          </w:tcPr>
          <w:p w14:paraId="7B7B296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166.1 </w:t>
            </w:r>
          </w:p>
        </w:tc>
        <w:tc>
          <w:tcPr>
            <w:tcW w:w="386" w:type="pct"/>
            <w:noWrap/>
            <w:vAlign w:val="center"/>
          </w:tcPr>
          <w:p w14:paraId="3EEFF55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3" w:type="pct"/>
            <w:noWrap/>
            <w:vAlign w:val="center"/>
          </w:tcPr>
          <w:p w14:paraId="16A2CE0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100.6 </w:t>
            </w:r>
          </w:p>
        </w:tc>
        <w:tc>
          <w:tcPr>
            <w:tcW w:w="392" w:type="pct"/>
            <w:noWrap/>
            <w:vAlign w:val="center"/>
          </w:tcPr>
          <w:p w14:paraId="7EC61BA8"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03" w:type="pct"/>
            <w:noWrap/>
            <w:vAlign w:val="center"/>
          </w:tcPr>
          <w:p w14:paraId="112002A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176.9 </w:t>
            </w:r>
          </w:p>
        </w:tc>
        <w:tc>
          <w:tcPr>
            <w:tcW w:w="386" w:type="pct"/>
            <w:noWrap/>
            <w:vAlign w:val="center"/>
          </w:tcPr>
          <w:p w14:paraId="1413906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8" w:type="pct"/>
            <w:noWrap/>
            <w:vAlign w:val="center"/>
          </w:tcPr>
          <w:p w14:paraId="4D98567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156.2 </w:t>
            </w:r>
          </w:p>
        </w:tc>
        <w:tc>
          <w:tcPr>
            <w:tcW w:w="532" w:type="pct"/>
            <w:noWrap/>
            <w:vAlign w:val="center"/>
          </w:tcPr>
          <w:p w14:paraId="6839641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318" w:type="pct"/>
            <w:noWrap/>
            <w:vAlign w:val="center"/>
          </w:tcPr>
          <w:p w14:paraId="7CC2099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103.1 </w:t>
            </w:r>
          </w:p>
        </w:tc>
        <w:tc>
          <w:tcPr>
            <w:tcW w:w="371" w:type="pct"/>
            <w:noWrap/>
            <w:vAlign w:val="center"/>
          </w:tcPr>
          <w:p w14:paraId="3AF7D9E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03" w:type="pct"/>
            <w:noWrap/>
            <w:vAlign w:val="center"/>
          </w:tcPr>
          <w:p w14:paraId="516E3A5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227.4 </w:t>
            </w:r>
          </w:p>
        </w:tc>
        <w:tc>
          <w:tcPr>
            <w:tcW w:w="372" w:type="pct"/>
            <w:noWrap/>
            <w:vAlign w:val="center"/>
          </w:tcPr>
          <w:p w14:paraId="0CC219B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07" w:type="pct"/>
            <w:noWrap/>
            <w:vAlign w:val="center"/>
          </w:tcPr>
          <w:p w14:paraId="0D624F9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161.5 </w:t>
            </w:r>
          </w:p>
        </w:tc>
        <w:tc>
          <w:tcPr>
            <w:tcW w:w="392" w:type="pct"/>
            <w:noWrap/>
            <w:vAlign w:val="center"/>
          </w:tcPr>
          <w:p w14:paraId="0F9404D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175" w:type="pct"/>
            <w:noWrap/>
            <w:vAlign w:val="center"/>
          </w:tcPr>
          <w:p w14:paraId="3C8B3DD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82.9 </w:t>
            </w:r>
          </w:p>
        </w:tc>
      </w:tr>
      <w:tr w:rsidR="006D1C3F" w14:paraId="617363FB" w14:textId="77777777">
        <w:trPr>
          <w:trHeight w:val="288"/>
        </w:trPr>
        <w:tc>
          <w:tcPr>
            <w:tcW w:w="424" w:type="pct"/>
            <w:noWrap/>
            <w:vAlign w:val="center"/>
          </w:tcPr>
          <w:p w14:paraId="64047191"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19" w:type="pct"/>
            <w:noWrap/>
            <w:vAlign w:val="center"/>
          </w:tcPr>
          <w:p w14:paraId="1985BAE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166.5 </w:t>
            </w:r>
          </w:p>
        </w:tc>
        <w:tc>
          <w:tcPr>
            <w:tcW w:w="386" w:type="pct"/>
            <w:noWrap/>
            <w:vAlign w:val="center"/>
          </w:tcPr>
          <w:p w14:paraId="3A608AC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03" w:type="pct"/>
            <w:noWrap/>
            <w:vAlign w:val="center"/>
          </w:tcPr>
          <w:p w14:paraId="24B90A7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100.8 </w:t>
            </w:r>
          </w:p>
        </w:tc>
        <w:tc>
          <w:tcPr>
            <w:tcW w:w="392" w:type="pct"/>
            <w:noWrap/>
            <w:vAlign w:val="center"/>
          </w:tcPr>
          <w:p w14:paraId="69D2B7E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03" w:type="pct"/>
            <w:noWrap/>
            <w:vAlign w:val="center"/>
          </w:tcPr>
          <w:p w14:paraId="53E6798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177.6 </w:t>
            </w:r>
          </w:p>
        </w:tc>
        <w:tc>
          <w:tcPr>
            <w:tcW w:w="386" w:type="pct"/>
            <w:noWrap/>
            <w:vAlign w:val="center"/>
          </w:tcPr>
          <w:p w14:paraId="4BD2057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8" w:type="pct"/>
            <w:noWrap/>
            <w:vAlign w:val="center"/>
          </w:tcPr>
          <w:p w14:paraId="5329827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156.3 </w:t>
            </w:r>
          </w:p>
        </w:tc>
        <w:tc>
          <w:tcPr>
            <w:tcW w:w="532" w:type="pct"/>
            <w:noWrap/>
            <w:vAlign w:val="center"/>
          </w:tcPr>
          <w:p w14:paraId="7A80262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318" w:type="pct"/>
            <w:noWrap/>
            <w:vAlign w:val="center"/>
          </w:tcPr>
          <w:p w14:paraId="214505E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107.2 </w:t>
            </w:r>
          </w:p>
        </w:tc>
        <w:tc>
          <w:tcPr>
            <w:tcW w:w="371" w:type="pct"/>
            <w:noWrap/>
            <w:vAlign w:val="center"/>
          </w:tcPr>
          <w:p w14:paraId="70005771"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03" w:type="pct"/>
            <w:noWrap/>
            <w:vAlign w:val="center"/>
          </w:tcPr>
          <w:p w14:paraId="582772C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229.1 </w:t>
            </w:r>
          </w:p>
        </w:tc>
        <w:tc>
          <w:tcPr>
            <w:tcW w:w="372" w:type="pct"/>
            <w:noWrap/>
            <w:vAlign w:val="center"/>
          </w:tcPr>
          <w:p w14:paraId="7C6BF9E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7" w:type="pct"/>
            <w:noWrap/>
            <w:vAlign w:val="center"/>
          </w:tcPr>
          <w:p w14:paraId="555F5ED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162.1 </w:t>
            </w:r>
          </w:p>
        </w:tc>
        <w:tc>
          <w:tcPr>
            <w:tcW w:w="392" w:type="pct"/>
            <w:noWrap/>
            <w:vAlign w:val="center"/>
          </w:tcPr>
          <w:p w14:paraId="46C77B5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175" w:type="pct"/>
            <w:noWrap/>
            <w:vAlign w:val="center"/>
          </w:tcPr>
          <w:p w14:paraId="6DD3626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82.9 </w:t>
            </w:r>
          </w:p>
        </w:tc>
      </w:tr>
      <w:tr w:rsidR="006D1C3F" w14:paraId="48F1D0BA" w14:textId="77777777">
        <w:trPr>
          <w:trHeight w:val="288"/>
        </w:trPr>
        <w:tc>
          <w:tcPr>
            <w:tcW w:w="424" w:type="pct"/>
            <w:noWrap/>
            <w:vAlign w:val="center"/>
          </w:tcPr>
          <w:p w14:paraId="22CF8E8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19" w:type="pct"/>
            <w:noWrap/>
            <w:vAlign w:val="center"/>
          </w:tcPr>
          <w:p w14:paraId="0F9C35B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167.0 </w:t>
            </w:r>
          </w:p>
        </w:tc>
        <w:tc>
          <w:tcPr>
            <w:tcW w:w="386" w:type="pct"/>
            <w:noWrap/>
            <w:vAlign w:val="center"/>
          </w:tcPr>
          <w:p w14:paraId="76C5E221"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3" w:type="pct"/>
            <w:noWrap/>
            <w:vAlign w:val="center"/>
          </w:tcPr>
          <w:p w14:paraId="208109B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101.6 </w:t>
            </w:r>
          </w:p>
        </w:tc>
        <w:tc>
          <w:tcPr>
            <w:tcW w:w="392" w:type="pct"/>
            <w:noWrap/>
            <w:vAlign w:val="center"/>
          </w:tcPr>
          <w:p w14:paraId="115EA9E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3" w:type="pct"/>
            <w:noWrap/>
            <w:vAlign w:val="center"/>
          </w:tcPr>
          <w:p w14:paraId="77A865B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177.6 </w:t>
            </w:r>
          </w:p>
        </w:tc>
        <w:tc>
          <w:tcPr>
            <w:tcW w:w="386" w:type="pct"/>
            <w:noWrap/>
            <w:vAlign w:val="center"/>
          </w:tcPr>
          <w:p w14:paraId="12523DA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8" w:type="pct"/>
            <w:noWrap/>
            <w:vAlign w:val="center"/>
          </w:tcPr>
          <w:p w14:paraId="7813D70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156.4 </w:t>
            </w:r>
          </w:p>
        </w:tc>
        <w:tc>
          <w:tcPr>
            <w:tcW w:w="532" w:type="pct"/>
            <w:noWrap/>
            <w:vAlign w:val="center"/>
          </w:tcPr>
          <w:p w14:paraId="2C2C291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318" w:type="pct"/>
            <w:noWrap/>
            <w:vAlign w:val="center"/>
          </w:tcPr>
          <w:p w14:paraId="353033A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109.2 </w:t>
            </w:r>
          </w:p>
        </w:tc>
        <w:tc>
          <w:tcPr>
            <w:tcW w:w="371" w:type="pct"/>
            <w:noWrap/>
            <w:vAlign w:val="center"/>
          </w:tcPr>
          <w:p w14:paraId="1539D27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3" w:type="pct"/>
            <w:noWrap/>
            <w:vAlign w:val="center"/>
          </w:tcPr>
          <w:p w14:paraId="664C592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272.7 </w:t>
            </w:r>
          </w:p>
        </w:tc>
        <w:tc>
          <w:tcPr>
            <w:tcW w:w="372" w:type="pct"/>
            <w:noWrap/>
            <w:vAlign w:val="center"/>
          </w:tcPr>
          <w:p w14:paraId="1A04136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7" w:type="pct"/>
            <w:noWrap/>
            <w:vAlign w:val="center"/>
          </w:tcPr>
          <w:p w14:paraId="2969ADD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162.7 </w:t>
            </w:r>
          </w:p>
        </w:tc>
        <w:tc>
          <w:tcPr>
            <w:tcW w:w="392" w:type="pct"/>
            <w:noWrap/>
            <w:vAlign w:val="center"/>
          </w:tcPr>
          <w:p w14:paraId="563ECCE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175" w:type="pct"/>
            <w:noWrap/>
            <w:vAlign w:val="center"/>
          </w:tcPr>
          <w:p w14:paraId="42476B7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83.6 </w:t>
            </w:r>
          </w:p>
        </w:tc>
      </w:tr>
      <w:tr w:rsidR="006D1C3F" w14:paraId="32E97725" w14:textId="77777777">
        <w:trPr>
          <w:trHeight w:val="288"/>
        </w:trPr>
        <w:tc>
          <w:tcPr>
            <w:tcW w:w="424" w:type="pct"/>
            <w:noWrap/>
            <w:vAlign w:val="center"/>
          </w:tcPr>
          <w:p w14:paraId="7FE1410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19" w:type="pct"/>
            <w:noWrap/>
            <w:vAlign w:val="center"/>
          </w:tcPr>
          <w:p w14:paraId="7F88214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168.0 </w:t>
            </w:r>
          </w:p>
        </w:tc>
        <w:tc>
          <w:tcPr>
            <w:tcW w:w="386" w:type="pct"/>
            <w:noWrap/>
            <w:vAlign w:val="center"/>
          </w:tcPr>
          <w:p w14:paraId="247261B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3" w:type="pct"/>
            <w:noWrap/>
            <w:vAlign w:val="center"/>
          </w:tcPr>
          <w:p w14:paraId="531B5BC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102.0 </w:t>
            </w:r>
          </w:p>
        </w:tc>
        <w:tc>
          <w:tcPr>
            <w:tcW w:w="392" w:type="pct"/>
            <w:noWrap/>
            <w:vAlign w:val="center"/>
          </w:tcPr>
          <w:p w14:paraId="5B9BF6B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3" w:type="pct"/>
            <w:noWrap/>
            <w:vAlign w:val="center"/>
          </w:tcPr>
          <w:p w14:paraId="0955CBF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179.5 </w:t>
            </w:r>
          </w:p>
        </w:tc>
        <w:tc>
          <w:tcPr>
            <w:tcW w:w="386" w:type="pct"/>
            <w:noWrap/>
            <w:vAlign w:val="center"/>
          </w:tcPr>
          <w:p w14:paraId="3B7F712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08" w:type="pct"/>
            <w:noWrap/>
            <w:vAlign w:val="center"/>
          </w:tcPr>
          <w:p w14:paraId="23244FD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156.7 </w:t>
            </w:r>
          </w:p>
        </w:tc>
        <w:tc>
          <w:tcPr>
            <w:tcW w:w="532" w:type="pct"/>
            <w:noWrap/>
            <w:vAlign w:val="center"/>
          </w:tcPr>
          <w:p w14:paraId="4316C15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318" w:type="pct"/>
            <w:noWrap/>
            <w:vAlign w:val="center"/>
          </w:tcPr>
          <w:p w14:paraId="5B0329B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105.2 </w:t>
            </w:r>
          </w:p>
        </w:tc>
        <w:tc>
          <w:tcPr>
            <w:tcW w:w="371" w:type="pct"/>
            <w:noWrap/>
            <w:vAlign w:val="center"/>
          </w:tcPr>
          <w:p w14:paraId="236399B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3" w:type="pct"/>
            <w:noWrap/>
            <w:vAlign w:val="center"/>
          </w:tcPr>
          <w:p w14:paraId="3F0D95B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275.6 </w:t>
            </w:r>
          </w:p>
        </w:tc>
        <w:tc>
          <w:tcPr>
            <w:tcW w:w="372" w:type="pct"/>
            <w:noWrap/>
            <w:vAlign w:val="center"/>
          </w:tcPr>
          <w:p w14:paraId="073668B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07" w:type="pct"/>
            <w:noWrap/>
            <w:vAlign w:val="center"/>
          </w:tcPr>
          <w:p w14:paraId="4D5B6A3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162.8 </w:t>
            </w:r>
          </w:p>
        </w:tc>
        <w:tc>
          <w:tcPr>
            <w:tcW w:w="392" w:type="pct"/>
            <w:noWrap/>
            <w:vAlign w:val="center"/>
          </w:tcPr>
          <w:p w14:paraId="47070CA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175" w:type="pct"/>
            <w:noWrap/>
            <w:vAlign w:val="center"/>
          </w:tcPr>
          <w:p w14:paraId="747E78B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83.9 </w:t>
            </w:r>
          </w:p>
        </w:tc>
      </w:tr>
      <w:tr w:rsidR="006D1C3F" w14:paraId="6ACADAFA" w14:textId="77777777">
        <w:trPr>
          <w:trHeight w:val="288"/>
        </w:trPr>
        <w:tc>
          <w:tcPr>
            <w:tcW w:w="424" w:type="pct"/>
            <w:noWrap/>
            <w:vAlign w:val="center"/>
          </w:tcPr>
          <w:p w14:paraId="418C93B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19" w:type="pct"/>
            <w:noWrap/>
            <w:vAlign w:val="center"/>
          </w:tcPr>
          <w:p w14:paraId="490AD18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168.9 </w:t>
            </w:r>
          </w:p>
        </w:tc>
        <w:tc>
          <w:tcPr>
            <w:tcW w:w="386" w:type="pct"/>
            <w:noWrap/>
            <w:vAlign w:val="center"/>
          </w:tcPr>
          <w:p w14:paraId="3F160FC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03" w:type="pct"/>
            <w:noWrap/>
            <w:vAlign w:val="center"/>
          </w:tcPr>
          <w:p w14:paraId="4C67FAF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102.2 </w:t>
            </w:r>
          </w:p>
        </w:tc>
        <w:tc>
          <w:tcPr>
            <w:tcW w:w="392" w:type="pct"/>
            <w:noWrap/>
            <w:vAlign w:val="center"/>
          </w:tcPr>
          <w:p w14:paraId="4C12CB7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3" w:type="pct"/>
            <w:noWrap/>
            <w:vAlign w:val="center"/>
          </w:tcPr>
          <w:p w14:paraId="08154F6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180.4 </w:t>
            </w:r>
          </w:p>
        </w:tc>
        <w:tc>
          <w:tcPr>
            <w:tcW w:w="386" w:type="pct"/>
            <w:noWrap/>
            <w:vAlign w:val="center"/>
          </w:tcPr>
          <w:p w14:paraId="3493155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08" w:type="pct"/>
            <w:noWrap/>
            <w:vAlign w:val="center"/>
          </w:tcPr>
          <w:p w14:paraId="09A6103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156.8 </w:t>
            </w:r>
          </w:p>
        </w:tc>
        <w:tc>
          <w:tcPr>
            <w:tcW w:w="532" w:type="pct"/>
            <w:noWrap/>
            <w:vAlign w:val="center"/>
          </w:tcPr>
          <w:p w14:paraId="42C983A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318" w:type="pct"/>
            <w:noWrap/>
            <w:vAlign w:val="center"/>
          </w:tcPr>
          <w:p w14:paraId="47CD27F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103.9 </w:t>
            </w:r>
          </w:p>
        </w:tc>
        <w:tc>
          <w:tcPr>
            <w:tcW w:w="371" w:type="pct"/>
            <w:noWrap/>
            <w:vAlign w:val="center"/>
          </w:tcPr>
          <w:p w14:paraId="2482F75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3" w:type="pct"/>
            <w:noWrap/>
            <w:vAlign w:val="center"/>
          </w:tcPr>
          <w:p w14:paraId="4F57787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300.6 </w:t>
            </w:r>
          </w:p>
        </w:tc>
        <w:tc>
          <w:tcPr>
            <w:tcW w:w="372" w:type="pct"/>
            <w:noWrap/>
            <w:vAlign w:val="center"/>
          </w:tcPr>
          <w:p w14:paraId="69B4EEA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07" w:type="pct"/>
            <w:noWrap/>
            <w:vAlign w:val="center"/>
          </w:tcPr>
          <w:p w14:paraId="5D3467D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162.8 </w:t>
            </w:r>
          </w:p>
        </w:tc>
        <w:tc>
          <w:tcPr>
            <w:tcW w:w="392" w:type="pct"/>
            <w:noWrap/>
            <w:vAlign w:val="center"/>
          </w:tcPr>
          <w:p w14:paraId="3E7F8D0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175" w:type="pct"/>
            <w:noWrap/>
            <w:vAlign w:val="center"/>
          </w:tcPr>
          <w:p w14:paraId="3E51FFB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84.3 </w:t>
            </w:r>
          </w:p>
        </w:tc>
      </w:tr>
      <w:tr w:rsidR="006D1C3F" w14:paraId="5F67F403" w14:textId="77777777">
        <w:trPr>
          <w:trHeight w:val="288"/>
        </w:trPr>
        <w:tc>
          <w:tcPr>
            <w:tcW w:w="424" w:type="pct"/>
            <w:noWrap/>
            <w:vAlign w:val="center"/>
          </w:tcPr>
          <w:p w14:paraId="033F931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19" w:type="pct"/>
            <w:noWrap/>
            <w:vAlign w:val="center"/>
          </w:tcPr>
          <w:p w14:paraId="38F9E2E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169.0 </w:t>
            </w:r>
          </w:p>
        </w:tc>
        <w:tc>
          <w:tcPr>
            <w:tcW w:w="386" w:type="pct"/>
            <w:noWrap/>
            <w:vAlign w:val="center"/>
          </w:tcPr>
          <w:p w14:paraId="65823E5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3" w:type="pct"/>
            <w:noWrap/>
            <w:vAlign w:val="center"/>
          </w:tcPr>
          <w:p w14:paraId="509F581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102.2 </w:t>
            </w:r>
          </w:p>
        </w:tc>
        <w:tc>
          <w:tcPr>
            <w:tcW w:w="392" w:type="pct"/>
            <w:noWrap/>
            <w:vAlign w:val="center"/>
          </w:tcPr>
          <w:p w14:paraId="0C03503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3" w:type="pct"/>
            <w:noWrap/>
            <w:vAlign w:val="center"/>
          </w:tcPr>
          <w:p w14:paraId="7627EF2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180.5 </w:t>
            </w:r>
          </w:p>
        </w:tc>
        <w:tc>
          <w:tcPr>
            <w:tcW w:w="386" w:type="pct"/>
            <w:noWrap/>
            <w:vAlign w:val="center"/>
          </w:tcPr>
          <w:p w14:paraId="750E30A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8" w:type="pct"/>
            <w:noWrap/>
            <w:vAlign w:val="center"/>
          </w:tcPr>
          <w:p w14:paraId="3C6CC11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156.9 </w:t>
            </w:r>
          </w:p>
        </w:tc>
        <w:tc>
          <w:tcPr>
            <w:tcW w:w="532" w:type="pct"/>
            <w:noWrap/>
            <w:vAlign w:val="center"/>
          </w:tcPr>
          <w:p w14:paraId="3338948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318" w:type="pct"/>
            <w:noWrap/>
            <w:vAlign w:val="center"/>
          </w:tcPr>
          <w:p w14:paraId="1CA5EA1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104.9 </w:t>
            </w:r>
          </w:p>
        </w:tc>
        <w:tc>
          <w:tcPr>
            <w:tcW w:w="371" w:type="pct"/>
            <w:noWrap/>
            <w:vAlign w:val="center"/>
          </w:tcPr>
          <w:p w14:paraId="241223F0"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3" w:type="pct"/>
            <w:noWrap/>
            <w:vAlign w:val="center"/>
          </w:tcPr>
          <w:p w14:paraId="66F96EC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307.7 </w:t>
            </w:r>
          </w:p>
        </w:tc>
        <w:tc>
          <w:tcPr>
            <w:tcW w:w="372" w:type="pct"/>
            <w:noWrap/>
            <w:vAlign w:val="center"/>
          </w:tcPr>
          <w:p w14:paraId="0A1B91CD"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7" w:type="pct"/>
            <w:noWrap/>
            <w:vAlign w:val="center"/>
          </w:tcPr>
          <w:p w14:paraId="5EB5203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165.4 </w:t>
            </w:r>
          </w:p>
        </w:tc>
        <w:tc>
          <w:tcPr>
            <w:tcW w:w="392" w:type="pct"/>
            <w:noWrap/>
            <w:vAlign w:val="center"/>
          </w:tcPr>
          <w:p w14:paraId="65A1C76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175" w:type="pct"/>
            <w:noWrap/>
            <w:vAlign w:val="center"/>
          </w:tcPr>
          <w:p w14:paraId="0A6BAA1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85.3 </w:t>
            </w:r>
          </w:p>
        </w:tc>
      </w:tr>
      <w:tr w:rsidR="006D1C3F" w14:paraId="41D92859" w14:textId="77777777">
        <w:trPr>
          <w:trHeight w:val="288"/>
        </w:trPr>
        <w:tc>
          <w:tcPr>
            <w:tcW w:w="424" w:type="pct"/>
            <w:noWrap/>
            <w:vAlign w:val="center"/>
          </w:tcPr>
          <w:p w14:paraId="32090CE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19" w:type="pct"/>
            <w:noWrap/>
            <w:vAlign w:val="center"/>
          </w:tcPr>
          <w:p w14:paraId="203FDBE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169.9 </w:t>
            </w:r>
          </w:p>
        </w:tc>
        <w:tc>
          <w:tcPr>
            <w:tcW w:w="386" w:type="pct"/>
            <w:noWrap/>
            <w:vAlign w:val="center"/>
          </w:tcPr>
          <w:p w14:paraId="4CE3B6F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3" w:type="pct"/>
            <w:noWrap/>
            <w:vAlign w:val="center"/>
          </w:tcPr>
          <w:p w14:paraId="56EEBBE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102.4 </w:t>
            </w:r>
          </w:p>
        </w:tc>
        <w:tc>
          <w:tcPr>
            <w:tcW w:w="392" w:type="pct"/>
            <w:noWrap/>
            <w:vAlign w:val="center"/>
          </w:tcPr>
          <w:p w14:paraId="1FAA8FA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3" w:type="pct"/>
            <w:noWrap/>
            <w:vAlign w:val="center"/>
          </w:tcPr>
          <w:p w14:paraId="6D55457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181.8 </w:t>
            </w:r>
          </w:p>
        </w:tc>
        <w:tc>
          <w:tcPr>
            <w:tcW w:w="386" w:type="pct"/>
            <w:noWrap/>
            <w:vAlign w:val="center"/>
          </w:tcPr>
          <w:p w14:paraId="7B55E91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8" w:type="pct"/>
            <w:noWrap/>
            <w:vAlign w:val="center"/>
          </w:tcPr>
          <w:p w14:paraId="29DC576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159.4 </w:t>
            </w:r>
          </w:p>
        </w:tc>
        <w:tc>
          <w:tcPr>
            <w:tcW w:w="532" w:type="pct"/>
            <w:noWrap/>
            <w:vAlign w:val="center"/>
          </w:tcPr>
          <w:p w14:paraId="0511AC8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318" w:type="pct"/>
            <w:noWrap/>
            <w:vAlign w:val="center"/>
          </w:tcPr>
          <w:p w14:paraId="1213E9D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103.8 </w:t>
            </w:r>
          </w:p>
        </w:tc>
        <w:tc>
          <w:tcPr>
            <w:tcW w:w="371" w:type="pct"/>
            <w:noWrap/>
            <w:vAlign w:val="center"/>
          </w:tcPr>
          <w:p w14:paraId="20FFC00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3" w:type="pct"/>
            <w:noWrap/>
            <w:vAlign w:val="center"/>
          </w:tcPr>
          <w:p w14:paraId="0E772A0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309.1 </w:t>
            </w:r>
          </w:p>
        </w:tc>
        <w:tc>
          <w:tcPr>
            <w:tcW w:w="372" w:type="pct"/>
            <w:noWrap/>
            <w:vAlign w:val="center"/>
          </w:tcPr>
          <w:p w14:paraId="0C944C0D"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207" w:type="pct"/>
            <w:noWrap/>
            <w:vAlign w:val="center"/>
          </w:tcPr>
          <w:p w14:paraId="30364BB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167.3 </w:t>
            </w:r>
          </w:p>
        </w:tc>
        <w:tc>
          <w:tcPr>
            <w:tcW w:w="392" w:type="pct"/>
            <w:noWrap/>
            <w:vAlign w:val="center"/>
          </w:tcPr>
          <w:p w14:paraId="2E037FC7"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175" w:type="pct"/>
            <w:noWrap/>
            <w:vAlign w:val="center"/>
          </w:tcPr>
          <w:p w14:paraId="5749B60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86.9 </w:t>
            </w:r>
          </w:p>
        </w:tc>
      </w:tr>
      <w:tr w:rsidR="006D1C3F" w14:paraId="28482617" w14:textId="77777777">
        <w:trPr>
          <w:trHeight w:val="288"/>
        </w:trPr>
        <w:tc>
          <w:tcPr>
            <w:tcW w:w="424" w:type="pct"/>
            <w:noWrap/>
            <w:vAlign w:val="center"/>
          </w:tcPr>
          <w:p w14:paraId="42EDB73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19" w:type="pct"/>
            <w:noWrap/>
            <w:vAlign w:val="center"/>
          </w:tcPr>
          <w:p w14:paraId="3499E35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171.8 </w:t>
            </w:r>
          </w:p>
        </w:tc>
        <w:tc>
          <w:tcPr>
            <w:tcW w:w="386" w:type="pct"/>
            <w:noWrap/>
            <w:vAlign w:val="center"/>
          </w:tcPr>
          <w:p w14:paraId="0EB342D8"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03" w:type="pct"/>
            <w:noWrap/>
            <w:vAlign w:val="center"/>
          </w:tcPr>
          <w:p w14:paraId="0E1821D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102.5 </w:t>
            </w:r>
          </w:p>
        </w:tc>
        <w:tc>
          <w:tcPr>
            <w:tcW w:w="392" w:type="pct"/>
            <w:noWrap/>
            <w:vAlign w:val="center"/>
          </w:tcPr>
          <w:p w14:paraId="4ED66ED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3" w:type="pct"/>
            <w:noWrap/>
            <w:vAlign w:val="center"/>
          </w:tcPr>
          <w:p w14:paraId="13665FF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182.4 </w:t>
            </w:r>
          </w:p>
        </w:tc>
        <w:tc>
          <w:tcPr>
            <w:tcW w:w="386" w:type="pct"/>
            <w:noWrap/>
            <w:vAlign w:val="center"/>
          </w:tcPr>
          <w:p w14:paraId="597C028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8" w:type="pct"/>
            <w:noWrap/>
            <w:vAlign w:val="center"/>
          </w:tcPr>
          <w:p w14:paraId="057A150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159.6 </w:t>
            </w:r>
          </w:p>
        </w:tc>
        <w:tc>
          <w:tcPr>
            <w:tcW w:w="532" w:type="pct"/>
            <w:noWrap/>
            <w:vAlign w:val="center"/>
          </w:tcPr>
          <w:p w14:paraId="37850CB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318" w:type="pct"/>
            <w:noWrap/>
            <w:vAlign w:val="center"/>
          </w:tcPr>
          <w:p w14:paraId="0645FFF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104.6 </w:t>
            </w:r>
          </w:p>
        </w:tc>
        <w:tc>
          <w:tcPr>
            <w:tcW w:w="371" w:type="pct"/>
            <w:noWrap/>
            <w:vAlign w:val="center"/>
          </w:tcPr>
          <w:p w14:paraId="467A13C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3" w:type="pct"/>
            <w:noWrap/>
            <w:vAlign w:val="center"/>
          </w:tcPr>
          <w:p w14:paraId="5456949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317.9 </w:t>
            </w:r>
          </w:p>
        </w:tc>
        <w:tc>
          <w:tcPr>
            <w:tcW w:w="372" w:type="pct"/>
            <w:noWrap/>
            <w:vAlign w:val="center"/>
          </w:tcPr>
          <w:p w14:paraId="188F14A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7" w:type="pct"/>
            <w:noWrap/>
            <w:vAlign w:val="center"/>
          </w:tcPr>
          <w:p w14:paraId="44186CE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181.3 </w:t>
            </w:r>
          </w:p>
        </w:tc>
        <w:tc>
          <w:tcPr>
            <w:tcW w:w="392" w:type="pct"/>
            <w:noWrap/>
            <w:vAlign w:val="center"/>
          </w:tcPr>
          <w:p w14:paraId="781623F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175" w:type="pct"/>
            <w:noWrap/>
            <w:vAlign w:val="center"/>
          </w:tcPr>
          <w:p w14:paraId="046EC35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90.8 </w:t>
            </w:r>
          </w:p>
        </w:tc>
      </w:tr>
      <w:tr w:rsidR="006D1C3F" w14:paraId="062F9B27" w14:textId="77777777">
        <w:trPr>
          <w:trHeight w:val="288"/>
        </w:trPr>
        <w:tc>
          <w:tcPr>
            <w:tcW w:w="424" w:type="pct"/>
            <w:noWrap/>
            <w:vAlign w:val="center"/>
          </w:tcPr>
          <w:p w14:paraId="72E9F92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19" w:type="pct"/>
            <w:noWrap/>
            <w:vAlign w:val="center"/>
          </w:tcPr>
          <w:p w14:paraId="15081AD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173.0 </w:t>
            </w:r>
          </w:p>
        </w:tc>
        <w:tc>
          <w:tcPr>
            <w:tcW w:w="386" w:type="pct"/>
            <w:noWrap/>
            <w:vAlign w:val="center"/>
          </w:tcPr>
          <w:p w14:paraId="72FB9E6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3" w:type="pct"/>
            <w:noWrap/>
            <w:vAlign w:val="center"/>
          </w:tcPr>
          <w:p w14:paraId="39F9850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103.2 </w:t>
            </w:r>
          </w:p>
        </w:tc>
        <w:tc>
          <w:tcPr>
            <w:tcW w:w="392" w:type="pct"/>
            <w:noWrap/>
            <w:vAlign w:val="center"/>
          </w:tcPr>
          <w:p w14:paraId="347137AF" w14:textId="77777777" w:rsidR="006D1C3F" w:rsidRDefault="006D1C3F">
            <w:pPr>
              <w:spacing w:line="240" w:lineRule="auto"/>
              <w:ind w:firstLineChars="0" w:firstLine="0"/>
              <w:jc w:val="center"/>
              <w:rPr>
                <w:b w:val="0"/>
                <w:bCs w:val="0"/>
                <w:color w:val="000000"/>
                <w:sz w:val="16"/>
                <w:szCs w:val="16"/>
              </w:rPr>
            </w:pPr>
          </w:p>
        </w:tc>
        <w:tc>
          <w:tcPr>
            <w:tcW w:w="203" w:type="pct"/>
            <w:noWrap/>
            <w:vAlign w:val="center"/>
          </w:tcPr>
          <w:p w14:paraId="7671FBC1" w14:textId="77777777" w:rsidR="006D1C3F" w:rsidRDefault="006D1C3F">
            <w:pPr>
              <w:spacing w:line="240" w:lineRule="auto"/>
              <w:ind w:firstLineChars="0" w:firstLine="0"/>
              <w:jc w:val="center"/>
              <w:rPr>
                <w:b w:val="0"/>
                <w:bCs w:val="0"/>
                <w:color w:val="000000"/>
                <w:sz w:val="16"/>
                <w:szCs w:val="16"/>
              </w:rPr>
            </w:pPr>
          </w:p>
        </w:tc>
        <w:tc>
          <w:tcPr>
            <w:tcW w:w="386" w:type="pct"/>
            <w:noWrap/>
            <w:vAlign w:val="center"/>
          </w:tcPr>
          <w:p w14:paraId="0DD40A6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8" w:type="pct"/>
            <w:noWrap/>
            <w:vAlign w:val="center"/>
          </w:tcPr>
          <w:p w14:paraId="1A9F216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161.2 </w:t>
            </w:r>
          </w:p>
        </w:tc>
        <w:tc>
          <w:tcPr>
            <w:tcW w:w="532" w:type="pct"/>
            <w:noWrap/>
            <w:vAlign w:val="center"/>
          </w:tcPr>
          <w:p w14:paraId="65D1310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318" w:type="pct"/>
            <w:noWrap/>
            <w:vAlign w:val="center"/>
          </w:tcPr>
          <w:p w14:paraId="2553A84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104.3 </w:t>
            </w:r>
          </w:p>
        </w:tc>
        <w:tc>
          <w:tcPr>
            <w:tcW w:w="371" w:type="pct"/>
            <w:noWrap/>
            <w:vAlign w:val="center"/>
          </w:tcPr>
          <w:p w14:paraId="156A61A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3" w:type="pct"/>
            <w:noWrap/>
            <w:vAlign w:val="center"/>
          </w:tcPr>
          <w:p w14:paraId="2D30818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318.3 </w:t>
            </w:r>
          </w:p>
        </w:tc>
        <w:tc>
          <w:tcPr>
            <w:tcW w:w="372" w:type="pct"/>
            <w:noWrap/>
            <w:vAlign w:val="center"/>
          </w:tcPr>
          <w:p w14:paraId="38E5232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7" w:type="pct"/>
            <w:noWrap/>
            <w:vAlign w:val="center"/>
          </w:tcPr>
          <w:p w14:paraId="4982819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188.4 </w:t>
            </w:r>
          </w:p>
        </w:tc>
        <w:tc>
          <w:tcPr>
            <w:tcW w:w="392" w:type="pct"/>
            <w:noWrap/>
            <w:vAlign w:val="center"/>
          </w:tcPr>
          <w:p w14:paraId="2EB218FB"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175" w:type="pct"/>
            <w:noWrap/>
            <w:vAlign w:val="center"/>
          </w:tcPr>
          <w:p w14:paraId="0175259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91.6 </w:t>
            </w:r>
          </w:p>
        </w:tc>
      </w:tr>
      <w:tr w:rsidR="006D1C3F" w14:paraId="3774F4E8" w14:textId="77777777">
        <w:trPr>
          <w:trHeight w:val="288"/>
        </w:trPr>
        <w:tc>
          <w:tcPr>
            <w:tcW w:w="4431" w:type="pct"/>
            <w:gridSpan w:val="14"/>
            <w:noWrap/>
            <w:vAlign w:val="center"/>
          </w:tcPr>
          <w:p w14:paraId="6B5FC85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PFS of second-line, crizotinib resistance</w:t>
            </w:r>
          </w:p>
        </w:tc>
        <w:tc>
          <w:tcPr>
            <w:tcW w:w="392" w:type="pct"/>
            <w:noWrap/>
            <w:vAlign w:val="center"/>
          </w:tcPr>
          <w:p w14:paraId="549668AA"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293A2A49" w14:textId="77777777" w:rsidR="006D1C3F" w:rsidRDefault="006D1C3F">
            <w:pPr>
              <w:spacing w:line="240" w:lineRule="auto"/>
              <w:ind w:firstLineChars="0" w:firstLine="0"/>
              <w:jc w:val="center"/>
              <w:rPr>
                <w:b w:val="0"/>
                <w:bCs w:val="0"/>
                <w:color w:val="000000"/>
                <w:sz w:val="16"/>
                <w:szCs w:val="16"/>
              </w:rPr>
            </w:pPr>
          </w:p>
        </w:tc>
      </w:tr>
      <w:tr w:rsidR="006D1C3F" w14:paraId="5E4D9DCD" w14:textId="77777777">
        <w:trPr>
          <w:trHeight w:val="288"/>
        </w:trPr>
        <w:tc>
          <w:tcPr>
            <w:tcW w:w="644" w:type="pct"/>
            <w:gridSpan w:val="2"/>
            <w:noWrap/>
            <w:vAlign w:val="center"/>
          </w:tcPr>
          <w:p w14:paraId="1CE43F93"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lastRenderedPageBreak/>
              <w:t>Alectinib</w:t>
            </w:r>
            <w:proofErr w:type="spellEnd"/>
          </w:p>
        </w:tc>
        <w:tc>
          <w:tcPr>
            <w:tcW w:w="589" w:type="pct"/>
            <w:gridSpan w:val="2"/>
            <w:noWrap/>
            <w:vAlign w:val="center"/>
          </w:tcPr>
          <w:p w14:paraId="7B67B55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Brigatinib</w:t>
            </w:r>
            <w:proofErr w:type="spellEnd"/>
          </w:p>
        </w:tc>
        <w:tc>
          <w:tcPr>
            <w:tcW w:w="596" w:type="pct"/>
            <w:gridSpan w:val="2"/>
            <w:noWrap/>
            <w:vAlign w:val="center"/>
          </w:tcPr>
          <w:p w14:paraId="54A449E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Ensartinib</w:t>
            </w:r>
            <w:proofErr w:type="spellEnd"/>
          </w:p>
        </w:tc>
        <w:tc>
          <w:tcPr>
            <w:tcW w:w="595" w:type="pct"/>
            <w:gridSpan w:val="2"/>
            <w:noWrap/>
            <w:vAlign w:val="center"/>
          </w:tcPr>
          <w:p w14:paraId="3DB5176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Chemotherapy</w:t>
            </w:r>
          </w:p>
        </w:tc>
        <w:tc>
          <w:tcPr>
            <w:tcW w:w="851" w:type="pct"/>
            <w:gridSpan w:val="2"/>
            <w:noWrap/>
            <w:vAlign w:val="center"/>
          </w:tcPr>
          <w:p w14:paraId="674F085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Lorlatinib</w:t>
            </w:r>
            <w:proofErr w:type="spellEnd"/>
          </w:p>
        </w:tc>
        <w:tc>
          <w:tcPr>
            <w:tcW w:w="574" w:type="pct"/>
            <w:gridSpan w:val="2"/>
            <w:noWrap/>
            <w:vAlign w:val="center"/>
          </w:tcPr>
          <w:p w14:paraId="5DFF76C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Ceritinib</w:t>
            </w:r>
            <w:proofErr w:type="spellEnd"/>
          </w:p>
        </w:tc>
        <w:tc>
          <w:tcPr>
            <w:tcW w:w="580" w:type="pct"/>
            <w:gridSpan w:val="2"/>
            <w:noWrap/>
            <w:vAlign w:val="center"/>
          </w:tcPr>
          <w:p w14:paraId="2C7C783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Iruplinalkib</w:t>
            </w:r>
            <w:proofErr w:type="spellEnd"/>
          </w:p>
        </w:tc>
        <w:tc>
          <w:tcPr>
            <w:tcW w:w="392" w:type="pct"/>
            <w:noWrap/>
            <w:vAlign w:val="center"/>
          </w:tcPr>
          <w:p w14:paraId="3E1D0AEF"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7B393FB3" w14:textId="77777777" w:rsidR="006D1C3F" w:rsidRDefault="006D1C3F">
            <w:pPr>
              <w:spacing w:line="240" w:lineRule="auto"/>
              <w:ind w:firstLineChars="0" w:firstLine="0"/>
              <w:jc w:val="center"/>
              <w:rPr>
                <w:b w:val="0"/>
                <w:bCs w:val="0"/>
                <w:color w:val="000000"/>
                <w:sz w:val="16"/>
                <w:szCs w:val="16"/>
              </w:rPr>
            </w:pPr>
          </w:p>
        </w:tc>
      </w:tr>
      <w:tr w:rsidR="006D1C3F" w14:paraId="1C85029C" w14:textId="77777777">
        <w:trPr>
          <w:trHeight w:val="288"/>
        </w:trPr>
        <w:tc>
          <w:tcPr>
            <w:tcW w:w="424" w:type="pct"/>
            <w:noWrap/>
            <w:vAlign w:val="center"/>
          </w:tcPr>
          <w:p w14:paraId="62ABB15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19" w:type="pct"/>
            <w:noWrap/>
            <w:vAlign w:val="center"/>
          </w:tcPr>
          <w:p w14:paraId="6FBF37B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86" w:type="pct"/>
            <w:noWrap/>
            <w:vAlign w:val="center"/>
          </w:tcPr>
          <w:p w14:paraId="15C92A8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3" w:type="pct"/>
            <w:noWrap/>
            <w:vAlign w:val="center"/>
          </w:tcPr>
          <w:p w14:paraId="6171DFD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92" w:type="pct"/>
            <w:noWrap/>
            <w:vAlign w:val="center"/>
          </w:tcPr>
          <w:p w14:paraId="68A5815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3" w:type="pct"/>
            <w:noWrap/>
            <w:vAlign w:val="center"/>
          </w:tcPr>
          <w:p w14:paraId="3060BE7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86" w:type="pct"/>
            <w:noWrap/>
            <w:vAlign w:val="center"/>
          </w:tcPr>
          <w:p w14:paraId="0A7730A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8" w:type="pct"/>
            <w:noWrap/>
            <w:vAlign w:val="center"/>
          </w:tcPr>
          <w:p w14:paraId="199309B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532" w:type="pct"/>
            <w:noWrap/>
            <w:vAlign w:val="center"/>
          </w:tcPr>
          <w:p w14:paraId="38E91D3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318" w:type="pct"/>
            <w:noWrap/>
            <w:vAlign w:val="center"/>
          </w:tcPr>
          <w:p w14:paraId="62123EA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71" w:type="pct"/>
            <w:noWrap/>
            <w:vAlign w:val="center"/>
          </w:tcPr>
          <w:p w14:paraId="70FAD36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3" w:type="pct"/>
            <w:noWrap/>
            <w:vAlign w:val="center"/>
          </w:tcPr>
          <w:p w14:paraId="618BFEF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72" w:type="pct"/>
            <w:noWrap/>
            <w:vAlign w:val="center"/>
          </w:tcPr>
          <w:p w14:paraId="52C2062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Model</w:t>
            </w:r>
          </w:p>
        </w:tc>
        <w:tc>
          <w:tcPr>
            <w:tcW w:w="207" w:type="pct"/>
            <w:noWrap/>
            <w:vAlign w:val="center"/>
          </w:tcPr>
          <w:p w14:paraId="7872E2A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AIC</w:t>
            </w:r>
          </w:p>
        </w:tc>
        <w:tc>
          <w:tcPr>
            <w:tcW w:w="392" w:type="pct"/>
            <w:noWrap/>
            <w:vAlign w:val="center"/>
          </w:tcPr>
          <w:p w14:paraId="6A6D19DF"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768662B0" w14:textId="77777777" w:rsidR="006D1C3F" w:rsidRDefault="006D1C3F">
            <w:pPr>
              <w:spacing w:line="240" w:lineRule="auto"/>
              <w:ind w:firstLineChars="0" w:firstLine="0"/>
              <w:jc w:val="center"/>
              <w:rPr>
                <w:b w:val="0"/>
                <w:bCs w:val="0"/>
                <w:color w:val="000000"/>
                <w:sz w:val="16"/>
                <w:szCs w:val="16"/>
              </w:rPr>
            </w:pPr>
          </w:p>
        </w:tc>
      </w:tr>
      <w:tr w:rsidR="006D1C3F" w14:paraId="3101DACD" w14:textId="77777777">
        <w:trPr>
          <w:trHeight w:val="288"/>
        </w:trPr>
        <w:tc>
          <w:tcPr>
            <w:tcW w:w="424" w:type="pct"/>
            <w:noWrap/>
            <w:vAlign w:val="center"/>
          </w:tcPr>
          <w:p w14:paraId="35C1DA23" w14:textId="77777777" w:rsidR="006D1C3F" w:rsidRDefault="00000000">
            <w:pPr>
              <w:widowControl/>
              <w:spacing w:line="240" w:lineRule="auto"/>
              <w:ind w:firstLineChars="0" w:firstLine="0"/>
              <w:jc w:val="center"/>
              <w:textAlignment w:val="center"/>
              <w:rPr>
                <w:color w:val="000000"/>
                <w:sz w:val="16"/>
                <w:szCs w:val="16"/>
              </w:rPr>
            </w:pPr>
            <w:r>
              <w:rPr>
                <w:rFonts w:hint="eastAsia"/>
                <w:color w:val="000000"/>
                <w:kern w:val="0"/>
                <w:sz w:val="16"/>
                <w:szCs w:val="16"/>
                <w:lang w:bidi="ar"/>
              </w:rPr>
              <w:t>RP-normal-1</w:t>
            </w:r>
          </w:p>
        </w:tc>
        <w:tc>
          <w:tcPr>
            <w:tcW w:w="219" w:type="pct"/>
            <w:noWrap/>
            <w:vAlign w:val="center"/>
          </w:tcPr>
          <w:p w14:paraId="68DA44C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129.2 </w:t>
            </w:r>
          </w:p>
        </w:tc>
        <w:tc>
          <w:tcPr>
            <w:tcW w:w="386" w:type="pct"/>
            <w:noWrap/>
            <w:vAlign w:val="center"/>
          </w:tcPr>
          <w:p w14:paraId="188DA538" w14:textId="77777777" w:rsidR="006D1C3F" w:rsidRDefault="00000000">
            <w:pPr>
              <w:widowControl/>
              <w:spacing w:line="240" w:lineRule="auto"/>
              <w:ind w:firstLineChars="0" w:firstLine="0"/>
              <w:jc w:val="center"/>
              <w:textAlignment w:val="center"/>
              <w:rPr>
                <w:color w:val="000000"/>
                <w:sz w:val="16"/>
                <w:szCs w:val="16"/>
              </w:rPr>
            </w:pPr>
            <w:r>
              <w:rPr>
                <w:rFonts w:hint="eastAsia"/>
                <w:color w:val="000000"/>
                <w:kern w:val="0"/>
                <w:sz w:val="16"/>
                <w:szCs w:val="16"/>
                <w:lang w:bidi="ar"/>
              </w:rPr>
              <w:t>RP-hazard-1</w:t>
            </w:r>
          </w:p>
        </w:tc>
        <w:tc>
          <w:tcPr>
            <w:tcW w:w="203" w:type="pct"/>
            <w:noWrap/>
            <w:vAlign w:val="center"/>
          </w:tcPr>
          <w:p w14:paraId="0D0812C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256.0 </w:t>
            </w:r>
          </w:p>
        </w:tc>
        <w:tc>
          <w:tcPr>
            <w:tcW w:w="392" w:type="pct"/>
            <w:noWrap/>
            <w:vAlign w:val="center"/>
          </w:tcPr>
          <w:p w14:paraId="09C580C4" w14:textId="77777777" w:rsidR="006D1C3F" w:rsidRDefault="00000000">
            <w:pPr>
              <w:widowControl/>
              <w:spacing w:line="240" w:lineRule="auto"/>
              <w:ind w:firstLineChars="0" w:firstLine="0"/>
              <w:jc w:val="center"/>
              <w:textAlignment w:val="center"/>
              <w:rPr>
                <w:color w:val="000000"/>
                <w:sz w:val="16"/>
                <w:szCs w:val="16"/>
              </w:rPr>
            </w:pPr>
            <w:proofErr w:type="spellStart"/>
            <w:r>
              <w:rPr>
                <w:rFonts w:hint="eastAsia"/>
                <w:color w:val="000000"/>
                <w:kern w:val="0"/>
                <w:sz w:val="16"/>
                <w:szCs w:val="16"/>
                <w:lang w:bidi="ar"/>
              </w:rPr>
              <w:t>gengamma</w:t>
            </w:r>
            <w:proofErr w:type="spellEnd"/>
          </w:p>
        </w:tc>
        <w:tc>
          <w:tcPr>
            <w:tcW w:w="203" w:type="pct"/>
            <w:noWrap/>
            <w:vAlign w:val="center"/>
          </w:tcPr>
          <w:p w14:paraId="78E9873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100.8 </w:t>
            </w:r>
          </w:p>
        </w:tc>
        <w:tc>
          <w:tcPr>
            <w:tcW w:w="386" w:type="pct"/>
            <w:noWrap/>
            <w:vAlign w:val="center"/>
          </w:tcPr>
          <w:p w14:paraId="31F522AC" w14:textId="77777777" w:rsidR="006D1C3F" w:rsidRDefault="00000000">
            <w:pPr>
              <w:widowControl/>
              <w:spacing w:line="240" w:lineRule="auto"/>
              <w:ind w:firstLineChars="0" w:firstLine="0"/>
              <w:jc w:val="center"/>
              <w:textAlignment w:val="center"/>
              <w:rPr>
                <w:color w:val="000000"/>
                <w:sz w:val="16"/>
                <w:szCs w:val="16"/>
              </w:rPr>
            </w:pPr>
            <w:r>
              <w:rPr>
                <w:rFonts w:hint="eastAsia"/>
                <w:color w:val="000000"/>
                <w:kern w:val="0"/>
                <w:sz w:val="16"/>
                <w:szCs w:val="16"/>
                <w:lang w:bidi="ar"/>
              </w:rPr>
              <w:t>RCS2</w:t>
            </w:r>
          </w:p>
        </w:tc>
        <w:tc>
          <w:tcPr>
            <w:tcW w:w="208" w:type="pct"/>
            <w:noWrap/>
            <w:vAlign w:val="center"/>
          </w:tcPr>
          <w:p w14:paraId="243FE44C" w14:textId="77777777" w:rsidR="006D1C3F" w:rsidRDefault="00000000">
            <w:pPr>
              <w:widowControl/>
              <w:spacing w:line="240" w:lineRule="auto"/>
              <w:ind w:firstLineChars="0" w:firstLine="0"/>
              <w:jc w:val="center"/>
              <w:textAlignment w:val="center"/>
              <w:rPr>
                <w:color w:val="000000"/>
                <w:sz w:val="16"/>
                <w:szCs w:val="16"/>
              </w:rPr>
            </w:pPr>
            <w:r>
              <w:rPr>
                <w:rFonts w:hint="eastAsia"/>
                <w:color w:val="000000"/>
                <w:kern w:val="0"/>
                <w:sz w:val="16"/>
                <w:szCs w:val="16"/>
                <w:lang w:bidi="ar"/>
              </w:rPr>
              <w:t xml:space="preserve">64.5 </w:t>
            </w:r>
          </w:p>
        </w:tc>
        <w:tc>
          <w:tcPr>
            <w:tcW w:w="532" w:type="pct"/>
            <w:noWrap/>
            <w:vAlign w:val="center"/>
          </w:tcPr>
          <w:p w14:paraId="4225F9D9" w14:textId="77777777" w:rsidR="006D1C3F" w:rsidRDefault="00000000">
            <w:pPr>
              <w:widowControl/>
              <w:spacing w:line="240" w:lineRule="auto"/>
              <w:ind w:firstLineChars="0" w:firstLine="0"/>
              <w:jc w:val="center"/>
              <w:textAlignment w:val="center"/>
              <w:rPr>
                <w:color w:val="000000"/>
                <w:sz w:val="16"/>
                <w:szCs w:val="16"/>
              </w:rPr>
            </w:pPr>
            <w:proofErr w:type="spellStart"/>
            <w:r>
              <w:rPr>
                <w:rFonts w:hint="eastAsia"/>
                <w:color w:val="000000"/>
                <w:kern w:val="0"/>
                <w:sz w:val="16"/>
                <w:szCs w:val="16"/>
                <w:lang w:bidi="ar"/>
              </w:rPr>
              <w:t>lnorm</w:t>
            </w:r>
            <w:proofErr w:type="spellEnd"/>
          </w:p>
        </w:tc>
        <w:tc>
          <w:tcPr>
            <w:tcW w:w="318" w:type="pct"/>
            <w:noWrap/>
            <w:vAlign w:val="center"/>
          </w:tcPr>
          <w:p w14:paraId="45EEC33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56.9 </w:t>
            </w:r>
          </w:p>
        </w:tc>
        <w:tc>
          <w:tcPr>
            <w:tcW w:w="371" w:type="pct"/>
            <w:noWrap/>
            <w:vAlign w:val="center"/>
          </w:tcPr>
          <w:p w14:paraId="73C2DB9B" w14:textId="77777777" w:rsidR="006D1C3F" w:rsidRDefault="00000000">
            <w:pPr>
              <w:widowControl/>
              <w:spacing w:line="240" w:lineRule="auto"/>
              <w:ind w:firstLineChars="0" w:firstLine="0"/>
              <w:jc w:val="center"/>
              <w:textAlignment w:val="center"/>
              <w:rPr>
                <w:color w:val="000000"/>
                <w:sz w:val="16"/>
                <w:szCs w:val="16"/>
              </w:rPr>
            </w:pPr>
            <w:proofErr w:type="spellStart"/>
            <w:r>
              <w:rPr>
                <w:rFonts w:hint="eastAsia"/>
                <w:color w:val="000000"/>
                <w:kern w:val="0"/>
                <w:sz w:val="16"/>
                <w:szCs w:val="16"/>
                <w:lang w:bidi="ar"/>
              </w:rPr>
              <w:t>llogis</w:t>
            </w:r>
            <w:proofErr w:type="spellEnd"/>
          </w:p>
        </w:tc>
        <w:tc>
          <w:tcPr>
            <w:tcW w:w="203" w:type="pct"/>
            <w:noWrap/>
            <w:vAlign w:val="center"/>
          </w:tcPr>
          <w:p w14:paraId="156FBAF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136.7 </w:t>
            </w:r>
          </w:p>
        </w:tc>
        <w:tc>
          <w:tcPr>
            <w:tcW w:w="372" w:type="pct"/>
            <w:noWrap/>
            <w:vAlign w:val="center"/>
          </w:tcPr>
          <w:p w14:paraId="7A64D16C" w14:textId="77777777" w:rsidR="006D1C3F" w:rsidRDefault="00000000">
            <w:pPr>
              <w:widowControl/>
              <w:spacing w:line="240" w:lineRule="auto"/>
              <w:ind w:firstLineChars="0" w:firstLine="0"/>
              <w:jc w:val="center"/>
              <w:textAlignment w:val="center"/>
              <w:rPr>
                <w:color w:val="000000"/>
                <w:sz w:val="16"/>
                <w:szCs w:val="16"/>
              </w:rPr>
            </w:pPr>
            <w:proofErr w:type="spellStart"/>
            <w:r>
              <w:rPr>
                <w:rFonts w:hint="eastAsia"/>
                <w:color w:val="000000"/>
                <w:kern w:val="0"/>
                <w:sz w:val="16"/>
                <w:szCs w:val="16"/>
                <w:lang w:bidi="ar"/>
              </w:rPr>
              <w:t>lnorm</w:t>
            </w:r>
            <w:proofErr w:type="spellEnd"/>
          </w:p>
        </w:tc>
        <w:tc>
          <w:tcPr>
            <w:tcW w:w="207" w:type="pct"/>
            <w:noWrap/>
            <w:vAlign w:val="center"/>
          </w:tcPr>
          <w:p w14:paraId="08C31CD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115.1 </w:t>
            </w:r>
          </w:p>
        </w:tc>
        <w:tc>
          <w:tcPr>
            <w:tcW w:w="392" w:type="pct"/>
            <w:noWrap/>
            <w:vAlign w:val="center"/>
          </w:tcPr>
          <w:p w14:paraId="403525B7"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51F4A244" w14:textId="77777777" w:rsidR="006D1C3F" w:rsidRDefault="006D1C3F">
            <w:pPr>
              <w:spacing w:line="240" w:lineRule="auto"/>
              <w:ind w:firstLineChars="0" w:firstLine="0"/>
              <w:jc w:val="center"/>
              <w:rPr>
                <w:b w:val="0"/>
                <w:bCs w:val="0"/>
                <w:color w:val="000000"/>
                <w:sz w:val="16"/>
                <w:szCs w:val="16"/>
              </w:rPr>
            </w:pPr>
          </w:p>
        </w:tc>
      </w:tr>
      <w:tr w:rsidR="006D1C3F" w14:paraId="2F9665E0" w14:textId="77777777">
        <w:trPr>
          <w:trHeight w:val="288"/>
        </w:trPr>
        <w:tc>
          <w:tcPr>
            <w:tcW w:w="424" w:type="pct"/>
            <w:noWrap/>
            <w:vAlign w:val="center"/>
          </w:tcPr>
          <w:p w14:paraId="2F33CAFB"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19" w:type="pct"/>
            <w:noWrap/>
            <w:vAlign w:val="center"/>
          </w:tcPr>
          <w:p w14:paraId="70FED73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134.6 </w:t>
            </w:r>
          </w:p>
        </w:tc>
        <w:tc>
          <w:tcPr>
            <w:tcW w:w="386" w:type="pct"/>
            <w:noWrap/>
            <w:vAlign w:val="center"/>
          </w:tcPr>
          <w:p w14:paraId="7B938FF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203" w:type="pct"/>
            <w:noWrap/>
            <w:vAlign w:val="center"/>
          </w:tcPr>
          <w:p w14:paraId="6706735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258.8 </w:t>
            </w:r>
          </w:p>
        </w:tc>
        <w:tc>
          <w:tcPr>
            <w:tcW w:w="392" w:type="pct"/>
            <w:noWrap/>
            <w:vAlign w:val="center"/>
          </w:tcPr>
          <w:p w14:paraId="7D8463A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03" w:type="pct"/>
            <w:noWrap/>
            <w:vAlign w:val="center"/>
          </w:tcPr>
          <w:p w14:paraId="5AF0696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101.1 </w:t>
            </w:r>
          </w:p>
        </w:tc>
        <w:tc>
          <w:tcPr>
            <w:tcW w:w="386" w:type="pct"/>
            <w:noWrap/>
            <w:vAlign w:val="center"/>
          </w:tcPr>
          <w:p w14:paraId="54080C4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08" w:type="pct"/>
            <w:noWrap/>
            <w:vAlign w:val="center"/>
          </w:tcPr>
          <w:p w14:paraId="53CAD4C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69.0 </w:t>
            </w:r>
          </w:p>
        </w:tc>
        <w:tc>
          <w:tcPr>
            <w:tcW w:w="532" w:type="pct"/>
            <w:noWrap/>
            <w:vAlign w:val="center"/>
          </w:tcPr>
          <w:p w14:paraId="2752CFB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318" w:type="pct"/>
            <w:noWrap/>
            <w:vAlign w:val="center"/>
          </w:tcPr>
          <w:p w14:paraId="2EF729A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56.9 </w:t>
            </w:r>
          </w:p>
        </w:tc>
        <w:tc>
          <w:tcPr>
            <w:tcW w:w="371" w:type="pct"/>
            <w:noWrap/>
            <w:vAlign w:val="center"/>
          </w:tcPr>
          <w:p w14:paraId="5B0679E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3" w:type="pct"/>
            <w:noWrap/>
            <w:vAlign w:val="center"/>
          </w:tcPr>
          <w:p w14:paraId="2280A67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136.7 </w:t>
            </w:r>
          </w:p>
        </w:tc>
        <w:tc>
          <w:tcPr>
            <w:tcW w:w="372" w:type="pct"/>
            <w:noWrap/>
            <w:vAlign w:val="center"/>
          </w:tcPr>
          <w:p w14:paraId="3C7FA2A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07" w:type="pct"/>
            <w:noWrap/>
            <w:vAlign w:val="center"/>
          </w:tcPr>
          <w:p w14:paraId="07900F6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115.1 </w:t>
            </w:r>
          </w:p>
        </w:tc>
        <w:tc>
          <w:tcPr>
            <w:tcW w:w="392" w:type="pct"/>
            <w:noWrap/>
            <w:vAlign w:val="center"/>
          </w:tcPr>
          <w:p w14:paraId="3CABAC5F"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21009D11" w14:textId="77777777" w:rsidR="006D1C3F" w:rsidRDefault="006D1C3F">
            <w:pPr>
              <w:spacing w:line="240" w:lineRule="auto"/>
              <w:ind w:firstLineChars="0" w:firstLine="0"/>
              <w:jc w:val="center"/>
              <w:rPr>
                <w:b w:val="0"/>
                <w:bCs w:val="0"/>
                <w:color w:val="000000"/>
                <w:sz w:val="16"/>
                <w:szCs w:val="16"/>
              </w:rPr>
            </w:pPr>
          </w:p>
        </w:tc>
      </w:tr>
      <w:tr w:rsidR="006D1C3F" w14:paraId="61F711E9" w14:textId="77777777">
        <w:trPr>
          <w:trHeight w:val="288"/>
        </w:trPr>
        <w:tc>
          <w:tcPr>
            <w:tcW w:w="424" w:type="pct"/>
            <w:noWrap/>
            <w:vAlign w:val="center"/>
          </w:tcPr>
          <w:p w14:paraId="37CF0DE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19" w:type="pct"/>
            <w:noWrap/>
            <w:vAlign w:val="center"/>
          </w:tcPr>
          <w:p w14:paraId="1D55345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135.3 </w:t>
            </w:r>
          </w:p>
        </w:tc>
        <w:tc>
          <w:tcPr>
            <w:tcW w:w="386" w:type="pct"/>
            <w:noWrap/>
            <w:vAlign w:val="center"/>
          </w:tcPr>
          <w:p w14:paraId="68C64DF0"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03" w:type="pct"/>
            <w:noWrap/>
            <w:vAlign w:val="center"/>
          </w:tcPr>
          <w:p w14:paraId="1AA8E9F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260.1 </w:t>
            </w:r>
          </w:p>
        </w:tc>
        <w:tc>
          <w:tcPr>
            <w:tcW w:w="392" w:type="pct"/>
            <w:noWrap/>
            <w:vAlign w:val="center"/>
          </w:tcPr>
          <w:p w14:paraId="5D23C91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03" w:type="pct"/>
            <w:noWrap/>
            <w:vAlign w:val="center"/>
          </w:tcPr>
          <w:p w14:paraId="40E78CC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101.3 </w:t>
            </w:r>
          </w:p>
        </w:tc>
        <w:tc>
          <w:tcPr>
            <w:tcW w:w="386" w:type="pct"/>
            <w:noWrap/>
            <w:vAlign w:val="center"/>
          </w:tcPr>
          <w:p w14:paraId="0E111C1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08" w:type="pct"/>
            <w:noWrap/>
            <w:vAlign w:val="center"/>
          </w:tcPr>
          <w:p w14:paraId="4170729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69.7 </w:t>
            </w:r>
          </w:p>
        </w:tc>
        <w:tc>
          <w:tcPr>
            <w:tcW w:w="532" w:type="pct"/>
            <w:noWrap/>
            <w:vAlign w:val="center"/>
          </w:tcPr>
          <w:p w14:paraId="11E977A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318" w:type="pct"/>
            <w:noWrap/>
            <w:vAlign w:val="center"/>
          </w:tcPr>
          <w:p w14:paraId="449F34B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57.0 </w:t>
            </w:r>
          </w:p>
        </w:tc>
        <w:tc>
          <w:tcPr>
            <w:tcW w:w="371" w:type="pct"/>
            <w:noWrap/>
            <w:vAlign w:val="center"/>
          </w:tcPr>
          <w:p w14:paraId="2AB6AA3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3" w:type="pct"/>
            <w:noWrap/>
            <w:vAlign w:val="center"/>
          </w:tcPr>
          <w:p w14:paraId="3CAD20B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139.1 </w:t>
            </w:r>
          </w:p>
        </w:tc>
        <w:tc>
          <w:tcPr>
            <w:tcW w:w="372" w:type="pct"/>
            <w:noWrap/>
            <w:vAlign w:val="center"/>
          </w:tcPr>
          <w:p w14:paraId="58CC649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07" w:type="pct"/>
            <w:noWrap/>
            <w:vAlign w:val="center"/>
          </w:tcPr>
          <w:p w14:paraId="343CE95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116.6 </w:t>
            </w:r>
          </w:p>
        </w:tc>
        <w:tc>
          <w:tcPr>
            <w:tcW w:w="392" w:type="pct"/>
            <w:noWrap/>
            <w:vAlign w:val="center"/>
          </w:tcPr>
          <w:p w14:paraId="1FCFEC85"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06B17C38" w14:textId="77777777" w:rsidR="006D1C3F" w:rsidRDefault="006D1C3F">
            <w:pPr>
              <w:spacing w:line="240" w:lineRule="auto"/>
              <w:ind w:firstLineChars="0" w:firstLine="0"/>
              <w:jc w:val="center"/>
              <w:rPr>
                <w:b w:val="0"/>
                <w:bCs w:val="0"/>
                <w:color w:val="000000"/>
                <w:sz w:val="16"/>
                <w:szCs w:val="16"/>
              </w:rPr>
            </w:pPr>
          </w:p>
        </w:tc>
      </w:tr>
      <w:tr w:rsidR="006D1C3F" w14:paraId="6609087D" w14:textId="77777777">
        <w:trPr>
          <w:trHeight w:val="288"/>
        </w:trPr>
        <w:tc>
          <w:tcPr>
            <w:tcW w:w="424" w:type="pct"/>
            <w:noWrap/>
            <w:vAlign w:val="center"/>
          </w:tcPr>
          <w:p w14:paraId="5E76FFD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219" w:type="pct"/>
            <w:noWrap/>
            <w:vAlign w:val="center"/>
          </w:tcPr>
          <w:p w14:paraId="1642DAE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129.2 </w:t>
            </w:r>
          </w:p>
        </w:tc>
        <w:tc>
          <w:tcPr>
            <w:tcW w:w="386" w:type="pct"/>
            <w:noWrap/>
            <w:vAlign w:val="center"/>
          </w:tcPr>
          <w:p w14:paraId="1DD41E3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3" w:type="pct"/>
            <w:noWrap/>
            <w:vAlign w:val="center"/>
          </w:tcPr>
          <w:p w14:paraId="6D98F9F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260.8 </w:t>
            </w:r>
          </w:p>
        </w:tc>
        <w:tc>
          <w:tcPr>
            <w:tcW w:w="392" w:type="pct"/>
            <w:noWrap/>
            <w:vAlign w:val="center"/>
          </w:tcPr>
          <w:p w14:paraId="20B9DFC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03" w:type="pct"/>
            <w:noWrap/>
            <w:vAlign w:val="center"/>
          </w:tcPr>
          <w:p w14:paraId="15CAC2E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101.5 </w:t>
            </w:r>
          </w:p>
        </w:tc>
        <w:tc>
          <w:tcPr>
            <w:tcW w:w="386" w:type="pct"/>
            <w:noWrap/>
            <w:vAlign w:val="center"/>
          </w:tcPr>
          <w:p w14:paraId="1EA45AE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8" w:type="pct"/>
            <w:noWrap/>
            <w:vAlign w:val="center"/>
          </w:tcPr>
          <w:p w14:paraId="223F5BB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69.7 </w:t>
            </w:r>
          </w:p>
        </w:tc>
        <w:tc>
          <w:tcPr>
            <w:tcW w:w="532" w:type="pct"/>
            <w:noWrap/>
            <w:vAlign w:val="center"/>
          </w:tcPr>
          <w:p w14:paraId="73ADECCB"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318" w:type="pct"/>
            <w:noWrap/>
            <w:vAlign w:val="center"/>
          </w:tcPr>
          <w:p w14:paraId="726210D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57.4 </w:t>
            </w:r>
          </w:p>
        </w:tc>
        <w:tc>
          <w:tcPr>
            <w:tcW w:w="371" w:type="pct"/>
            <w:noWrap/>
            <w:vAlign w:val="center"/>
          </w:tcPr>
          <w:p w14:paraId="372E0ED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03" w:type="pct"/>
            <w:noWrap/>
            <w:vAlign w:val="center"/>
          </w:tcPr>
          <w:p w14:paraId="7CFCCB4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139.8 </w:t>
            </w:r>
          </w:p>
        </w:tc>
        <w:tc>
          <w:tcPr>
            <w:tcW w:w="372" w:type="pct"/>
            <w:noWrap/>
            <w:vAlign w:val="center"/>
          </w:tcPr>
          <w:p w14:paraId="090FA6A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07" w:type="pct"/>
            <w:noWrap/>
            <w:vAlign w:val="center"/>
          </w:tcPr>
          <w:p w14:paraId="38794DA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116.7 </w:t>
            </w:r>
          </w:p>
        </w:tc>
        <w:tc>
          <w:tcPr>
            <w:tcW w:w="392" w:type="pct"/>
            <w:noWrap/>
            <w:vAlign w:val="center"/>
          </w:tcPr>
          <w:p w14:paraId="20A5CD1A"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13BA1D77" w14:textId="77777777" w:rsidR="006D1C3F" w:rsidRDefault="006D1C3F">
            <w:pPr>
              <w:spacing w:line="240" w:lineRule="auto"/>
              <w:ind w:firstLineChars="0" w:firstLine="0"/>
              <w:jc w:val="center"/>
              <w:rPr>
                <w:b w:val="0"/>
                <w:bCs w:val="0"/>
                <w:color w:val="000000"/>
                <w:sz w:val="16"/>
                <w:szCs w:val="16"/>
              </w:rPr>
            </w:pPr>
          </w:p>
        </w:tc>
      </w:tr>
      <w:tr w:rsidR="006D1C3F" w14:paraId="4BED1AB8" w14:textId="77777777">
        <w:trPr>
          <w:trHeight w:val="288"/>
        </w:trPr>
        <w:tc>
          <w:tcPr>
            <w:tcW w:w="424" w:type="pct"/>
            <w:noWrap/>
            <w:vAlign w:val="center"/>
          </w:tcPr>
          <w:p w14:paraId="03978E5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19" w:type="pct"/>
            <w:noWrap/>
            <w:vAlign w:val="center"/>
          </w:tcPr>
          <w:p w14:paraId="683C346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131.2 </w:t>
            </w:r>
          </w:p>
        </w:tc>
        <w:tc>
          <w:tcPr>
            <w:tcW w:w="386" w:type="pct"/>
            <w:noWrap/>
            <w:vAlign w:val="center"/>
          </w:tcPr>
          <w:p w14:paraId="68B4733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03" w:type="pct"/>
            <w:noWrap/>
            <w:vAlign w:val="center"/>
          </w:tcPr>
          <w:p w14:paraId="6DB41C1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261.0 </w:t>
            </w:r>
          </w:p>
        </w:tc>
        <w:tc>
          <w:tcPr>
            <w:tcW w:w="392" w:type="pct"/>
            <w:noWrap/>
            <w:vAlign w:val="center"/>
          </w:tcPr>
          <w:p w14:paraId="31A6201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203" w:type="pct"/>
            <w:noWrap/>
            <w:vAlign w:val="center"/>
          </w:tcPr>
          <w:p w14:paraId="4D297FF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101.7 </w:t>
            </w:r>
          </w:p>
        </w:tc>
        <w:tc>
          <w:tcPr>
            <w:tcW w:w="386" w:type="pct"/>
            <w:noWrap/>
            <w:vAlign w:val="center"/>
          </w:tcPr>
          <w:p w14:paraId="4C20469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08" w:type="pct"/>
            <w:noWrap/>
            <w:vAlign w:val="center"/>
          </w:tcPr>
          <w:p w14:paraId="0D40A00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70.2 </w:t>
            </w:r>
          </w:p>
        </w:tc>
        <w:tc>
          <w:tcPr>
            <w:tcW w:w="532" w:type="pct"/>
            <w:noWrap/>
            <w:vAlign w:val="center"/>
          </w:tcPr>
          <w:p w14:paraId="034783C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318" w:type="pct"/>
            <w:noWrap/>
            <w:vAlign w:val="center"/>
          </w:tcPr>
          <w:p w14:paraId="699770B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58.5 </w:t>
            </w:r>
          </w:p>
        </w:tc>
        <w:tc>
          <w:tcPr>
            <w:tcW w:w="371" w:type="pct"/>
            <w:noWrap/>
            <w:vAlign w:val="center"/>
          </w:tcPr>
          <w:p w14:paraId="71CAF26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03" w:type="pct"/>
            <w:noWrap/>
            <w:vAlign w:val="center"/>
          </w:tcPr>
          <w:p w14:paraId="11C1F11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139.9 </w:t>
            </w:r>
          </w:p>
        </w:tc>
        <w:tc>
          <w:tcPr>
            <w:tcW w:w="372" w:type="pct"/>
            <w:noWrap/>
            <w:vAlign w:val="center"/>
          </w:tcPr>
          <w:p w14:paraId="584B0ED8"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07" w:type="pct"/>
            <w:noWrap/>
            <w:vAlign w:val="center"/>
          </w:tcPr>
          <w:p w14:paraId="5285483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116.7 </w:t>
            </w:r>
          </w:p>
        </w:tc>
        <w:tc>
          <w:tcPr>
            <w:tcW w:w="392" w:type="pct"/>
            <w:noWrap/>
            <w:vAlign w:val="center"/>
          </w:tcPr>
          <w:p w14:paraId="5E3128D8"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1EF8DAC3" w14:textId="77777777" w:rsidR="006D1C3F" w:rsidRDefault="006D1C3F">
            <w:pPr>
              <w:spacing w:line="240" w:lineRule="auto"/>
              <w:ind w:firstLineChars="0" w:firstLine="0"/>
              <w:jc w:val="center"/>
              <w:rPr>
                <w:b w:val="0"/>
                <w:bCs w:val="0"/>
                <w:color w:val="000000"/>
                <w:sz w:val="16"/>
                <w:szCs w:val="16"/>
              </w:rPr>
            </w:pPr>
          </w:p>
        </w:tc>
      </w:tr>
      <w:tr w:rsidR="006D1C3F" w14:paraId="3D7D8D25" w14:textId="77777777">
        <w:trPr>
          <w:trHeight w:val="288"/>
        </w:trPr>
        <w:tc>
          <w:tcPr>
            <w:tcW w:w="424" w:type="pct"/>
            <w:noWrap/>
            <w:vAlign w:val="center"/>
          </w:tcPr>
          <w:p w14:paraId="6226E14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19" w:type="pct"/>
            <w:noWrap/>
            <w:vAlign w:val="center"/>
          </w:tcPr>
          <w:p w14:paraId="089E4CB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129.5 </w:t>
            </w:r>
          </w:p>
        </w:tc>
        <w:tc>
          <w:tcPr>
            <w:tcW w:w="386" w:type="pct"/>
            <w:noWrap/>
            <w:vAlign w:val="center"/>
          </w:tcPr>
          <w:p w14:paraId="3BF21173"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03" w:type="pct"/>
            <w:noWrap/>
            <w:vAlign w:val="center"/>
          </w:tcPr>
          <w:p w14:paraId="5094441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261.0 </w:t>
            </w:r>
          </w:p>
        </w:tc>
        <w:tc>
          <w:tcPr>
            <w:tcW w:w="392" w:type="pct"/>
            <w:noWrap/>
            <w:vAlign w:val="center"/>
          </w:tcPr>
          <w:p w14:paraId="6305F67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03" w:type="pct"/>
            <w:noWrap/>
            <w:vAlign w:val="center"/>
          </w:tcPr>
          <w:p w14:paraId="76CDC6B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101.7 </w:t>
            </w:r>
          </w:p>
        </w:tc>
        <w:tc>
          <w:tcPr>
            <w:tcW w:w="386" w:type="pct"/>
            <w:noWrap/>
            <w:vAlign w:val="center"/>
          </w:tcPr>
          <w:p w14:paraId="4F4E3CB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08" w:type="pct"/>
            <w:noWrap/>
            <w:vAlign w:val="center"/>
          </w:tcPr>
          <w:p w14:paraId="077D171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73.8 </w:t>
            </w:r>
          </w:p>
        </w:tc>
        <w:tc>
          <w:tcPr>
            <w:tcW w:w="532" w:type="pct"/>
            <w:noWrap/>
            <w:vAlign w:val="center"/>
          </w:tcPr>
          <w:p w14:paraId="64EAE36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318" w:type="pct"/>
            <w:noWrap/>
            <w:vAlign w:val="center"/>
          </w:tcPr>
          <w:p w14:paraId="2222ECC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58.6 </w:t>
            </w:r>
          </w:p>
        </w:tc>
        <w:tc>
          <w:tcPr>
            <w:tcW w:w="371" w:type="pct"/>
            <w:noWrap/>
            <w:vAlign w:val="center"/>
          </w:tcPr>
          <w:p w14:paraId="30E1E8D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03" w:type="pct"/>
            <w:noWrap/>
            <w:vAlign w:val="center"/>
          </w:tcPr>
          <w:p w14:paraId="65ADEDB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141.5 </w:t>
            </w:r>
          </w:p>
        </w:tc>
        <w:tc>
          <w:tcPr>
            <w:tcW w:w="372" w:type="pct"/>
            <w:noWrap/>
            <w:vAlign w:val="center"/>
          </w:tcPr>
          <w:p w14:paraId="5C86A55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7" w:type="pct"/>
            <w:noWrap/>
            <w:vAlign w:val="center"/>
          </w:tcPr>
          <w:p w14:paraId="34818BC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116.7 </w:t>
            </w:r>
          </w:p>
        </w:tc>
        <w:tc>
          <w:tcPr>
            <w:tcW w:w="392" w:type="pct"/>
            <w:noWrap/>
            <w:vAlign w:val="center"/>
          </w:tcPr>
          <w:p w14:paraId="68DBA888"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4DDD4A70" w14:textId="77777777" w:rsidR="006D1C3F" w:rsidRDefault="006D1C3F">
            <w:pPr>
              <w:spacing w:line="240" w:lineRule="auto"/>
              <w:ind w:firstLineChars="0" w:firstLine="0"/>
              <w:jc w:val="center"/>
              <w:rPr>
                <w:b w:val="0"/>
                <w:bCs w:val="0"/>
                <w:color w:val="000000"/>
                <w:sz w:val="16"/>
                <w:szCs w:val="16"/>
              </w:rPr>
            </w:pPr>
          </w:p>
        </w:tc>
      </w:tr>
      <w:tr w:rsidR="006D1C3F" w14:paraId="27FCB099" w14:textId="77777777">
        <w:trPr>
          <w:trHeight w:val="288"/>
        </w:trPr>
        <w:tc>
          <w:tcPr>
            <w:tcW w:w="424" w:type="pct"/>
            <w:noWrap/>
            <w:vAlign w:val="center"/>
          </w:tcPr>
          <w:p w14:paraId="149C91D8"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19" w:type="pct"/>
            <w:noWrap/>
            <w:vAlign w:val="center"/>
          </w:tcPr>
          <w:p w14:paraId="5593D74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131.1 </w:t>
            </w:r>
          </w:p>
        </w:tc>
        <w:tc>
          <w:tcPr>
            <w:tcW w:w="386" w:type="pct"/>
            <w:noWrap/>
            <w:vAlign w:val="center"/>
          </w:tcPr>
          <w:p w14:paraId="23B7518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03" w:type="pct"/>
            <w:noWrap/>
            <w:vAlign w:val="center"/>
          </w:tcPr>
          <w:p w14:paraId="4AC0915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261.1 </w:t>
            </w:r>
          </w:p>
        </w:tc>
        <w:tc>
          <w:tcPr>
            <w:tcW w:w="392" w:type="pct"/>
            <w:noWrap/>
            <w:vAlign w:val="center"/>
          </w:tcPr>
          <w:p w14:paraId="5894D83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03" w:type="pct"/>
            <w:noWrap/>
            <w:vAlign w:val="center"/>
          </w:tcPr>
          <w:p w14:paraId="6137FB3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102.8 </w:t>
            </w:r>
          </w:p>
        </w:tc>
        <w:tc>
          <w:tcPr>
            <w:tcW w:w="386" w:type="pct"/>
            <w:noWrap/>
            <w:vAlign w:val="center"/>
          </w:tcPr>
          <w:p w14:paraId="3BAC63A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8" w:type="pct"/>
            <w:noWrap/>
            <w:vAlign w:val="center"/>
          </w:tcPr>
          <w:p w14:paraId="5F77401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73.9 </w:t>
            </w:r>
          </w:p>
        </w:tc>
        <w:tc>
          <w:tcPr>
            <w:tcW w:w="532" w:type="pct"/>
            <w:noWrap/>
            <w:vAlign w:val="center"/>
          </w:tcPr>
          <w:p w14:paraId="7CE20D4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318" w:type="pct"/>
            <w:noWrap/>
            <w:vAlign w:val="center"/>
          </w:tcPr>
          <w:p w14:paraId="0723C6E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58.7 </w:t>
            </w:r>
          </w:p>
        </w:tc>
        <w:tc>
          <w:tcPr>
            <w:tcW w:w="371" w:type="pct"/>
            <w:noWrap/>
            <w:vAlign w:val="center"/>
          </w:tcPr>
          <w:p w14:paraId="0292D75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03" w:type="pct"/>
            <w:noWrap/>
            <w:vAlign w:val="center"/>
          </w:tcPr>
          <w:p w14:paraId="565C511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141.8 </w:t>
            </w:r>
          </w:p>
        </w:tc>
        <w:tc>
          <w:tcPr>
            <w:tcW w:w="372" w:type="pct"/>
            <w:noWrap/>
            <w:vAlign w:val="center"/>
          </w:tcPr>
          <w:p w14:paraId="2E9FBE71"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07" w:type="pct"/>
            <w:noWrap/>
            <w:vAlign w:val="center"/>
          </w:tcPr>
          <w:p w14:paraId="4159D2C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117.0 </w:t>
            </w:r>
          </w:p>
        </w:tc>
        <w:tc>
          <w:tcPr>
            <w:tcW w:w="392" w:type="pct"/>
            <w:noWrap/>
            <w:vAlign w:val="center"/>
          </w:tcPr>
          <w:p w14:paraId="2DF84BC7"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297FD435" w14:textId="77777777" w:rsidR="006D1C3F" w:rsidRDefault="006D1C3F">
            <w:pPr>
              <w:spacing w:line="240" w:lineRule="auto"/>
              <w:ind w:firstLineChars="0" w:firstLine="0"/>
              <w:jc w:val="center"/>
              <w:rPr>
                <w:b w:val="0"/>
                <w:bCs w:val="0"/>
                <w:color w:val="000000"/>
                <w:sz w:val="16"/>
                <w:szCs w:val="16"/>
              </w:rPr>
            </w:pPr>
          </w:p>
        </w:tc>
      </w:tr>
      <w:tr w:rsidR="006D1C3F" w14:paraId="2FC970DC" w14:textId="77777777">
        <w:trPr>
          <w:trHeight w:val="288"/>
        </w:trPr>
        <w:tc>
          <w:tcPr>
            <w:tcW w:w="424" w:type="pct"/>
            <w:noWrap/>
            <w:vAlign w:val="center"/>
          </w:tcPr>
          <w:p w14:paraId="240FB207"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19" w:type="pct"/>
            <w:noWrap/>
            <w:vAlign w:val="center"/>
          </w:tcPr>
          <w:p w14:paraId="092D853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132.9 </w:t>
            </w:r>
          </w:p>
        </w:tc>
        <w:tc>
          <w:tcPr>
            <w:tcW w:w="386" w:type="pct"/>
            <w:noWrap/>
            <w:vAlign w:val="center"/>
          </w:tcPr>
          <w:p w14:paraId="325C848B"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03" w:type="pct"/>
            <w:noWrap/>
            <w:vAlign w:val="center"/>
          </w:tcPr>
          <w:p w14:paraId="2255A21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262.7 </w:t>
            </w:r>
          </w:p>
        </w:tc>
        <w:tc>
          <w:tcPr>
            <w:tcW w:w="392" w:type="pct"/>
            <w:noWrap/>
            <w:vAlign w:val="center"/>
          </w:tcPr>
          <w:p w14:paraId="4A38EF4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03" w:type="pct"/>
            <w:noWrap/>
            <w:vAlign w:val="center"/>
          </w:tcPr>
          <w:p w14:paraId="054142B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104.9 </w:t>
            </w:r>
          </w:p>
        </w:tc>
        <w:tc>
          <w:tcPr>
            <w:tcW w:w="386" w:type="pct"/>
            <w:noWrap/>
            <w:vAlign w:val="center"/>
          </w:tcPr>
          <w:p w14:paraId="33A9A6A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8" w:type="pct"/>
            <w:noWrap/>
            <w:vAlign w:val="center"/>
          </w:tcPr>
          <w:p w14:paraId="0E6BEAC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78.5 </w:t>
            </w:r>
          </w:p>
        </w:tc>
        <w:tc>
          <w:tcPr>
            <w:tcW w:w="532" w:type="pct"/>
            <w:noWrap/>
            <w:vAlign w:val="center"/>
          </w:tcPr>
          <w:p w14:paraId="5D1B9DE7"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318" w:type="pct"/>
            <w:noWrap/>
            <w:vAlign w:val="center"/>
          </w:tcPr>
          <w:p w14:paraId="0785822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59.1 </w:t>
            </w:r>
          </w:p>
        </w:tc>
        <w:tc>
          <w:tcPr>
            <w:tcW w:w="371" w:type="pct"/>
            <w:noWrap/>
            <w:vAlign w:val="center"/>
          </w:tcPr>
          <w:p w14:paraId="27E001B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03" w:type="pct"/>
            <w:noWrap/>
            <w:vAlign w:val="center"/>
          </w:tcPr>
          <w:p w14:paraId="57ADBB1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143.1 </w:t>
            </w:r>
          </w:p>
        </w:tc>
        <w:tc>
          <w:tcPr>
            <w:tcW w:w="372" w:type="pct"/>
            <w:noWrap/>
            <w:vAlign w:val="center"/>
          </w:tcPr>
          <w:p w14:paraId="3EF0433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07" w:type="pct"/>
            <w:noWrap/>
            <w:vAlign w:val="center"/>
          </w:tcPr>
          <w:p w14:paraId="2250771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117.0 </w:t>
            </w:r>
          </w:p>
        </w:tc>
        <w:tc>
          <w:tcPr>
            <w:tcW w:w="392" w:type="pct"/>
            <w:noWrap/>
            <w:vAlign w:val="center"/>
          </w:tcPr>
          <w:p w14:paraId="03F597D5"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7FCE7E1F" w14:textId="77777777" w:rsidR="006D1C3F" w:rsidRDefault="006D1C3F">
            <w:pPr>
              <w:spacing w:line="240" w:lineRule="auto"/>
              <w:ind w:firstLineChars="0" w:firstLine="0"/>
              <w:jc w:val="center"/>
              <w:rPr>
                <w:b w:val="0"/>
                <w:bCs w:val="0"/>
                <w:color w:val="000000"/>
                <w:sz w:val="16"/>
                <w:szCs w:val="16"/>
              </w:rPr>
            </w:pPr>
          </w:p>
        </w:tc>
      </w:tr>
      <w:tr w:rsidR="006D1C3F" w14:paraId="0B68C700" w14:textId="77777777">
        <w:trPr>
          <w:trHeight w:val="288"/>
        </w:trPr>
        <w:tc>
          <w:tcPr>
            <w:tcW w:w="424" w:type="pct"/>
            <w:noWrap/>
            <w:vAlign w:val="center"/>
          </w:tcPr>
          <w:p w14:paraId="5DFB7CA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19" w:type="pct"/>
            <w:noWrap/>
            <w:vAlign w:val="center"/>
          </w:tcPr>
          <w:p w14:paraId="13EA704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137.7 </w:t>
            </w:r>
          </w:p>
        </w:tc>
        <w:tc>
          <w:tcPr>
            <w:tcW w:w="386" w:type="pct"/>
            <w:noWrap/>
            <w:vAlign w:val="center"/>
          </w:tcPr>
          <w:p w14:paraId="23E3456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03" w:type="pct"/>
            <w:noWrap/>
            <w:vAlign w:val="center"/>
          </w:tcPr>
          <w:p w14:paraId="60EACE9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264.1 </w:t>
            </w:r>
          </w:p>
        </w:tc>
        <w:tc>
          <w:tcPr>
            <w:tcW w:w="392" w:type="pct"/>
            <w:noWrap/>
            <w:vAlign w:val="center"/>
          </w:tcPr>
          <w:p w14:paraId="2B057EC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3" w:type="pct"/>
            <w:noWrap/>
            <w:vAlign w:val="center"/>
          </w:tcPr>
          <w:p w14:paraId="0CDE84E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105.6 </w:t>
            </w:r>
          </w:p>
        </w:tc>
        <w:tc>
          <w:tcPr>
            <w:tcW w:w="386" w:type="pct"/>
            <w:noWrap/>
            <w:vAlign w:val="center"/>
          </w:tcPr>
          <w:p w14:paraId="4F9D19C9"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08" w:type="pct"/>
            <w:noWrap/>
            <w:vAlign w:val="center"/>
          </w:tcPr>
          <w:p w14:paraId="58F310A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81.3 </w:t>
            </w:r>
          </w:p>
        </w:tc>
        <w:tc>
          <w:tcPr>
            <w:tcW w:w="532" w:type="pct"/>
            <w:noWrap/>
            <w:vAlign w:val="center"/>
          </w:tcPr>
          <w:p w14:paraId="7FD1DDC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318" w:type="pct"/>
            <w:noWrap/>
            <w:vAlign w:val="center"/>
          </w:tcPr>
          <w:p w14:paraId="3137289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59.1 </w:t>
            </w:r>
          </w:p>
        </w:tc>
        <w:tc>
          <w:tcPr>
            <w:tcW w:w="371" w:type="pct"/>
            <w:noWrap/>
            <w:vAlign w:val="center"/>
          </w:tcPr>
          <w:p w14:paraId="2C1BF88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3" w:type="pct"/>
            <w:noWrap/>
            <w:vAlign w:val="center"/>
          </w:tcPr>
          <w:p w14:paraId="481B03B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143.1 </w:t>
            </w:r>
          </w:p>
        </w:tc>
        <w:tc>
          <w:tcPr>
            <w:tcW w:w="372" w:type="pct"/>
            <w:noWrap/>
            <w:vAlign w:val="center"/>
          </w:tcPr>
          <w:p w14:paraId="4F69D8F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7" w:type="pct"/>
            <w:noWrap/>
            <w:vAlign w:val="center"/>
          </w:tcPr>
          <w:p w14:paraId="2AB688D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117.7 </w:t>
            </w:r>
          </w:p>
        </w:tc>
        <w:tc>
          <w:tcPr>
            <w:tcW w:w="392" w:type="pct"/>
            <w:noWrap/>
            <w:vAlign w:val="center"/>
          </w:tcPr>
          <w:p w14:paraId="37ACE159"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7E4DD81D" w14:textId="77777777" w:rsidR="006D1C3F" w:rsidRDefault="006D1C3F">
            <w:pPr>
              <w:spacing w:line="240" w:lineRule="auto"/>
              <w:ind w:firstLineChars="0" w:firstLine="0"/>
              <w:jc w:val="center"/>
              <w:rPr>
                <w:b w:val="0"/>
                <w:bCs w:val="0"/>
                <w:color w:val="000000"/>
                <w:sz w:val="16"/>
                <w:szCs w:val="16"/>
              </w:rPr>
            </w:pPr>
          </w:p>
        </w:tc>
      </w:tr>
      <w:tr w:rsidR="006D1C3F" w14:paraId="2F5C821F" w14:textId="77777777">
        <w:trPr>
          <w:trHeight w:val="288"/>
        </w:trPr>
        <w:tc>
          <w:tcPr>
            <w:tcW w:w="424" w:type="pct"/>
            <w:noWrap/>
            <w:vAlign w:val="center"/>
          </w:tcPr>
          <w:p w14:paraId="4DA7053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19" w:type="pct"/>
            <w:noWrap/>
            <w:vAlign w:val="center"/>
          </w:tcPr>
          <w:p w14:paraId="1B80145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137.8 </w:t>
            </w:r>
          </w:p>
        </w:tc>
        <w:tc>
          <w:tcPr>
            <w:tcW w:w="386" w:type="pct"/>
            <w:noWrap/>
            <w:vAlign w:val="center"/>
          </w:tcPr>
          <w:p w14:paraId="1B99A6D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RP-normal-1</w:t>
            </w:r>
          </w:p>
        </w:tc>
        <w:tc>
          <w:tcPr>
            <w:tcW w:w="203" w:type="pct"/>
            <w:noWrap/>
            <w:vAlign w:val="center"/>
          </w:tcPr>
          <w:p w14:paraId="70A1B63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264.3 </w:t>
            </w:r>
          </w:p>
        </w:tc>
        <w:tc>
          <w:tcPr>
            <w:tcW w:w="392" w:type="pct"/>
            <w:noWrap/>
            <w:vAlign w:val="center"/>
          </w:tcPr>
          <w:p w14:paraId="06D8DD8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3" w:type="pct"/>
            <w:noWrap/>
            <w:vAlign w:val="center"/>
          </w:tcPr>
          <w:p w14:paraId="48B6A99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105.9 </w:t>
            </w:r>
          </w:p>
        </w:tc>
        <w:tc>
          <w:tcPr>
            <w:tcW w:w="386" w:type="pct"/>
            <w:noWrap/>
            <w:vAlign w:val="center"/>
          </w:tcPr>
          <w:p w14:paraId="22956FEF"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208" w:type="pct"/>
            <w:noWrap/>
            <w:vAlign w:val="center"/>
          </w:tcPr>
          <w:p w14:paraId="59F3E86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85.5 </w:t>
            </w:r>
          </w:p>
        </w:tc>
        <w:tc>
          <w:tcPr>
            <w:tcW w:w="532" w:type="pct"/>
            <w:noWrap/>
            <w:vAlign w:val="center"/>
          </w:tcPr>
          <w:p w14:paraId="7D26D92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318" w:type="pct"/>
            <w:noWrap/>
            <w:vAlign w:val="center"/>
          </w:tcPr>
          <w:p w14:paraId="5665C06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59.1 </w:t>
            </w:r>
          </w:p>
        </w:tc>
        <w:tc>
          <w:tcPr>
            <w:tcW w:w="371" w:type="pct"/>
            <w:noWrap/>
            <w:vAlign w:val="center"/>
          </w:tcPr>
          <w:p w14:paraId="1893066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lnorm</w:t>
            </w:r>
            <w:proofErr w:type="spellEnd"/>
          </w:p>
        </w:tc>
        <w:tc>
          <w:tcPr>
            <w:tcW w:w="203" w:type="pct"/>
            <w:noWrap/>
            <w:vAlign w:val="center"/>
          </w:tcPr>
          <w:p w14:paraId="5B69BF9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143.2 </w:t>
            </w:r>
          </w:p>
        </w:tc>
        <w:tc>
          <w:tcPr>
            <w:tcW w:w="372" w:type="pct"/>
            <w:noWrap/>
            <w:vAlign w:val="center"/>
          </w:tcPr>
          <w:p w14:paraId="02E6D3D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7" w:type="pct"/>
            <w:noWrap/>
            <w:vAlign w:val="center"/>
          </w:tcPr>
          <w:p w14:paraId="6C5A122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118.1 </w:t>
            </w:r>
          </w:p>
        </w:tc>
        <w:tc>
          <w:tcPr>
            <w:tcW w:w="392" w:type="pct"/>
            <w:noWrap/>
            <w:vAlign w:val="center"/>
          </w:tcPr>
          <w:p w14:paraId="5678738F"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65F627AA" w14:textId="77777777" w:rsidR="006D1C3F" w:rsidRDefault="006D1C3F">
            <w:pPr>
              <w:spacing w:line="240" w:lineRule="auto"/>
              <w:ind w:firstLineChars="0" w:firstLine="0"/>
              <w:jc w:val="center"/>
              <w:rPr>
                <w:b w:val="0"/>
                <w:bCs w:val="0"/>
                <w:color w:val="000000"/>
                <w:sz w:val="16"/>
                <w:szCs w:val="16"/>
              </w:rPr>
            </w:pPr>
          </w:p>
        </w:tc>
      </w:tr>
      <w:tr w:rsidR="006D1C3F" w14:paraId="2AC7B764" w14:textId="77777777">
        <w:trPr>
          <w:trHeight w:val="288"/>
        </w:trPr>
        <w:tc>
          <w:tcPr>
            <w:tcW w:w="424" w:type="pct"/>
            <w:noWrap/>
            <w:vAlign w:val="center"/>
          </w:tcPr>
          <w:p w14:paraId="0AF89F2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19" w:type="pct"/>
            <w:noWrap/>
            <w:vAlign w:val="center"/>
          </w:tcPr>
          <w:p w14:paraId="7EFF58D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132.0 </w:t>
            </w:r>
          </w:p>
        </w:tc>
        <w:tc>
          <w:tcPr>
            <w:tcW w:w="386" w:type="pct"/>
            <w:noWrap/>
            <w:vAlign w:val="center"/>
          </w:tcPr>
          <w:p w14:paraId="2500F61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03" w:type="pct"/>
            <w:noWrap/>
            <w:vAlign w:val="center"/>
          </w:tcPr>
          <w:p w14:paraId="30EEC30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265.3 </w:t>
            </w:r>
          </w:p>
        </w:tc>
        <w:tc>
          <w:tcPr>
            <w:tcW w:w="392" w:type="pct"/>
            <w:noWrap/>
            <w:vAlign w:val="center"/>
          </w:tcPr>
          <w:p w14:paraId="52BCAD1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03" w:type="pct"/>
            <w:noWrap/>
            <w:vAlign w:val="center"/>
          </w:tcPr>
          <w:p w14:paraId="2B4A665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106.4 </w:t>
            </w:r>
          </w:p>
        </w:tc>
        <w:tc>
          <w:tcPr>
            <w:tcW w:w="386" w:type="pct"/>
            <w:noWrap/>
            <w:vAlign w:val="center"/>
          </w:tcPr>
          <w:p w14:paraId="6044D68B"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8" w:type="pct"/>
            <w:noWrap/>
            <w:vAlign w:val="center"/>
          </w:tcPr>
          <w:p w14:paraId="4BE7828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86.3 </w:t>
            </w:r>
          </w:p>
        </w:tc>
        <w:tc>
          <w:tcPr>
            <w:tcW w:w="532" w:type="pct"/>
            <w:noWrap/>
            <w:vAlign w:val="center"/>
          </w:tcPr>
          <w:p w14:paraId="0B86CAA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318" w:type="pct"/>
            <w:noWrap/>
            <w:vAlign w:val="center"/>
          </w:tcPr>
          <w:p w14:paraId="4D188A0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59.2 </w:t>
            </w:r>
          </w:p>
        </w:tc>
        <w:tc>
          <w:tcPr>
            <w:tcW w:w="371" w:type="pct"/>
            <w:noWrap/>
            <w:vAlign w:val="center"/>
          </w:tcPr>
          <w:p w14:paraId="4174454D"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03" w:type="pct"/>
            <w:noWrap/>
            <w:vAlign w:val="center"/>
          </w:tcPr>
          <w:p w14:paraId="2493602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144.3 </w:t>
            </w:r>
          </w:p>
        </w:tc>
        <w:tc>
          <w:tcPr>
            <w:tcW w:w="372" w:type="pct"/>
            <w:noWrap/>
            <w:vAlign w:val="center"/>
          </w:tcPr>
          <w:p w14:paraId="44DBC4E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7" w:type="pct"/>
            <w:noWrap/>
            <w:vAlign w:val="center"/>
          </w:tcPr>
          <w:p w14:paraId="3E1EAA5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118.4 </w:t>
            </w:r>
          </w:p>
        </w:tc>
        <w:tc>
          <w:tcPr>
            <w:tcW w:w="392" w:type="pct"/>
            <w:noWrap/>
            <w:vAlign w:val="center"/>
          </w:tcPr>
          <w:p w14:paraId="397A8BB3"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2D4E2AAB" w14:textId="77777777" w:rsidR="006D1C3F" w:rsidRDefault="006D1C3F">
            <w:pPr>
              <w:spacing w:line="240" w:lineRule="auto"/>
              <w:ind w:firstLineChars="0" w:firstLine="0"/>
              <w:jc w:val="center"/>
              <w:rPr>
                <w:b w:val="0"/>
                <w:bCs w:val="0"/>
                <w:color w:val="000000"/>
                <w:sz w:val="16"/>
                <w:szCs w:val="16"/>
              </w:rPr>
            </w:pPr>
          </w:p>
        </w:tc>
      </w:tr>
      <w:tr w:rsidR="006D1C3F" w14:paraId="43C4C49E" w14:textId="77777777">
        <w:trPr>
          <w:trHeight w:val="288"/>
        </w:trPr>
        <w:tc>
          <w:tcPr>
            <w:tcW w:w="424" w:type="pct"/>
            <w:noWrap/>
            <w:vAlign w:val="center"/>
          </w:tcPr>
          <w:p w14:paraId="4AD345E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19" w:type="pct"/>
            <w:noWrap/>
            <w:vAlign w:val="center"/>
          </w:tcPr>
          <w:p w14:paraId="262E83B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131.6 </w:t>
            </w:r>
          </w:p>
        </w:tc>
        <w:tc>
          <w:tcPr>
            <w:tcW w:w="386" w:type="pct"/>
            <w:noWrap/>
            <w:vAlign w:val="center"/>
          </w:tcPr>
          <w:p w14:paraId="617EFB0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3" w:type="pct"/>
            <w:noWrap/>
            <w:vAlign w:val="center"/>
          </w:tcPr>
          <w:p w14:paraId="5F716B0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266.0 </w:t>
            </w:r>
          </w:p>
        </w:tc>
        <w:tc>
          <w:tcPr>
            <w:tcW w:w="392" w:type="pct"/>
            <w:noWrap/>
            <w:vAlign w:val="center"/>
          </w:tcPr>
          <w:p w14:paraId="1D23AE75"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llogis</w:t>
            </w:r>
            <w:proofErr w:type="spellEnd"/>
          </w:p>
        </w:tc>
        <w:tc>
          <w:tcPr>
            <w:tcW w:w="203" w:type="pct"/>
            <w:noWrap/>
            <w:vAlign w:val="center"/>
          </w:tcPr>
          <w:p w14:paraId="7CE879D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106.8 </w:t>
            </w:r>
          </w:p>
        </w:tc>
        <w:tc>
          <w:tcPr>
            <w:tcW w:w="386" w:type="pct"/>
            <w:noWrap/>
            <w:vAlign w:val="center"/>
          </w:tcPr>
          <w:p w14:paraId="7D974E4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gengamma</w:t>
            </w:r>
            <w:proofErr w:type="spellEnd"/>
          </w:p>
        </w:tc>
        <w:tc>
          <w:tcPr>
            <w:tcW w:w="208" w:type="pct"/>
            <w:noWrap/>
            <w:vAlign w:val="center"/>
          </w:tcPr>
          <w:p w14:paraId="30A2C88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88.4 </w:t>
            </w:r>
          </w:p>
        </w:tc>
        <w:tc>
          <w:tcPr>
            <w:tcW w:w="532" w:type="pct"/>
            <w:noWrap/>
            <w:vAlign w:val="center"/>
          </w:tcPr>
          <w:p w14:paraId="6FF452B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318" w:type="pct"/>
            <w:noWrap/>
            <w:vAlign w:val="center"/>
          </w:tcPr>
          <w:p w14:paraId="0B16F92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59.3 </w:t>
            </w:r>
          </w:p>
        </w:tc>
        <w:tc>
          <w:tcPr>
            <w:tcW w:w="371" w:type="pct"/>
            <w:noWrap/>
            <w:vAlign w:val="center"/>
          </w:tcPr>
          <w:p w14:paraId="0B5FF9C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3" w:type="pct"/>
            <w:noWrap/>
            <w:vAlign w:val="center"/>
          </w:tcPr>
          <w:p w14:paraId="7BFED14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147.2 </w:t>
            </w:r>
          </w:p>
        </w:tc>
        <w:tc>
          <w:tcPr>
            <w:tcW w:w="372" w:type="pct"/>
            <w:noWrap/>
            <w:vAlign w:val="center"/>
          </w:tcPr>
          <w:p w14:paraId="79AFD6F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FP2-2</w:t>
            </w:r>
          </w:p>
        </w:tc>
        <w:tc>
          <w:tcPr>
            <w:tcW w:w="207" w:type="pct"/>
            <w:noWrap/>
            <w:vAlign w:val="center"/>
          </w:tcPr>
          <w:p w14:paraId="69D71F9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118.8 </w:t>
            </w:r>
          </w:p>
        </w:tc>
        <w:tc>
          <w:tcPr>
            <w:tcW w:w="392" w:type="pct"/>
            <w:noWrap/>
            <w:vAlign w:val="center"/>
          </w:tcPr>
          <w:p w14:paraId="7CE3DDE9"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4CC52FBA" w14:textId="77777777" w:rsidR="006D1C3F" w:rsidRDefault="006D1C3F">
            <w:pPr>
              <w:spacing w:line="240" w:lineRule="auto"/>
              <w:ind w:firstLineChars="0" w:firstLine="0"/>
              <w:jc w:val="center"/>
              <w:rPr>
                <w:b w:val="0"/>
                <w:bCs w:val="0"/>
                <w:color w:val="000000"/>
                <w:sz w:val="16"/>
                <w:szCs w:val="16"/>
              </w:rPr>
            </w:pPr>
          </w:p>
        </w:tc>
      </w:tr>
      <w:tr w:rsidR="006D1C3F" w14:paraId="4903C738" w14:textId="77777777">
        <w:trPr>
          <w:trHeight w:val="288"/>
        </w:trPr>
        <w:tc>
          <w:tcPr>
            <w:tcW w:w="424" w:type="pct"/>
            <w:noWrap/>
            <w:vAlign w:val="center"/>
          </w:tcPr>
          <w:p w14:paraId="6EB7B74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19" w:type="pct"/>
            <w:noWrap/>
            <w:vAlign w:val="center"/>
          </w:tcPr>
          <w:p w14:paraId="18FE8BB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133.8 </w:t>
            </w:r>
          </w:p>
        </w:tc>
        <w:tc>
          <w:tcPr>
            <w:tcW w:w="386" w:type="pct"/>
            <w:noWrap/>
            <w:vAlign w:val="center"/>
          </w:tcPr>
          <w:p w14:paraId="7841ACA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3" w:type="pct"/>
            <w:noWrap/>
            <w:vAlign w:val="center"/>
          </w:tcPr>
          <w:p w14:paraId="0A88D0E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267.0 </w:t>
            </w:r>
          </w:p>
        </w:tc>
        <w:tc>
          <w:tcPr>
            <w:tcW w:w="392" w:type="pct"/>
            <w:noWrap/>
            <w:vAlign w:val="center"/>
          </w:tcPr>
          <w:p w14:paraId="3DC389D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3" w:type="pct"/>
            <w:noWrap/>
            <w:vAlign w:val="center"/>
          </w:tcPr>
          <w:p w14:paraId="118B8EA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107.2 </w:t>
            </w:r>
          </w:p>
        </w:tc>
        <w:tc>
          <w:tcPr>
            <w:tcW w:w="386" w:type="pct"/>
            <w:noWrap/>
            <w:vAlign w:val="center"/>
          </w:tcPr>
          <w:p w14:paraId="31EBF06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8" w:type="pct"/>
            <w:noWrap/>
            <w:vAlign w:val="center"/>
          </w:tcPr>
          <w:p w14:paraId="4371D26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90.6 </w:t>
            </w:r>
          </w:p>
        </w:tc>
        <w:tc>
          <w:tcPr>
            <w:tcW w:w="532" w:type="pct"/>
            <w:noWrap/>
            <w:vAlign w:val="center"/>
          </w:tcPr>
          <w:p w14:paraId="00A12AA9"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318" w:type="pct"/>
            <w:noWrap/>
            <w:vAlign w:val="center"/>
          </w:tcPr>
          <w:p w14:paraId="41EE513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59.4 </w:t>
            </w:r>
          </w:p>
        </w:tc>
        <w:tc>
          <w:tcPr>
            <w:tcW w:w="371" w:type="pct"/>
            <w:noWrap/>
            <w:vAlign w:val="center"/>
          </w:tcPr>
          <w:p w14:paraId="6EAD765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3" w:type="pct"/>
            <w:noWrap/>
            <w:vAlign w:val="center"/>
          </w:tcPr>
          <w:p w14:paraId="0FA15C4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148.1 </w:t>
            </w:r>
          </w:p>
        </w:tc>
        <w:tc>
          <w:tcPr>
            <w:tcW w:w="372" w:type="pct"/>
            <w:noWrap/>
            <w:vAlign w:val="center"/>
          </w:tcPr>
          <w:p w14:paraId="3C5E72C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FP2-1</w:t>
            </w:r>
          </w:p>
        </w:tc>
        <w:tc>
          <w:tcPr>
            <w:tcW w:w="207" w:type="pct"/>
            <w:noWrap/>
            <w:vAlign w:val="center"/>
          </w:tcPr>
          <w:p w14:paraId="0E6510D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118.9 </w:t>
            </w:r>
          </w:p>
        </w:tc>
        <w:tc>
          <w:tcPr>
            <w:tcW w:w="392" w:type="pct"/>
            <w:noWrap/>
            <w:vAlign w:val="center"/>
          </w:tcPr>
          <w:p w14:paraId="56448AFB"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1E94AED4" w14:textId="77777777" w:rsidR="006D1C3F" w:rsidRDefault="006D1C3F">
            <w:pPr>
              <w:spacing w:line="240" w:lineRule="auto"/>
              <w:ind w:firstLineChars="0" w:firstLine="0"/>
              <w:jc w:val="center"/>
              <w:rPr>
                <w:b w:val="0"/>
                <w:bCs w:val="0"/>
                <w:color w:val="000000"/>
                <w:sz w:val="16"/>
                <w:szCs w:val="16"/>
              </w:rPr>
            </w:pPr>
          </w:p>
        </w:tc>
      </w:tr>
      <w:tr w:rsidR="006D1C3F" w14:paraId="652AB034" w14:textId="77777777">
        <w:trPr>
          <w:trHeight w:val="288"/>
        </w:trPr>
        <w:tc>
          <w:tcPr>
            <w:tcW w:w="424" w:type="pct"/>
            <w:noWrap/>
            <w:vAlign w:val="center"/>
          </w:tcPr>
          <w:p w14:paraId="30FE7EC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19" w:type="pct"/>
            <w:noWrap/>
            <w:vAlign w:val="center"/>
          </w:tcPr>
          <w:p w14:paraId="2E5213B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135.5 </w:t>
            </w:r>
          </w:p>
        </w:tc>
        <w:tc>
          <w:tcPr>
            <w:tcW w:w="386" w:type="pct"/>
            <w:noWrap/>
            <w:vAlign w:val="center"/>
          </w:tcPr>
          <w:p w14:paraId="1DCB76FA"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3" w:type="pct"/>
            <w:noWrap/>
            <w:vAlign w:val="center"/>
          </w:tcPr>
          <w:p w14:paraId="21A0155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267.2 </w:t>
            </w:r>
          </w:p>
        </w:tc>
        <w:tc>
          <w:tcPr>
            <w:tcW w:w="392" w:type="pct"/>
            <w:noWrap/>
            <w:vAlign w:val="center"/>
          </w:tcPr>
          <w:p w14:paraId="155F46C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3" w:type="pct"/>
            <w:noWrap/>
            <w:vAlign w:val="center"/>
          </w:tcPr>
          <w:p w14:paraId="032B258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109.4 </w:t>
            </w:r>
          </w:p>
        </w:tc>
        <w:tc>
          <w:tcPr>
            <w:tcW w:w="386" w:type="pct"/>
            <w:noWrap/>
            <w:vAlign w:val="center"/>
          </w:tcPr>
          <w:p w14:paraId="294B485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08" w:type="pct"/>
            <w:noWrap/>
            <w:vAlign w:val="center"/>
          </w:tcPr>
          <w:p w14:paraId="48240AF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91.1 </w:t>
            </w:r>
          </w:p>
        </w:tc>
        <w:tc>
          <w:tcPr>
            <w:tcW w:w="532" w:type="pct"/>
            <w:noWrap/>
            <w:vAlign w:val="center"/>
          </w:tcPr>
          <w:p w14:paraId="29C5041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318" w:type="pct"/>
            <w:noWrap/>
            <w:vAlign w:val="center"/>
          </w:tcPr>
          <w:p w14:paraId="063AAAD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59.6 </w:t>
            </w:r>
          </w:p>
        </w:tc>
        <w:tc>
          <w:tcPr>
            <w:tcW w:w="371" w:type="pct"/>
            <w:noWrap/>
            <w:vAlign w:val="center"/>
          </w:tcPr>
          <w:p w14:paraId="13B8D4B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03" w:type="pct"/>
            <w:noWrap/>
            <w:vAlign w:val="center"/>
          </w:tcPr>
          <w:p w14:paraId="34C47B4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148.5 </w:t>
            </w:r>
          </w:p>
        </w:tc>
        <w:tc>
          <w:tcPr>
            <w:tcW w:w="372" w:type="pct"/>
            <w:noWrap/>
            <w:vAlign w:val="center"/>
          </w:tcPr>
          <w:p w14:paraId="70BAC2C9"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genf</w:t>
            </w:r>
            <w:proofErr w:type="spellEnd"/>
          </w:p>
        </w:tc>
        <w:tc>
          <w:tcPr>
            <w:tcW w:w="207" w:type="pct"/>
            <w:noWrap/>
            <w:vAlign w:val="center"/>
          </w:tcPr>
          <w:p w14:paraId="47CF915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119.0 </w:t>
            </w:r>
          </w:p>
        </w:tc>
        <w:tc>
          <w:tcPr>
            <w:tcW w:w="392" w:type="pct"/>
            <w:noWrap/>
            <w:vAlign w:val="center"/>
          </w:tcPr>
          <w:p w14:paraId="01081F1D"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2F9E40DA" w14:textId="77777777" w:rsidR="006D1C3F" w:rsidRDefault="006D1C3F">
            <w:pPr>
              <w:spacing w:line="240" w:lineRule="auto"/>
              <w:ind w:firstLineChars="0" w:firstLine="0"/>
              <w:jc w:val="center"/>
              <w:rPr>
                <w:b w:val="0"/>
                <w:bCs w:val="0"/>
                <w:color w:val="000000"/>
                <w:sz w:val="16"/>
                <w:szCs w:val="16"/>
              </w:rPr>
            </w:pPr>
          </w:p>
        </w:tc>
      </w:tr>
      <w:tr w:rsidR="006D1C3F" w14:paraId="29FE0F9A" w14:textId="77777777">
        <w:trPr>
          <w:trHeight w:val="288"/>
        </w:trPr>
        <w:tc>
          <w:tcPr>
            <w:tcW w:w="424" w:type="pct"/>
            <w:noWrap/>
            <w:vAlign w:val="center"/>
          </w:tcPr>
          <w:p w14:paraId="31B6AB6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19" w:type="pct"/>
            <w:noWrap/>
            <w:vAlign w:val="center"/>
          </w:tcPr>
          <w:p w14:paraId="47DA247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131.3 </w:t>
            </w:r>
          </w:p>
        </w:tc>
        <w:tc>
          <w:tcPr>
            <w:tcW w:w="386" w:type="pct"/>
            <w:noWrap/>
            <w:vAlign w:val="center"/>
          </w:tcPr>
          <w:p w14:paraId="16B512B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3" w:type="pct"/>
            <w:noWrap/>
            <w:vAlign w:val="center"/>
          </w:tcPr>
          <w:p w14:paraId="3B9ACBA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267.8 </w:t>
            </w:r>
          </w:p>
        </w:tc>
        <w:tc>
          <w:tcPr>
            <w:tcW w:w="392" w:type="pct"/>
            <w:noWrap/>
            <w:vAlign w:val="center"/>
          </w:tcPr>
          <w:p w14:paraId="3C834D6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3" w:type="pct"/>
            <w:noWrap/>
            <w:vAlign w:val="center"/>
          </w:tcPr>
          <w:p w14:paraId="143C9DA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109.9 </w:t>
            </w:r>
          </w:p>
        </w:tc>
        <w:tc>
          <w:tcPr>
            <w:tcW w:w="386" w:type="pct"/>
            <w:noWrap/>
            <w:vAlign w:val="center"/>
          </w:tcPr>
          <w:p w14:paraId="74786BC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8" w:type="pct"/>
            <w:noWrap/>
            <w:vAlign w:val="center"/>
          </w:tcPr>
          <w:p w14:paraId="4ACB8AE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91.5 </w:t>
            </w:r>
          </w:p>
        </w:tc>
        <w:tc>
          <w:tcPr>
            <w:tcW w:w="532" w:type="pct"/>
            <w:noWrap/>
            <w:vAlign w:val="center"/>
          </w:tcPr>
          <w:p w14:paraId="7D9CC96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318" w:type="pct"/>
            <w:noWrap/>
            <w:vAlign w:val="center"/>
          </w:tcPr>
          <w:p w14:paraId="02E7A6E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60.1 </w:t>
            </w:r>
          </w:p>
        </w:tc>
        <w:tc>
          <w:tcPr>
            <w:tcW w:w="371" w:type="pct"/>
            <w:noWrap/>
            <w:vAlign w:val="center"/>
          </w:tcPr>
          <w:p w14:paraId="0BFA92C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RP-hazard-1</w:t>
            </w:r>
          </w:p>
        </w:tc>
        <w:tc>
          <w:tcPr>
            <w:tcW w:w="203" w:type="pct"/>
            <w:noWrap/>
            <w:vAlign w:val="center"/>
          </w:tcPr>
          <w:p w14:paraId="26DECD1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149.3 </w:t>
            </w:r>
          </w:p>
        </w:tc>
        <w:tc>
          <w:tcPr>
            <w:tcW w:w="372" w:type="pct"/>
            <w:noWrap/>
            <w:vAlign w:val="center"/>
          </w:tcPr>
          <w:p w14:paraId="4C6EDD8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7" w:type="pct"/>
            <w:noWrap/>
            <w:vAlign w:val="center"/>
          </w:tcPr>
          <w:p w14:paraId="5435BAD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119.3 </w:t>
            </w:r>
          </w:p>
        </w:tc>
        <w:tc>
          <w:tcPr>
            <w:tcW w:w="392" w:type="pct"/>
            <w:noWrap/>
            <w:vAlign w:val="center"/>
          </w:tcPr>
          <w:p w14:paraId="2C4D484F"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2BDBCAC1" w14:textId="77777777" w:rsidR="006D1C3F" w:rsidRDefault="006D1C3F">
            <w:pPr>
              <w:spacing w:line="240" w:lineRule="auto"/>
              <w:ind w:firstLineChars="0" w:firstLine="0"/>
              <w:jc w:val="center"/>
              <w:rPr>
                <w:b w:val="0"/>
                <w:bCs w:val="0"/>
                <w:color w:val="000000"/>
                <w:sz w:val="16"/>
                <w:szCs w:val="16"/>
              </w:rPr>
            </w:pPr>
          </w:p>
        </w:tc>
      </w:tr>
      <w:tr w:rsidR="006D1C3F" w14:paraId="53CDAF56" w14:textId="77777777">
        <w:trPr>
          <w:trHeight w:val="288"/>
        </w:trPr>
        <w:tc>
          <w:tcPr>
            <w:tcW w:w="424" w:type="pct"/>
            <w:noWrap/>
            <w:vAlign w:val="center"/>
          </w:tcPr>
          <w:p w14:paraId="12A9575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219" w:type="pct"/>
            <w:noWrap/>
            <w:vAlign w:val="center"/>
          </w:tcPr>
          <w:p w14:paraId="0588A0F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133.2 </w:t>
            </w:r>
          </w:p>
        </w:tc>
        <w:tc>
          <w:tcPr>
            <w:tcW w:w="386" w:type="pct"/>
            <w:noWrap/>
            <w:vAlign w:val="center"/>
          </w:tcPr>
          <w:p w14:paraId="6594D177"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3" w:type="pct"/>
            <w:noWrap/>
            <w:vAlign w:val="center"/>
          </w:tcPr>
          <w:p w14:paraId="1934ADF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268.2 </w:t>
            </w:r>
          </w:p>
        </w:tc>
        <w:tc>
          <w:tcPr>
            <w:tcW w:w="392" w:type="pct"/>
            <w:noWrap/>
            <w:vAlign w:val="center"/>
          </w:tcPr>
          <w:p w14:paraId="1503314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03" w:type="pct"/>
            <w:noWrap/>
            <w:vAlign w:val="center"/>
          </w:tcPr>
          <w:p w14:paraId="36873CE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110.7 </w:t>
            </w:r>
          </w:p>
        </w:tc>
        <w:tc>
          <w:tcPr>
            <w:tcW w:w="386" w:type="pct"/>
            <w:noWrap/>
            <w:vAlign w:val="center"/>
          </w:tcPr>
          <w:p w14:paraId="7D37386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8" w:type="pct"/>
            <w:noWrap/>
            <w:vAlign w:val="center"/>
          </w:tcPr>
          <w:p w14:paraId="4A7C089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93.1 </w:t>
            </w:r>
          </w:p>
        </w:tc>
        <w:tc>
          <w:tcPr>
            <w:tcW w:w="532" w:type="pct"/>
            <w:noWrap/>
            <w:vAlign w:val="center"/>
          </w:tcPr>
          <w:p w14:paraId="1362207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318" w:type="pct"/>
            <w:noWrap/>
            <w:vAlign w:val="center"/>
          </w:tcPr>
          <w:p w14:paraId="36840AA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60.1 </w:t>
            </w:r>
          </w:p>
        </w:tc>
        <w:tc>
          <w:tcPr>
            <w:tcW w:w="371" w:type="pct"/>
            <w:noWrap/>
            <w:vAlign w:val="center"/>
          </w:tcPr>
          <w:p w14:paraId="0299CD4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gamma</w:t>
            </w:r>
          </w:p>
        </w:tc>
        <w:tc>
          <w:tcPr>
            <w:tcW w:w="203" w:type="pct"/>
            <w:noWrap/>
            <w:vAlign w:val="center"/>
          </w:tcPr>
          <w:p w14:paraId="616545D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150.9 </w:t>
            </w:r>
          </w:p>
        </w:tc>
        <w:tc>
          <w:tcPr>
            <w:tcW w:w="372" w:type="pct"/>
            <w:noWrap/>
            <w:vAlign w:val="center"/>
          </w:tcPr>
          <w:p w14:paraId="0534CDD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07" w:type="pct"/>
            <w:noWrap/>
            <w:vAlign w:val="center"/>
          </w:tcPr>
          <w:p w14:paraId="55C9198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120.3 </w:t>
            </w:r>
          </w:p>
        </w:tc>
        <w:tc>
          <w:tcPr>
            <w:tcW w:w="392" w:type="pct"/>
            <w:noWrap/>
            <w:vAlign w:val="center"/>
          </w:tcPr>
          <w:p w14:paraId="1EE43B63"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34C7106B" w14:textId="77777777" w:rsidR="006D1C3F" w:rsidRDefault="006D1C3F">
            <w:pPr>
              <w:spacing w:line="240" w:lineRule="auto"/>
              <w:ind w:firstLineChars="0" w:firstLine="0"/>
              <w:jc w:val="center"/>
              <w:rPr>
                <w:b w:val="0"/>
                <w:bCs w:val="0"/>
                <w:color w:val="000000"/>
                <w:sz w:val="16"/>
                <w:szCs w:val="16"/>
              </w:rPr>
            </w:pPr>
          </w:p>
        </w:tc>
      </w:tr>
      <w:tr w:rsidR="006D1C3F" w14:paraId="149A6C96" w14:textId="77777777">
        <w:trPr>
          <w:trHeight w:val="288"/>
        </w:trPr>
        <w:tc>
          <w:tcPr>
            <w:tcW w:w="424" w:type="pct"/>
            <w:noWrap/>
            <w:vAlign w:val="center"/>
          </w:tcPr>
          <w:p w14:paraId="14CC679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RP-odds-1</w:t>
            </w:r>
          </w:p>
        </w:tc>
        <w:tc>
          <w:tcPr>
            <w:tcW w:w="219" w:type="pct"/>
            <w:noWrap/>
            <w:vAlign w:val="center"/>
          </w:tcPr>
          <w:p w14:paraId="00AF9EB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129.5 </w:t>
            </w:r>
          </w:p>
        </w:tc>
        <w:tc>
          <w:tcPr>
            <w:tcW w:w="386" w:type="pct"/>
            <w:noWrap/>
            <w:vAlign w:val="center"/>
          </w:tcPr>
          <w:p w14:paraId="6C67D00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3" w:type="pct"/>
            <w:noWrap/>
            <w:vAlign w:val="center"/>
          </w:tcPr>
          <w:p w14:paraId="65A493A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268.6 </w:t>
            </w:r>
          </w:p>
        </w:tc>
        <w:tc>
          <w:tcPr>
            <w:tcW w:w="392" w:type="pct"/>
            <w:noWrap/>
            <w:vAlign w:val="center"/>
          </w:tcPr>
          <w:p w14:paraId="75C2583E"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3" w:type="pct"/>
            <w:noWrap/>
            <w:vAlign w:val="center"/>
          </w:tcPr>
          <w:p w14:paraId="3BC0412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111.4 </w:t>
            </w:r>
          </w:p>
        </w:tc>
        <w:tc>
          <w:tcPr>
            <w:tcW w:w="386" w:type="pct"/>
            <w:noWrap/>
            <w:vAlign w:val="center"/>
          </w:tcPr>
          <w:p w14:paraId="59904E1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8" w:type="pct"/>
            <w:noWrap/>
            <w:vAlign w:val="center"/>
          </w:tcPr>
          <w:p w14:paraId="101152F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93.7 </w:t>
            </w:r>
          </w:p>
        </w:tc>
        <w:tc>
          <w:tcPr>
            <w:tcW w:w="532" w:type="pct"/>
            <w:noWrap/>
            <w:vAlign w:val="center"/>
          </w:tcPr>
          <w:p w14:paraId="03A818C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RP-hazard-2</w:t>
            </w:r>
          </w:p>
        </w:tc>
        <w:tc>
          <w:tcPr>
            <w:tcW w:w="318" w:type="pct"/>
            <w:noWrap/>
            <w:vAlign w:val="center"/>
          </w:tcPr>
          <w:p w14:paraId="62CA943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60.2 </w:t>
            </w:r>
          </w:p>
        </w:tc>
        <w:tc>
          <w:tcPr>
            <w:tcW w:w="371" w:type="pct"/>
            <w:noWrap/>
            <w:vAlign w:val="center"/>
          </w:tcPr>
          <w:p w14:paraId="10A484E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3" w:type="pct"/>
            <w:noWrap/>
            <w:vAlign w:val="center"/>
          </w:tcPr>
          <w:p w14:paraId="128B6EF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151.7 </w:t>
            </w:r>
          </w:p>
        </w:tc>
        <w:tc>
          <w:tcPr>
            <w:tcW w:w="372" w:type="pct"/>
            <w:noWrap/>
            <w:vAlign w:val="center"/>
          </w:tcPr>
          <w:p w14:paraId="0A2D5D97"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7" w:type="pct"/>
            <w:noWrap/>
            <w:vAlign w:val="center"/>
          </w:tcPr>
          <w:p w14:paraId="096C2B7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120.6 </w:t>
            </w:r>
          </w:p>
        </w:tc>
        <w:tc>
          <w:tcPr>
            <w:tcW w:w="392" w:type="pct"/>
            <w:noWrap/>
            <w:vAlign w:val="center"/>
          </w:tcPr>
          <w:p w14:paraId="15CD5F1C"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02C682F4" w14:textId="77777777" w:rsidR="006D1C3F" w:rsidRDefault="006D1C3F">
            <w:pPr>
              <w:spacing w:line="240" w:lineRule="auto"/>
              <w:ind w:firstLineChars="0" w:firstLine="0"/>
              <w:jc w:val="center"/>
              <w:rPr>
                <w:b w:val="0"/>
                <w:bCs w:val="0"/>
                <w:color w:val="000000"/>
                <w:sz w:val="16"/>
                <w:szCs w:val="16"/>
              </w:rPr>
            </w:pPr>
          </w:p>
        </w:tc>
      </w:tr>
      <w:tr w:rsidR="006D1C3F" w14:paraId="7CDC7D6B" w14:textId="77777777">
        <w:trPr>
          <w:trHeight w:val="288"/>
        </w:trPr>
        <w:tc>
          <w:tcPr>
            <w:tcW w:w="424" w:type="pct"/>
            <w:noWrap/>
            <w:vAlign w:val="center"/>
          </w:tcPr>
          <w:p w14:paraId="034474D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RP-odds-2</w:t>
            </w:r>
          </w:p>
        </w:tc>
        <w:tc>
          <w:tcPr>
            <w:tcW w:w="219" w:type="pct"/>
            <w:noWrap/>
            <w:vAlign w:val="center"/>
          </w:tcPr>
          <w:p w14:paraId="7443050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131.0 </w:t>
            </w:r>
          </w:p>
        </w:tc>
        <w:tc>
          <w:tcPr>
            <w:tcW w:w="386" w:type="pct"/>
            <w:noWrap/>
            <w:vAlign w:val="center"/>
          </w:tcPr>
          <w:p w14:paraId="4A244B0A"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3" w:type="pct"/>
            <w:noWrap/>
            <w:vAlign w:val="center"/>
          </w:tcPr>
          <w:p w14:paraId="6D5F8E4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271.9 </w:t>
            </w:r>
          </w:p>
        </w:tc>
        <w:tc>
          <w:tcPr>
            <w:tcW w:w="392" w:type="pct"/>
            <w:noWrap/>
            <w:vAlign w:val="center"/>
          </w:tcPr>
          <w:p w14:paraId="05E23D3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3" w:type="pct"/>
            <w:noWrap/>
            <w:vAlign w:val="center"/>
          </w:tcPr>
          <w:p w14:paraId="535357E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113.1 </w:t>
            </w:r>
          </w:p>
        </w:tc>
        <w:tc>
          <w:tcPr>
            <w:tcW w:w="386" w:type="pct"/>
            <w:noWrap/>
            <w:vAlign w:val="center"/>
          </w:tcPr>
          <w:p w14:paraId="3F5FE221"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FP1-2</w:t>
            </w:r>
          </w:p>
        </w:tc>
        <w:tc>
          <w:tcPr>
            <w:tcW w:w="208" w:type="pct"/>
            <w:noWrap/>
            <w:vAlign w:val="center"/>
          </w:tcPr>
          <w:p w14:paraId="5C72E21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102.0 </w:t>
            </w:r>
          </w:p>
        </w:tc>
        <w:tc>
          <w:tcPr>
            <w:tcW w:w="532" w:type="pct"/>
            <w:noWrap/>
            <w:vAlign w:val="center"/>
          </w:tcPr>
          <w:p w14:paraId="3E580E27"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318" w:type="pct"/>
            <w:noWrap/>
            <w:vAlign w:val="center"/>
          </w:tcPr>
          <w:p w14:paraId="5323D5C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61.6 </w:t>
            </w:r>
          </w:p>
        </w:tc>
        <w:tc>
          <w:tcPr>
            <w:tcW w:w="371" w:type="pct"/>
            <w:noWrap/>
            <w:vAlign w:val="center"/>
          </w:tcPr>
          <w:p w14:paraId="20CDAE9B"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weibull</w:t>
            </w:r>
            <w:proofErr w:type="spellEnd"/>
          </w:p>
        </w:tc>
        <w:tc>
          <w:tcPr>
            <w:tcW w:w="203" w:type="pct"/>
            <w:noWrap/>
            <w:vAlign w:val="center"/>
          </w:tcPr>
          <w:p w14:paraId="0DB02C5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153.6 </w:t>
            </w:r>
          </w:p>
        </w:tc>
        <w:tc>
          <w:tcPr>
            <w:tcW w:w="372" w:type="pct"/>
            <w:noWrap/>
            <w:vAlign w:val="center"/>
          </w:tcPr>
          <w:p w14:paraId="3AA158F3"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7" w:type="pct"/>
            <w:noWrap/>
            <w:vAlign w:val="center"/>
          </w:tcPr>
          <w:p w14:paraId="5ADE323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124.3 </w:t>
            </w:r>
          </w:p>
        </w:tc>
        <w:tc>
          <w:tcPr>
            <w:tcW w:w="392" w:type="pct"/>
            <w:noWrap/>
            <w:vAlign w:val="center"/>
          </w:tcPr>
          <w:p w14:paraId="1939ADA5"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54C74CDC" w14:textId="77777777" w:rsidR="006D1C3F" w:rsidRDefault="006D1C3F">
            <w:pPr>
              <w:spacing w:line="240" w:lineRule="auto"/>
              <w:ind w:firstLineChars="0" w:firstLine="0"/>
              <w:jc w:val="center"/>
              <w:rPr>
                <w:b w:val="0"/>
                <w:bCs w:val="0"/>
                <w:color w:val="000000"/>
                <w:sz w:val="16"/>
                <w:szCs w:val="16"/>
              </w:rPr>
            </w:pPr>
          </w:p>
        </w:tc>
      </w:tr>
      <w:tr w:rsidR="006D1C3F" w14:paraId="549D3445" w14:textId="77777777">
        <w:trPr>
          <w:trHeight w:val="288"/>
        </w:trPr>
        <w:tc>
          <w:tcPr>
            <w:tcW w:w="424" w:type="pct"/>
            <w:noWrap/>
            <w:vAlign w:val="center"/>
          </w:tcPr>
          <w:p w14:paraId="31C4687C"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sz w:val="16"/>
                <w:szCs w:val="16"/>
              </w:rPr>
              <w:t>exp</w:t>
            </w:r>
          </w:p>
        </w:tc>
        <w:tc>
          <w:tcPr>
            <w:tcW w:w="219" w:type="pct"/>
            <w:noWrap/>
            <w:vAlign w:val="center"/>
          </w:tcPr>
          <w:p w14:paraId="56E92534"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133.8 </w:t>
            </w:r>
          </w:p>
        </w:tc>
        <w:tc>
          <w:tcPr>
            <w:tcW w:w="386" w:type="pct"/>
            <w:noWrap/>
            <w:vAlign w:val="center"/>
          </w:tcPr>
          <w:p w14:paraId="494512A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203" w:type="pct"/>
            <w:noWrap/>
            <w:vAlign w:val="center"/>
          </w:tcPr>
          <w:p w14:paraId="79E99DE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273.4 </w:t>
            </w:r>
          </w:p>
        </w:tc>
        <w:tc>
          <w:tcPr>
            <w:tcW w:w="392" w:type="pct"/>
            <w:noWrap/>
            <w:vAlign w:val="center"/>
          </w:tcPr>
          <w:p w14:paraId="125BB62F"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3" w:type="pct"/>
            <w:noWrap/>
            <w:vAlign w:val="center"/>
          </w:tcPr>
          <w:p w14:paraId="6368E7F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114.4 </w:t>
            </w:r>
          </w:p>
        </w:tc>
        <w:tc>
          <w:tcPr>
            <w:tcW w:w="386" w:type="pct"/>
            <w:noWrap/>
            <w:vAlign w:val="center"/>
          </w:tcPr>
          <w:p w14:paraId="4A96CB3D"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FP1-1</w:t>
            </w:r>
          </w:p>
        </w:tc>
        <w:tc>
          <w:tcPr>
            <w:tcW w:w="208" w:type="pct"/>
            <w:noWrap/>
            <w:vAlign w:val="center"/>
          </w:tcPr>
          <w:p w14:paraId="15FFAFF7"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102.7 </w:t>
            </w:r>
          </w:p>
        </w:tc>
        <w:tc>
          <w:tcPr>
            <w:tcW w:w="532" w:type="pct"/>
            <w:noWrap/>
            <w:vAlign w:val="center"/>
          </w:tcPr>
          <w:p w14:paraId="0D0E512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318" w:type="pct"/>
            <w:noWrap/>
            <w:vAlign w:val="center"/>
          </w:tcPr>
          <w:p w14:paraId="794CF8E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61.9 </w:t>
            </w:r>
          </w:p>
        </w:tc>
        <w:tc>
          <w:tcPr>
            <w:tcW w:w="371" w:type="pct"/>
            <w:noWrap/>
            <w:vAlign w:val="center"/>
          </w:tcPr>
          <w:p w14:paraId="18F5695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3" w:type="pct"/>
            <w:noWrap/>
            <w:vAlign w:val="center"/>
          </w:tcPr>
          <w:p w14:paraId="19D639A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154.2 </w:t>
            </w:r>
          </w:p>
        </w:tc>
        <w:tc>
          <w:tcPr>
            <w:tcW w:w="372" w:type="pct"/>
            <w:noWrap/>
            <w:vAlign w:val="center"/>
          </w:tcPr>
          <w:p w14:paraId="4A6E3406"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7" w:type="pct"/>
            <w:noWrap/>
            <w:vAlign w:val="center"/>
          </w:tcPr>
          <w:p w14:paraId="00CEB628"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127.7 </w:t>
            </w:r>
          </w:p>
        </w:tc>
        <w:tc>
          <w:tcPr>
            <w:tcW w:w="392" w:type="pct"/>
            <w:noWrap/>
            <w:vAlign w:val="center"/>
          </w:tcPr>
          <w:p w14:paraId="152EC632"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3E761F57" w14:textId="77777777" w:rsidR="006D1C3F" w:rsidRDefault="006D1C3F">
            <w:pPr>
              <w:spacing w:line="240" w:lineRule="auto"/>
              <w:ind w:firstLineChars="0" w:firstLine="0"/>
              <w:jc w:val="center"/>
              <w:rPr>
                <w:b w:val="0"/>
                <w:bCs w:val="0"/>
                <w:color w:val="000000"/>
                <w:sz w:val="16"/>
                <w:szCs w:val="16"/>
              </w:rPr>
            </w:pPr>
          </w:p>
        </w:tc>
      </w:tr>
      <w:tr w:rsidR="006D1C3F" w14:paraId="53387111" w14:textId="77777777">
        <w:trPr>
          <w:trHeight w:val="288"/>
        </w:trPr>
        <w:tc>
          <w:tcPr>
            <w:tcW w:w="424" w:type="pct"/>
            <w:noWrap/>
            <w:vAlign w:val="center"/>
          </w:tcPr>
          <w:p w14:paraId="2DEB0D30"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RP-normal-2</w:t>
            </w:r>
          </w:p>
        </w:tc>
        <w:tc>
          <w:tcPr>
            <w:tcW w:w="219" w:type="pct"/>
            <w:noWrap/>
            <w:vAlign w:val="center"/>
          </w:tcPr>
          <w:p w14:paraId="2D65C746"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131.2 </w:t>
            </w:r>
          </w:p>
        </w:tc>
        <w:tc>
          <w:tcPr>
            <w:tcW w:w="386" w:type="pct"/>
            <w:noWrap/>
            <w:vAlign w:val="center"/>
          </w:tcPr>
          <w:p w14:paraId="349AA44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3" w:type="pct"/>
            <w:noWrap/>
            <w:vAlign w:val="center"/>
          </w:tcPr>
          <w:p w14:paraId="2B9D9F3F"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274.6 </w:t>
            </w:r>
          </w:p>
        </w:tc>
        <w:tc>
          <w:tcPr>
            <w:tcW w:w="392" w:type="pct"/>
            <w:noWrap/>
            <w:vAlign w:val="center"/>
          </w:tcPr>
          <w:p w14:paraId="58F31119"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RCS1</w:t>
            </w:r>
          </w:p>
        </w:tc>
        <w:tc>
          <w:tcPr>
            <w:tcW w:w="203" w:type="pct"/>
            <w:noWrap/>
            <w:vAlign w:val="center"/>
          </w:tcPr>
          <w:p w14:paraId="7FE3C46B"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117.0 </w:t>
            </w:r>
          </w:p>
        </w:tc>
        <w:tc>
          <w:tcPr>
            <w:tcW w:w="386" w:type="pct"/>
            <w:noWrap/>
            <w:vAlign w:val="center"/>
          </w:tcPr>
          <w:p w14:paraId="5FF342FE" w14:textId="77777777" w:rsidR="006D1C3F" w:rsidRDefault="006D1C3F">
            <w:pPr>
              <w:spacing w:line="240" w:lineRule="auto"/>
              <w:ind w:firstLineChars="0" w:firstLine="0"/>
              <w:jc w:val="center"/>
              <w:rPr>
                <w:b w:val="0"/>
                <w:bCs w:val="0"/>
                <w:color w:val="000000"/>
                <w:sz w:val="16"/>
                <w:szCs w:val="16"/>
              </w:rPr>
            </w:pPr>
          </w:p>
        </w:tc>
        <w:tc>
          <w:tcPr>
            <w:tcW w:w="208" w:type="pct"/>
            <w:noWrap/>
            <w:vAlign w:val="center"/>
          </w:tcPr>
          <w:p w14:paraId="125DE983" w14:textId="77777777" w:rsidR="006D1C3F" w:rsidRDefault="006D1C3F">
            <w:pPr>
              <w:spacing w:line="240" w:lineRule="auto"/>
              <w:ind w:firstLineChars="0" w:firstLine="0"/>
              <w:jc w:val="center"/>
              <w:rPr>
                <w:b w:val="0"/>
                <w:bCs w:val="0"/>
                <w:color w:val="000000"/>
                <w:sz w:val="16"/>
                <w:szCs w:val="16"/>
              </w:rPr>
            </w:pPr>
          </w:p>
        </w:tc>
        <w:tc>
          <w:tcPr>
            <w:tcW w:w="532" w:type="pct"/>
            <w:noWrap/>
            <w:vAlign w:val="center"/>
          </w:tcPr>
          <w:p w14:paraId="37D3F4E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RCS2</w:t>
            </w:r>
          </w:p>
        </w:tc>
        <w:tc>
          <w:tcPr>
            <w:tcW w:w="318" w:type="pct"/>
            <w:noWrap/>
            <w:vAlign w:val="center"/>
          </w:tcPr>
          <w:p w14:paraId="5966D8C5"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63.9 </w:t>
            </w:r>
          </w:p>
        </w:tc>
        <w:tc>
          <w:tcPr>
            <w:tcW w:w="371" w:type="pct"/>
            <w:noWrap/>
            <w:vAlign w:val="center"/>
          </w:tcPr>
          <w:p w14:paraId="5996E6C4" w14:textId="77777777" w:rsidR="006D1C3F" w:rsidRDefault="00000000">
            <w:pPr>
              <w:widowControl/>
              <w:spacing w:line="240" w:lineRule="auto"/>
              <w:ind w:firstLineChars="0" w:firstLine="0"/>
              <w:jc w:val="center"/>
              <w:textAlignment w:val="center"/>
              <w:rPr>
                <w:b w:val="0"/>
                <w:bCs w:val="0"/>
                <w:color w:val="000000"/>
                <w:sz w:val="16"/>
                <w:szCs w:val="16"/>
              </w:rPr>
            </w:pPr>
            <w:proofErr w:type="spellStart"/>
            <w:r>
              <w:rPr>
                <w:rFonts w:hint="eastAsia"/>
                <w:b w:val="0"/>
                <w:bCs w:val="0"/>
                <w:color w:val="000000"/>
                <w:kern w:val="0"/>
                <w:sz w:val="16"/>
                <w:szCs w:val="16"/>
                <w:lang w:bidi="ar"/>
              </w:rPr>
              <w:t>gompertz</w:t>
            </w:r>
            <w:proofErr w:type="spellEnd"/>
          </w:p>
        </w:tc>
        <w:tc>
          <w:tcPr>
            <w:tcW w:w="203" w:type="pct"/>
            <w:noWrap/>
            <w:vAlign w:val="center"/>
          </w:tcPr>
          <w:p w14:paraId="0D1FC7F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155.8 </w:t>
            </w:r>
          </w:p>
        </w:tc>
        <w:tc>
          <w:tcPr>
            <w:tcW w:w="372" w:type="pct"/>
            <w:noWrap/>
            <w:vAlign w:val="center"/>
          </w:tcPr>
          <w:p w14:paraId="1746411E"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exp</w:t>
            </w:r>
          </w:p>
        </w:tc>
        <w:tc>
          <w:tcPr>
            <w:tcW w:w="207" w:type="pct"/>
            <w:noWrap/>
            <w:vAlign w:val="center"/>
          </w:tcPr>
          <w:p w14:paraId="7D3CEA32" w14:textId="77777777" w:rsidR="006D1C3F" w:rsidRDefault="00000000">
            <w:pPr>
              <w:widowControl/>
              <w:spacing w:line="240" w:lineRule="auto"/>
              <w:ind w:firstLineChars="0" w:firstLine="0"/>
              <w:jc w:val="center"/>
              <w:textAlignment w:val="center"/>
              <w:rPr>
                <w:b w:val="0"/>
                <w:bCs w:val="0"/>
                <w:color w:val="000000"/>
                <w:sz w:val="16"/>
                <w:szCs w:val="16"/>
              </w:rPr>
            </w:pPr>
            <w:r>
              <w:rPr>
                <w:rFonts w:hint="eastAsia"/>
                <w:b w:val="0"/>
                <w:bCs w:val="0"/>
                <w:color w:val="000000"/>
                <w:kern w:val="0"/>
                <w:sz w:val="16"/>
                <w:szCs w:val="16"/>
                <w:lang w:bidi="ar"/>
              </w:rPr>
              <w:t xml:space="preserve">130.7 </w:t>
            </w:r>
          </w:p>
        </w:tc>
        <w:tc>
          <w:tcPr>
            <w:tcW w:w="392" w:type="pct"/>
            <w:noWrap/>
            <w:vAlign w:val="center"/>
          </w:tcPr>
          <w:p w14:paraId="24F17940"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5EC5541B" w14:textId="77777777" w:rsidR="006D1C3F" w:rsidRDefault="006D1C3F">
            <w:pPr>
              <w:spacing w:line="240" w:lineRule="auto"/>
              <w:ind w:firstLineChars="0" w:firstLine="0"/>
              <w:jc w:val="center"/>
              <w:rPr>
                <w:b w:val="0"/>
                <w:bCs w:val="0"/>
                <w:color w:val="000000"/>
                <w:sz w:val="16"/>
                <w:szCs w:val="16"/>
              </w:rPr>
            </w:pPr>
          </w:p>
        </w:tc>
      </w:tr>
      <w:tr w:rsidR="006D1C3F" w14:paraId="4A8B8B6C" w14:textId="77777777">
        <w:trPr>
          <w:trHeight w:val="288"/>
        </w:trPr>
        <w:tc>
          <w:tcPr>
            <w:tcW w:w="2425" w:type="pct"/>
            <w:gridSpan w:val="8"/>
            <w:noWrap/>
            <w:vAlign w:val="center"/>
          </w:tcPr>
          <w:p w14:paraId="37566A2D" w14:textId="77777777" w:rsidR="006D1C3F" w:rsidRDefault="00000000">
            <w:pPr>
              <w:spacing w:line="240" w:lineRule="auto"/>
              <w:ind w:firstLineChars="0" w:firstLine="0"/>
              <w:jc w:val="center"/>
              <w:rPr>
                <w:b w:val="0"/>
                <w:bCs w:val="0"/>
                <w:color w:val="000000"/>
                <w:sz w:val="16"/>
                <w:szCs w:val="16"/>
              </w:rPr>
            </w:pPr>
            <w:r>
              <w:rPr>
                <w:rFonts w:hint="eastAsia"/>
                <w:color w:val="000000"/>
                <w:kern w:val="0"/>
                <w:sz w:val="16"/>
                <w:szCs w:val="16"/>
                <w:lang w:bidi="ar"/>
              </w:rPr>
              <w:t>PFS of second-line, chemotherapy resistance</w:t>
            </w:r>
          </w:p>
        </w:tc>
        <w:tc>
          <w:tcPr>
            <w:tcW w:w="2005" w:type="pct"/>
            <w:gridSpan w:val="6"/>
            <w:noWrap/>
            <w:vAlign w:val="center"/>
          </w:tcPr>
          <w:p w14:paraId="0934016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color w:val="000000"/>
                <w:kern w:val="0"/>
                <w:sz w:val="16"/>
                <w:szCs w:val="16"/>
                <w:lang w:bidi="ar"/>
              </w:rPr>
              <w:t xml:space="preserve">PFS of second-line, </w:t>
            </w:r>
            <w:proofErr w:type="spellStart"/>
            <w:r>
              <w:rPr>
                <w:rFonts w:hint="eastAsia"/>
                <w:color w:val="000000"/>
                <w:kern w:val="0"/>
                <w:sz w:val="16"/>
                <w:szCs w:val="16"/>
                <w:lang w:bidi="ar"/>
              </w:rPr>
              <w:t>alectinib</w:t>
            </w:r>
            <w:proofErr w:type="spellEnd"/>
            <w:r>
              <w:rPr>
                <w:rFonts w:hint="eastAsia"/>
                <w:color w:val="000000"/>
                <w:kern w:val="0"/>
                <w:sz w:val="16"/>
                <w:szCs w:val="16"/>
                <w:lang w:bidi="ar"/>
              </w:rPr>
              <w:t xml:space="preserve"> resistance</w:t>
            </w:r>
          </w:p>
        </w:tc>
        <w:tc>
          <w:tcPr>
            <w:tcW w:w="392" w:type="pct"/>
            <w:noWrap/>
            <w:vAlign w:val="center"/>
          </w:tcPr>
          <w:p w14:paraId="2B25FFEB" w14:textId="77777777" w:rsidR="006D1C3F" w:rsidRDefault="006D1C3F">
            <w:pPr>
              <w:spacing w:line="240" w:lineRule="auto"/>
              <w:ind w:firstLineChars="0" w:firstLine="0"/>
              <w:jc w:val="center"/>
              <w:rPr>
                <w:b w:val="0"/>
                <w:bCs w:val="0"/>
                <w:color w:val="000000"/>
                <w:sz w:val="16"/>
                <w:szCs w:val="16"/>
              </w:rPr>
            </w:pPr>
          </w:p>
        </w:tc>
        <w:tc>
          <w:tcPr>
            <w:tcW w:w="175" w:type="pct"/>
            <w:noWrap/>
            <w:vAlign w:val="center"/>
          </w:tcPr>
          <w:p w14:paraId="6BD7A2C0" w14:textId="77777777" w:rsidR="006D1C3F" w:rsidRDefault="006D1C3F">
            <w:pPr>
              <w:spacing w:line="240" w:lineRule="auto"/>
              <w:ind w:firstLineChars="0" w:firstLine="0"/>
              <w:jc w:val="center"/>
              <w:rPr>
                <w:b w:val="0"/>
                <w:bCs w:val="0"/>
                <w:color w:val="000000"/>
                <w:sz w:val="16"/>
                <w:szCs w:val="16"/>
              </w:rPr>
            </w:pPr>
          </w:p>
        </w:tc>
      </w:tr>
      <w:tr w:rsidR="006D1C3F" w14:paraId="1323E23B" w14:textId="77777777">
        <w:trPr>
          <w:trHeight w:val="288"/>
        </w:trPr>
        <w:tc>
          <w:tcPr>
            <w:tcW w:w="644" w:type="pct"/>
            <w:gridSpan w:val="2"/>
            <w:noWrap/>
            <w:vAlign w:val="center"/>
          </w:tcPr>
          <w:p w14:paraId="667088D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Alectinib</w:t>
            </w:r>
            <w:proofErr w:type="spellEnd"/>
          </w:p>
        </w:tc>
        <w:tc>
          <w:tcPr>
            <w:tcW w:w="589" w:type="pct"/>
            <w:gridSpan w:val="2"/>
            <w:noWrap/>
            <w:vAlign w:val="center"/>
          </w:tcPr>
          <w:p w14:paraId="063DD14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Crizotinib</w:t>
            </w:r>
          </w:p>
        </w:tc>
        <w:tc>
          <w:tcPr>
            <w:tcW w:w="596" w:type="pct"/>
            <w:gridSpan w:val="2"/>
            <w:noWrap/>
            <w:vAlign w:val="center"/>
          </w:tcPr>
          <w:p w14:paraId="0C928DB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Chemotherapy</w:t>
            </w:r>
          </w:p>
        </w:tc>
        <w:tc>
          <w:tcPr>
            <w:tcW w:w="595" w:type="pct"/>
            <w:gridSpan w:val="2"/>
            <w:noWrap/>
            <w:vAlign w:val="center"/>
          </w:tcPr>
          <w:p w14:paraId="6D52DDF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Ceritinib</w:t>
            </w:r>
            <w:proofErr w:type="spellEnd"/>
          </w:p>
        </w:tc>
        <w:tc>
          <w:tcPr>
            <w:tcW w:w="851" w:type="pct"/>
            <w:gridSpan w:val="2"/>
            <w:noWrap/>
            <w:vAlign w:val="center"/>
          </w:tcPr>
          <w:p w14:paraId="1F1B74E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Lorlatinib</w:t>
            </w:r>
            <w:proofErr w:type="spellEnd"/>
          </w:p>
        </w:tc>
        <w:tc>
          <w:tcPr>
            <w:tcW w:w="574" w:type="pct"/>
            <w:gridSpan w:val="2"/>
            <w:noWrap/>
            <w:vAlign w:val="center"/>
          </w:tcPr>
          <w:p w14:paraId="7B607FB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Ceritinib</w:t>
            </w:r>
            <w:proofErr w:type="spellEnd"/>
          </w:p>
        </w:tc>
        <w:tc>
          <w:tcPr>
            <w:tcW w:w="580" w:type="pct"/>
            <w:gridSpan w:val="2"/>
            <w:noWrap/>
            <w:vAlign w:val="center"/>
          </w:tcPr>
          <w:p w14:paraId="4011238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Brigatinib</w:t>
            </w:r>
            <w:proofErr w:type="spellEnd"/>
          </w:p>
        </w:tc>
        <w:tc>
          <w:tcPr>
            <w:tcW w:w="392" w:type="pct"/>
            <w:noWrap/>
            <w:vAlign w:val="center"/>
          </w:tcPr>
          <w:p w14:paraId="6C8C5F1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6028AA8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590E74D9" w14:textId="77777777">
        <w:trPr>
          <w:trHeight w:val="288"/>
        </w:trPr>
        <w:tc>
          <w:tcPr>
            <w:tcW w:w="424" w:type="pct"/>
            <w:noWrap/>
            <w:vAlign w:val="center"/>
          </w:tcPr>
          <w:p w14:paraId="62AAA05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Model</w:t>
            </w:r>
          </w:p>
        </w:tc>
        <w:tc>
          <w:tcPr>
            <w:tcW w:w="219" w:type="pct"/>
            <w:noWrap/>
            <w:vAlign w:val="center"/>
          </w:tcPr>
          <w:p w14:paraId="46D5F83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AIC</w:t>
            </w:r>
          </w:p>
        </w:tc>
        <w:tc>
          <w:tcPr>
            <w:tcW w:w="386" w:type="pct"/>
            <w:noWrap/>
            <w:vAlign w:val="center"/>
          </w:tcPr>
          <w:p w14:paraId="199FD17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Model</w:t>
            </w:r>
          </w:p>
        </w:tc>
        <w:tc>
          <w:tcPr>
            <w:tcW w:w="203" w:type="pct"/>
            <w:noWrap/>
            <w:vAlign w:val="center"/>
          </w:tcPr>
          <w:p w14:paraId="23345FC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AIC</w:t>
            </w:r>
          </w:p>
        </w:tc>
        <w:tc>
          <w:tcPr>
            <w:tcW w:w="392" w:type="pct"/>
            <w:noWrap/>
            <w:vAlign w:val="center"/>
          </w:tcPr>
          <w:p w14:paraId="2B4B5E6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Model</w:t>
            </w:r>
          </w:p>
        </w:tc>
        <w:tc>
          <w:tcPr>
            <w:tcW w:w="203" w:type="pct"/>
            <w:noWrap/>
            <w:vAlign w:val="center"/>
          </w:tcPr>
          <w:p w14:paraId="0571CB6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AIC</w:t>
            </w:r>
          </w:p>
        </w:tc>
        <w:tc>
          <w:tcPr>
            <w:tcW w:w="386" w:type="pct"/>
            <w:noWrap/>
            <w:vAlign w:val="center"/>
          </w:tcPr>
          <w:p w14:paraId="7995A99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Model</w:t>
            </w:r>
          </w:p>
        </w:tc>
        <w:tc>
          <w:tcPr>
            <w:tcW w:w="208" w:type="pct"/>
            <w:noWrap/>
            <w:vAlign w:val="center"/>
          </w:tcPr>
          <w:p w14:paraId="7D97673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AIC</w:t>
            </w:r>
          </w:p>
        </w:tc>
        <w:tc>
          <w:tcPr>
            <w:tcW w:w="532" w:type="pct"/>
            <w:noWrap/>
            <w:vAlign w:val="center"/>
          </w:tcPr>
          <w:p w14:paraId="345F515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Model</w:t>
            </w:r>
          </w:p>
        </w:tc>
        <w:tc>
          <w:tcPr>
            <w:tcW w:w="318" w:type="pct"/>
            <w:noWrap/>
            <w:vAlign w:val="center"/>
          </w:tcPr>
          <w:p w14:paraId="47C1596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AIC</w:t>
            </w:r>
          </w:p>
        </w:tc>
        <w:tc>
          <w:tcPr>
            <w:tcW w:w="371" w:type="pct"/>
            <w:noWrap/>
            <w:vAlign w:val="center"/>
          </w:tcPr>
          <w:p w14:paraId="5F8F2DC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Model</w:t>
            </w:r>
          </w:p>
        </w:tc>
        <w:tc>
          <w:tcPr>
            <w:tcW w:w="203" w:type="pct"/>
            <w:noWrap/>
            <w:vAlign w:val="center"/>
          </w:tcPr>
          <w:p w14:paraId="12DC7DC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AIC</w:t>
            </w:r>
          </w:p>
        </w:tc>
        <w:tc>
          <w:tcPr>
            <w:tcW w:w="372" w:type="pct"/>
            <w:noWrap/>
            <w:vAlign w:val="center"/>
          </w:tcPr>
          <w:p w14:paraId="2FD1AAC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Model</w:t>
            </w:r>
          </w:p>
        </w:tc>
        <w:tc>
          <w:tcPr>
            <w:tcW w:w="207" w:type="pct"/>
            <w:noWrap/>
            <w:vAlign w:val="center"/>
          </w:tcPr>
          <w:p w14:paraId="1992A28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AIC</w:t>
            </w:r>
          </w:p>
        </w:tc>
        <w:tc>
          <w:tcPr>
            <w:tcW w:w="392" w:type="pct"/>
            <w:noWrap/>
            <w:vAlign w:val="center"/>
          </w:tcPr>
          <w:p w14:paraId="29724BB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20CFA58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72298F7E" w14:textId="77777777">
        <w:trPr>
          <w:trHeight w:val="288"/>
        </w:trPr>
        <w:tc>
          <w:tcPr>
            <w:tcW w:w="424" w:type="pct"/>
            <w:noWrap/>
            <w:vAlign w:val="center"/>
          </w:tcPr>
          <w:p w14:paraId="1AA5A13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lastRenderedPageBreak/>
              <w:t>exp*</w:t>
            </w:r>
          </w:p>
        </w:tc>
        <w:tc>
          <w:tcPr>
            <w:tcW w:w="219" w:type="pct"/>
            <w:noWrap/>
            <w:vAlign w:val="center"/>
          </w:tcPr>
          <w:p w14:paraId="5F279D6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77.7 </w:t>
            </w:r>
          </w:p>
        </w:tc>
        <w:tc>
          <w:tcPr>
            <w:tcW w:w="386" w:type="pct"/>
            <w:noWrap/>
            <w:vAlign w:val="center"/>
          </w:tcPr>
          <w:p w14:paraId="0DCDE55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color w:val="000000"/>
                <w:kern w:val="0"/>
                <w:sz w:val="16"/>
                <w:szCs w:val="16"/>
                <w:lang w:bidi="ar"/>
              </w:rPr>
              <w:t>FP1-2</w:t>
            </w:r>
          </w:p>
        </w:tc>
        <w:tc>
          <w:tcPr>
            <w:tcW w:w="203" w:type="pct"/>
            <w:noWrap/>
            <w:vAlign w:val="center"/>
          </w:tcPr>
          <w:p w14:paraId="2EE2FBB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85.4 </w:t>
            </w:r>
          </w:p>
        </w:tc>
        <w:tc>
          <w:tcPr>
            <w:tcW w:w="392" w:type="pct"/>
            <w:noWrap/>
            <w:vAlign w:val="center"/>
          </w:tcPr>
          <w:p w14:paraId="54DE6FA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color w:val="000000"/>
                <w:kern w:val="0"/>
                <w:sz w:val="16"/>
                <w:szCs w:val="16"/>
                <w:lang w:bidi="ar"/>
              </w:rPr>
              <w:t>gengamma</w:t>
            </w:r>
            <w:proofErr w:type="spellEnd"/>
          </w:p>
        </w:tc>
        <w:tc>
          <w:tcPr>
            <w:tcW w:w="203" w:type="pct"/>
            <w:noWrap/>
            <w:vAlign w:val="center"/>
          </w:tcPr>
          <w:p w14:paraId="746EE01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69.2 </w:t>
            </w:r>
          </w:p>
        </w:tc>
        <w:tc>
          <w:tcPr>
            <w:tcW w:w="386" w:type="pct"/>
            <w:noWrap/>
            <w:vAlign w:val="center"/>
          </w:tcPr>
          <w:p w14:paraId="5C96CA0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color w:val="000000"/>
                <w:kern w:val="0"/>
                <w:sz w:val="16"/>
                <w:szCs w:val="16"/>
                <w:lang w:bidi="ar"/>
              </w:rPr>
              <w:t>gengamma</w:t>
            </w:r>
            <w:proofErr w:type="spellEnd"/>
          </w:p>
        </w:tc>
        <w:tc>
          <w:tcPr>
            <w:tcW w:w="208" w:type="pct"/>
            <w:noWrap/>
            <w:vAlign w:val="center"/>
          </w:tcPr>
          <w:p w14:paraId="1FD2923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157.2 </w:t>
            </w:r>
          </w:p>
        </w:tc>
        <w:tc>
          <w:tcPr>
            <w:tcW w:w="532" w:type="pct"/>
            <w:noWrap/>
            <w:vAlign w:val="center"/>
          </w:tcPr>
          <w:p w14:paraId="6C402FF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color w:val="000000"/>
                <w:kern w:val="0"/>
                <w:sz w:val="16"/>
                <w:szCs w:val="16"/>
                <w:lang w:bidi="ar"/>
              </w:rPr>
              <w:t>RP-normal-1</w:t>
            </w:r>
          </w:p>
        </w:tc>
        <w:tc>
          <w:tcPr>
            <w:tcW w:w="318" w:type="pct"/>
            <w:noWrap/>
            <w:vAlign w:val="center"/>
          </w:tcPr>
          <w:p w14:paraId="757D8E8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56.1 </w:t>
            </w:r>
          </w:p>
        </w:tc>
        <w:tc>
          <w:tcPr>
            <w:tcW w:w="371" w:type="pct"/>
            <w:noWrap/>
            <w:vAlign w:val="center"/>
          </w:tcPr>
          <w:p w14:paraId="6CD1522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color w:val="000000"/>
                <w:kern w:val="0"/>
                <w:sz w:val="16"/>
                <w:szCs w:val="16"/>
                <w:lang w:bidi="ar"/>
              </w:rPr>
              <w:t>FP1-2</w:t>
            </w:r>
          </w:p>
        </w:tc>
        <w:tc>
          <w:tcPr>
            <w:tcW w:w="203" w:type="pct"/>
            <w:noWrap/>
            <w:vAlign w:val="center"/>
          </w:tcPr>
          <w:p w14:paraId="354A0AF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28.1 </w:t>
            </w:r>
          </w:p>
        </w:tc>
        <w:tc>
          <w:tcPr>
            <w:tcW w:w="372" w:type="pct"/>
            <w:noWrap/>
            <w:vAlign w:val="center"/>
          </w:tcPr>
          <w:p w14:paraId="7493B3B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color w:val="000000"/>
                <w:kern w:val="0"/>
                <w:sz w:val="16"/>
                <w:szCs w:val="16"/>
                <w:lang w:bidi="ar"/>
              </w:rPr>
              <w:t>gengamma</w:t>
            </w:r>
            <w:proofErr w:type="spellEnd"/>
          </w:p>
        </w:tc>
        <w:tc>
          <w:tcPr>
            <w:tcW w:w="207" w:type="pct"/>
            <w:noWrap/>
            <w:vAlign w:val="center"/>
          </w:tcPr>
          <w:p w14:paraId="61627BB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54.7 </w:t>
            </w:r>
          </w:p>
        </w:tc>
        <w:tc>
          <w:tcPr>
            <w:tcW w:w="392" w:type="pct"/>
            <w:noWrap/>
            <w:vAlign w:val="center"/>
          </w:tcPr>
          <w:p w14:paraId="1A30649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4D8E965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0FB52A12" w14:textId="77777777">
        <w:trPr>
          <w:trHeight w:val="288"/>
        </w:trPr>
        <w:tc>
          <w:tcPr>
            <w:tcW w:w="424" w:type="pct"/>
            <w:noWrap/>
            <w:vAlign w:val="center"/>
          </w:tcPr>
          <w:p w14:paraId="3F72CE7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color w:val="000000"/>
                <w:kern w:val="0"/>
                <w:sz w:val="16"/>
                <w:szCs w:val="16"/>
                <w:lang w:bidi="ar"/>
              </w:rPr>
              <w:t>lnorm</w:t>
            </w:r>
            <w:proofErr w:type="spellEnd"/>
          </w:p>
        </w:tc>
        <w:tc>
          <w:tcPr>
            <w:tcW w:w="219" w:type="pct"/>
            <w:noWrap/>
            <w:vAlign w:val="center"/>
          </w:tcPr>
          <w:p w14:paraId="326737B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77.9 </w:t>
            </w:r>
          </w:p>
        </w:tc>
        <w:tc>
          <w:tcPr>
            <w:tcW w:w="386" w:type="pct"/>
            <w:noWrap/>
            <w:vAlign w:val="center"/>
          </w:tcPr>
          <w:p w14:paraId="3CD25AA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FP1-1</w:t>
            </w:r>
          </w:p>
        </w:tc>
        <w:tc>
          <w:tcPr>
            <w:tcW w:w="203" w:type="pct"/>
            <w:noWrap/>
            <w:vAlign w:val="center"/>
          </w:tcPr>
          <w:p w14:paraId="6CED72D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87.3 </w:t>
            </w:r>
          </w:p>
        </w:tc>
        <w:tc>
          <w:tcPr>
            <w:tcW w:w="392" w:type="pct"/>
            <w:noWrap/>
            <w:vAlign w:val="center"/>
          </w:tcPr>
          <w:p w14:paraId="6C5B93B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FP2-2</w:t>
            </w:r>
          </w:p>
        </w:tc>
        <w:tc>
          <w:tcPr>
            <w:tcW w:w="203" w:type="pct"/>
            <w:noWrap/>
            <w:vAlign w:val="center"/>
          </w:tcPr>
          <w:p w14:paraId="103DFB9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71.0 </w:t>
            </w:r>
          </w:p>
        </w:tc>
        <w:tc>
          <w:tcPr>
            <w:tcW w:w="386" w:type="pct"/>
            <w:noWrap/>
            <w:vAlign w:val="center"/>
          </w:tcPr>
          <w:p w14:paraId="34E9A74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RP-normal-1</w:t>
            </w:r>
          </w:p>
        </w:tc>
        <w:tc>
          <w:tcPr>
            <w:tcW w:w="208" w:type="pct"/>
            <w:noWrap/>
            <w:vAlign w:val="center"/>
          </w:tcPr>
          <w:p w14:paraId="02C3E77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157.6 </w:t>
            </w:r>
          </w:p>
        </w:tc>
        <w:tc>
          <w:tcPr>
            <w:tcW w:w="532" w:type="pct"/>
            <w:noWrap/>
            <w:vAlign w:val="center"/>
          </w:tcPr>
          <w:p w14:paraId="3093F72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lnorm</w:t>
            </w:r>
            <w:proofErr w:type="spellEnd"/>
          </w:p>
        </w:tc>
        <w:tc>
          <w:tcPr>
            <w:tcW w:w="318" w:type="pct"/>
            <w:noWrap/>
            <w:vAlign w:val="center"/>
          </w:tcPr>
          <w:p w14:paraId="377C959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56.1 </w:t>
            </w:r>
          </w:p>
        </w:tc>
        <w:tc>
          <w:tcPr>
            <w:tcW w:w="371" w:type="pct"/>
            <w:noWrap/>
            <w:vAlign w:val="center"/>
          </w:tcPr>
          <w:p w14:paraId="4183A23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lnorm</w:t>
            </w:r>
            <w:proofErr w:type="spellEnd"/>
          </w:p>
        </w:tc>
        <w:tc>
          <w:tcPr>
            <w:tcW w:w="203" w:type="pct"/>
            <w:noWrap/>
            <w:vAlign w:val="center"/>
          </w:tcPr>
          <w:p w14:paraId="71F2E21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28.5 </w:t>
            </w:r>
          </w:p>
        </w:tc>
        <w:tc>
          <w:tcPr>
            <w:tcW w:w="372" w:type="pct"/>
            <w:noWrap/>
            <w:vAlign w:val="center"/>
          </w:tcPr>
          <w:p w14:paraId="0DD8321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lnorm</w:t>
            </w:r>
            <w:proofErr w:type="spellEnd"/>
          </w:p>
        </w:tc>
        <w:tc>
          <w:tcPr>
            <w:tcW w:w="207" w:type="pct"/>
            <w:noWrap/>
            <w:vAlign w:val="center"/>
          </w:tcPr>
          <w:p w14:paraId="3A0797B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55.0 </w:t>
            </w:r>
          </w:p>
        </w:tc>
        <w:tc>
          <w:tcPr>
            <w:tcW w:w="392" w:type="pct"/>
            <w:noWrap/>
            <w:vAlign w:val="center"/>
          </w:tcPr>
          <w:p w14:paraId="50543A1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4A468DA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3057AAC5" w14:textId="77777777">
        <w:trPr>
          <w:trHeight w:val="288"/>
        </w:trPr>
        <w:tc>
          <w:tcPr>
            <w:tcW w:w="424" w:type="pct"/>
            <w:noWrap/>
            <w:vAlign w:val="center"/>
          </w:tcPr>
          <w:p w14:paraId="341BA55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RP-normal-1</w:t>
            </w:r>
          </w:p>
        </w:tc>
        <w:tc>
          <w:tcPr>
            <w:tcW w:w="219" w:type="pct"/>
            <w:noWrap/>
            <w:vAlign w:val="center"/>
          </w:tcPr>
          <w:p w14:paraId="23A1F7C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77.9 </w:t>
            </w:r>
          </w:p>
        </w:tc>
        <w:tc>
          <w:tcPr>
            <w:tcW w:w="386" w:type="pct"/>
            <w:noWrap/>
            <w:vAlign w:val="center"/>
          </w:tcPr>
          <w:p w14:paraId="17AB87F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lnorm</w:t>
            </w:r>
            <w:proofErr w:type="spellEnd"/>
          </w:p>
        </w:tc>
        <w:tc>
          <w:tcPr>
            <w:tcW w:w="203" w:type="pct"/>
            <w:noWrap/>
            <w:vAlign w:val="center"/>
          </w:tcPr>
          <w:p w14:paraId="2A8B5C6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87.6 </w:t>
            </w:r>
          </w:p>
        </w:tc>
        <w:tc>
          <w:tcPr>
            <w:tcW w:w="392" w:type="pct"/>
            <w:noWrap/>
            <w:vAlign w:val="center"/>
          </w:tcPr>
          <w:p w14:paraId="3F63CCA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genf</w:t>
            </w:r>
            <w:proofErr w:type="spellEnd"/>
          </w:p>
        </w:tc>
        <w:tc>
          <w:tcPr>
            <w:tcW w:w="203" w:type="pct"/>
            <w:noWrap/>
            <w:vAlign w:val="center"/>
          </w:tcPr>
          <w:p w14:paraId="72B0081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71.2 </w:t>
            </w:r>
          </w:p>
        </w:tc>
        <w:tc>
          <w:tcPr>
            <w:tcW w:w="386" w:type="pct"/>
            <w:noWrap/>
            <w:vAlign w:val="center"/>
          </w:tcPr>
          <w:p w14:paraId="6632AB1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RP-odds-1</w:t>
            </w:r>
          </w:p>
        </w:tc>
        <w:tc>
          <w:tcPr>
            <w:tcW w:w="208" w:type="pct"/>
            <w:noWrap/>
            <w:vAlign w:val="center"/>
          </w:tcPr>
          <w:p w14:paraId="40D9E09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159.0 </w:t>
            </w:r>
          </w:p>
        </w:tc>
        <w:tc>
          <w:tcPr>
            <w:tcW w:w="532" w:type="pct"/>
            <w:noWrap/>
            <w:vAlign w:val="center"/>
          </w:tcPr>
          <w:p w14:paraId="01895E1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llogis</w:t>
            </w:r>
            <w:proofErr w:type="spellEnd"/>
          </w:p>
        </w:tc>
        <w:tc>
          <w:tcPr>
            <w:tcW w:w="318" w:type="pct"/>
            <w:noWrap/>
            <w:vAlign w:val="center"/>
          </w:tcPr>
          <w:p w14:paraId="0DEB676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57.8 </w:t>
            </w:r>
          </w:p>
        </w:tc>
        <w:tc>
          <w:tcPr>
            <w:tcW w:w="371" w:type="pct"/>
            <w:noWrap/>
            <w:vAlign w:val="center"/>
          </w:tcPr>
          <w:p w14:paraId="1AEACC7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RP-normal-1</w:t>
            </w:r>
          </w:p>
        </w:tc>
        <w:tc>
          <w:tcPr>
            <w:tcW w:w="203" w:type="pct"/>
            <w:noWrap/>
            <w:vAlign w:val="center"/>
          </w:tcPr>
          <w:p w14:paraId="3CB29B6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28.5 </w:t>
            </w:r>
          </w:p>
        </w:tc>
        <w:tc>
          <w:tcPr>
            <w:tcW w:w="372" w:type="pct"/>
            <w:noWrap/>
            <w:vAlign w:val="center"/>
          </w:tcPr>
          <w:p w14:paraId="2AFFA58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RP-normal-1</w:t>
            </w:r>
          </w:p>
        </w:tc>
        <w:tc>
          <w:tcPr>
            <w:tcW w:w="207" w:type="pct"/>
            <w:noWrap/>
            <w:vAlign w:val="center"/>
          </w:tcPr>
          <w:p w14:paraId="2C7E009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55.0 </w:t>
            </w:r>
          </w:p>
        </w:tc>
        <w:tc>
          <w:tcPr>
            <w:tcW w:w="392" w:type="pct"/>
            <w:noWrap/>
            <w:vAlign w:val="center"/>
          </w:tcPr>
          <w:p w14:paraId="78E869F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0735A71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230ABC10" w14:textId="77777777">
        <w:trPr>
          <w:trHeight w:val="288"/>
        </w:trPr>
        <w:tc>
          <w:tcPr>
            <w:tcW w:w="424" w:type="pct"/>
            <w:noWrap/>
            <w:vAlign w:val="center"/>
          </w:tcPr>
          <w:p w14:paraId="2E3F0EC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FP1-2</w:t>
            </w:r>
          </w:p>
        </w:tc>
        <w:tc>
          <w:tcPr>
            <w:tcW w:w="219" w:type="pct"/>
            <w:noWrap/>
            <w:vAlign w:val="center"/>
          </w:tcPr>
          <w:p w14:paraId="4425A4A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78.3 </w:t>
            </w:r>
          </w:p>
        </w:tc>
        <w:tc>
          <w:tcPr>
            <w:tcW w:w="386" w:type="pct"/>
            <w:noWrap/>
            <w:vAlign w:val="center"/>
          </w:tcPr>
          <w:p w14:paraId="732A90C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RP-normal-1</w:t>
            </w:r>
          </w:p>
        </w:tc>
        <w:tc>
          <w:tcPr>
            <w:tcW w:w="203" w:type="pct"/>
            <w:noWrap/>
            <w:vAlign w:val="center"/>
          </w:tcPr>
          <w:p w14:paraId="4300202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87.6 </w:t>
            </w:r>
          </w:p>
        </w:tc>
        <w:tc>
          <w:tcPr>
            <w:tcW w:w="392" w:type="pct"/>
            <w:noWrap/>
            <w:vAlign w:val="center"/>
          </w:tcPr>
          <w:p w14:paraId="76DDF1C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lnorm</w:t>
            </w:r>
            <w:proofErr w:type="spellEnd"/>
          </w:p>
        </w:tc>
        <w:tc>
          <w:tcPr>
            <w:tcW w:w="203" w:type="pct"/>
            <w:noWrap/>
            <w:vAlign w:val="center"/>
          </w:tcPr>
          <w:p w14:paraId="3B920E7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72.1 </w:t>
            </w:r>
          </w:p>
        </w:tc>
        <w:tc>
          <w:tcPr>
            <w:tcW w:w="386" w:type="pct"/>
            <w:noWrap/>
            <w:vAlign w:val="center"/>
          </w:tcPr>
          <w:p w14:paraId="6D414EF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RP-hazard-2</w:t>
            </w:r>
          </w:p>
        </w:tc>
        <w:tc>
          <w:tcPr>
            <w:tcW w:w="208" w:type="pct"/>
            <w:noWrap/>
            <w:vAlign w:val="center"/>
          </w:tcPr>
          <w:p w14:paraId="7D7FE10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159.2 </w:t>
            </w:r>
          </w:p>
        </w:tc>
        <w:tc>
          <w:tcPr>
            <w:tcW w:w="532" w:type="pct"/>
            <w:noWrap/>
            <w:vAlign w:val="center"/>
          </w:tcPr>
          <w:p w14:paraId="2DE8AE7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RP-odds-1</w:t>
            </w:r>
          </w:p>
        </w:tc>
        <w:tc>
          <w:tcPr>
            <w:tcW w:w="318" w:type="pct"/>
            <w:noWrap/>
            <w:vAlign w:val="center"/>
          </w:tcPr>
          <w:p w14:paraId="527A253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57.8 </w:t>
            </w:r>
          </w:p>
        </w:tc>
        <w:tc>
          <w:tcPr>
            <w:tcW w:w="371" w:type="pct"/>
            <w:noWrap/>
            <w:vAlign w:val="center"/>
          </w:tcPr>
          <w:p w14:paraId="32F2468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FP2-2</w:t>
            </w:r>
          </w:p>
        </w:tc>
        <w:tc>
          <w:tcPr>
            <w:tcW w:w="203" w:type="pct"/>
            <w:noWrap/>
            <w:vAlign w:val="center"/>
          </w:tcPr>
          <w:p w14:paraId="1387C46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28.7 </w:t>
            </w:r>
          </w:p>
        </w:tc>
        <w:tc>
          <w:tcPr>
            <w:tcW w:w="372" w:type="pct"/>
            <w:noWrap/>
            <w:vAlign w:val="center"/>
          </w:tcPr>
          <w:p w14:paraId="5A86F28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RP-normal-2</w:t>
            </w:r>
          </w:p>
        </w:tc>
        <w:tc>
          <w:tcPr>
            <w:tcW w:w="207" w:type="pct"/>
            <w:noWrap/>
            <w:vAlign w:val="center"/>
          </w:tcPr>
          <w:p w14:paraId="0612B44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55.1 </w:t>
            </w:r>
          </w:p>
        </w:tc>
        <w:tc>
          <w:tcPr>
            <w:tcW w:w="392" w:type="pct"/>
            <w:noWrap/>
            <w:vAlign w:val="center"/>
          </w:tcPr>
          <w:p w14:paraId="1699F69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2B958B3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2637E7EB" w14:textId="77777777">
        <w:trPr>
          <w:trHeight w:val="288"/>
        </w:trPr>
        <w:tc>
          <w:tcPr>
            <w:tcW w:w="424" w:type="pct"/>
            <w:noWrap/>
            <w:vAlign w:val="center"/>
          </w:tcPr>
          <w:p w14:paraId="6DDD67A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RP-odds-1</w:t>
            </w:r>
          </w:p>
        </w:tc>
        <w:tc>
          <w:tcPr>
            <w:tcW w:w="219" w:type="pct"/>
            <w:noWrap/>
            <w:vAlign w:val="center"/>
          </w:tcPr>
          <w:p w14:paraId="61DF956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78.6 </w:t>
            </w:r>
          </w:p>
        </w:tc>
        <w:tc>
          <w:tcPr>
            <w:tcW w:w="386" w:type="pct"/>
            <w:noWrap/>
            <w:vAlign w:val="center"/>
          </w:tcPr>
          <w:p w14:paraId="5973F2A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FP2-2</w:t>
            </w:r>
          </w:p>
        </w:tc>
        <w:tc>
          <w:tcPr>
            <w:tcW w:w="203" w:type="pct"/>
            <w:noWrap/>
            <w:vAlign w:val="center"/>
          </w:tcPr>
          <w:p w14:paraId="502FCC4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88.3 </w:t>
            </w:r>
          </w:p>
        </w:tc>
        <w:tc>
          <w:tcPr>
            <w:tcW w:w="392" w:type="pct"/>
            <w:noWrap/>
            <w:vAlign w:val="center"/>
          </w:tcPr>
          <w:p w14:paraId="54BC85B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FP2-1</w:t>
            </w:r>
          </w:p>
        </w:tc>
        <w:tc>
          <w:tcPr>
            <w:tcW w:w="203" w:type="pct"/>
            <w:noWrap/>
            <w:vAlign w:val="center"/>
          </w:tcPr>
          <w:p w14:paraId="5F620FE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73.0 </w:t>
            </w:r>
          </w:p>
        </w:tc>
        <w:tc>
          <w:tcPr>
            <w:tcW w:w="386" w:type="pct"/>
            <w:noWrap/>
            <w:vAlign w:val="center"/>
          </w:tcPr>
          <w:p w14:paraId="5009C02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genf</w:t>
            </w:r>
            <w:proofErr w:type="spellEnd"/>
          </w:p>
        </w:tc>
        <w:tc>
          <w:tcPr>
            <w:tcW w:w="208" w:type="pct"/>
            <w:noWrap/>
            <w:vAlign w:val="center"/>
          </w:tcPr>
          <w:p w14:paraId="211D75D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159.2 </w:t>
            </w:r>
          </w:p>
        </w:tc>
        <w:tc>
          <w:tcPr>
            <w:tcW w:w="532" w:type="pct"/>
            <w:noWrap/>
            <w:vAlign w:val="center"/>
          </w:tcPr>
          <w:p w14:paraId="023E21C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gengamma</w:t>
            </w:r>
            <w:proofErr w:type="spellEnd"/>
          </w:p>
        </w:tc>
        <w:tc>
          <w:tcPr>
            <w:tcW w:w="318" w:type="pct"/>
            <w:noWrap/>
            <w:vAlign w:val="center"/>
          </w:tcPr>
          <w:p w14:paraId="24A3A2D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58.0 </w:t>
            </w:r>
          </w:p>
        </w:tc>
        <w:tc>
          <w:tcPr>
            <w:tcW w:w="371" w:type="pct"/>
            <w:noWrap/>
            <w:vAlign w:val="center"/>
          </w:tcPr>
          <w:p w14:paraId="34ABFFF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FP2-1</w:t>
            </w:r>
          </w:p>
        </w:tc>
        <w:tc>
          <w:tcPr>
            <w:tcW w:w="203" w:type="pct"/>
            <w:noWrap/>
            <w:vAlign w:val="center"/>
          </w:tcPr>
          <w:p w14:paraId="45882F2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29.1 </w:t>
            </w:r>
          </w:p>
        </w:tc>
        <w:tc>
          <w:tcPr>
            <w:tcW w:w="372" w:type="pct"/>
            <w:noWrap/>
            <w:vAlign w:val="center"/>
          </w:tcPr>
          <w:p w14:paraId="1485C56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FP2-2</w:t>
            </w:r>
          </w:p>
        </w:tc>
        <w:tc>
          <w:tcPr>
            <w:tcW w:w="207" w:type="pct"/>
            <w:noWrap/>
            <w:vAlign w:val="center"/>
          </w:tcPr>
          <w:p w14:paraId="6AF20EC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55.4 </w:t>
            </w:r>
          </w:p>
        </w:tc>
        <w:tc>
          <w:tcPr>
            <w:tcW w:w="392" w:type="pct"/>
            <w:noWrap/>
            <w:vAlign w:val="center"/>
          </w:tcPr>
          <w:p w14:paraId="632CC6E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47D735C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6B38F261" w14:textId="77777777">
        <w:trPr>
          <w:trHeight w:val="288"/>
        </w:trPr>
        <w:tc>
          <w:tcPr>
            <w:tcW w:w="424" w:type="pct"/>
            <w:noWrap/>
            <w:vAlign w:val="center"/>
          </w:tcPr>
          <w:p w14:paraId="49C8F22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llogis</w:t>
            </w:r>
            <w:proofErr w:type="spellEnd"/>
          </w:p>
        </w:tc>
        <w:tc>
          <w:tcPr>
            <w:tcW w:w="219" w:type="pct"/>
            <w:noWrap/>
            <w:vAlign w:val="center"/>
          </w:tcPr>
          <w:p w14:paraId="3CFF469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78.6 </w:t>
            </w:r>
          </w:p>
        </w:tc>
        <w:tc>
          <w:tcPr>
            <w:tcW w:w="386" w:type="pct"/>
            <w:noWrap/>
            <w:vAlign w:val="center"/>
          </w:tcPr>
          <w:p w14:paraId="284503E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RP-odds-1</w:t>
            </w:r>
          </w:p>
        </w:tc>
        <w:tc>
          <w:tcPr>
            <w:tcW w:w="203" w:type="pct"/>
            <w:noWrap/>
            <w:vAlign w:val="center"/>
          </w:tcPr>
          <w:p w14:paraId="7AB45D7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88.7 </w:t>
            </w:r>
          </w:p>
        </w:tc>
        <w:tc>
          <w:tcPr>
            <w:tcW w:w="392" w:type="pct"/>
            <w:noWrap/>
            <w:vAlign w:val="center"/>
          </w:tcPr>
          <w:p w14:paraId="7473355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llogis</w:t>
            </w:r>
            <w:proofErr w:type="spellEnd"/>
          </w:p>
        </w:tc>
        <w:tc>
          <w:tcPr>
            <w:tcW w:w="203" w:type="pct"/>
            <w:noWrap/>
            <w:vAlign w:val="center"/>
          </w:tcPr>
          <w:p w14:paraId="02D2159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74.3 </w:t>
            </w:r>
          </w:p>
        </w:tc>
        <w:tc>
          <w:tcPr>
            <w:tcW w:w="386" w:type="pct"/>
            <w:noWrap/>
            <w:vAlign w:val="center"/>
          </w:tcPr>
          <w:p w14:paraId="5093D4C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RP-normal-2</w:t>
            </w:r>
          </w:p>
        </w:tc>
        <w:tc>
          <w:tcPr>
            <w:tcW w:w="208" w:type="pct"/>
            <w:noWrap/>
            <w:vAlign w:val="center"/>
          </w:tcPr>
          <w:p w14:paraId="52564DE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161.8 </w:t>
            </w:r>
          </w:p>
        </w:tc>
        <w:tc>
          <w:tcPr>
            <w:tcW w:w="532" w:type="pct"/>
            <w:noWrap/>
            <w:vAlign w:val="center"/>
          </w:tcPr>
          <w:p w14:paraId="53F77A9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RP-hazard-1</w:t>
            </w:r>
          </w:p>
        </w:tc>
        <w:tc>
          <w:tcPr>
            <w:tcW w:w="318" w:type="pct"/>
            <w:noWrap/>
            <w:vAlign w:val="center"/>
          </w:tcPr>
          <w:p w14:paraId="5826233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58.0 </w:t>
            </w:r>
          </w:p>
        </w:tc>
        <w:tc>
          <w:tcPr>
            <w:tcW w:w="371" w:type="pct"/>
            <w:noWrap/>
            <w:vAlign w:val="center"/>
          </w:tcPr>
          <w:p w14:paraId="4A217ED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RP-odds-1</w:t>
            </w:r>
          </w:p>
        </w:tc>
        <w:tc>
          <w:tcPr>
            <w:tcW w:w="203" w:type="pct"/>
            <w:noWrap/>
            <w:vAlign w:val="center"/>
          </w:tcPr>
          <w:p w14:paraId="020D09F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29.2 </w:t>
            </w:r>
          </w:p>
        </w:tc>
        <w:tc>
          <w:tcPr>
            <w:tcW w:w="372" w:type="pct"/>
            <w:noWrap/>
            <w:vAlign w:val="center"/>
          </w:tcPr>
          <w:p w14:paraId="4943A06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FP2-1</w:t>
            </w:r>
          </w:p>
        </w:tc>
        <w:tc>
          <w:tcPr>
            <w:tcW w:w="207" w:type="pct"/>
            <w:noWrap/>
            <w:vAlign w:val="center"/>
          </w:tcPr>
          <w:p w14:paraId="426E0D5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55.7 </w:t>
            </w:r>
          </w:p>
        </w:tc>
        <w:tc>
          <w:tcPr>
            <w:tcW w:w="392" w:type="pct"/>
            <w:noWrap/>
            <w:vAlign w:val="center"/>
          </w:tcPr>
          <w:p w14:paraId="1303166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7880408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2F249EA9" w14:textId="77777777">
        <w:trPr>
          <w:trHeight w:val="288"/>
        </w:trPr>
        <w:tc>
          <w:tcPr>
            <w:tcW w:w="424" w:type="pct"/>
            <w:noWrap/>
            <w:vAlign w:val="center"/>
          </w:tcPr>
          <w:p w14:paraId="02B7640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FP1-1</w:t>
            </w:r>
          </w:p>
        </w:tc>
        <w:tc>
          <w:tcPr>
            <w:tcW w:w="219" w:type="pct"/>
            <w:noWrap/>
            <w:vAlign w:val="center"/>
          </w:tcPr>
          <w:p w14:paraId="5084627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78.8 </w:t>
            </w:r>
          </w:p>
        </w:tc>
        <w:tc>
          <w:tcPr>
            <w:tcW w:w="386" w:type="pct"/>
            <w:noWrap/>
            <w:vAlign w:val="center"/>
          </w:tcPr>
          <w:p w14:paraId="01C147F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llogis</w:t>
            </w:r>
            <w:proofErr w:type="spellEnd"/>
          </w:p>
        </w:tc>
        <w:tc>
          <w:tcPr>
            <w:tcW w:w="203" w:type="pct"/>
            <w:noWrap/>
            <w:vAlign w:val="center"/>
          </w:tcPr>
          <w:p w14:paraId="6EF3BBE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88.7 </w:t>
            </w:r>
          </w:p>
        </w:tc>
        <w:tc>
          <w:tcPr>
            <w:tcW w:w="392" w:type="pct"/>
            <w:noWrap/>
            <w:vAlign w:val="center"/>
          </w:tcPr>
          <w:p w14:paraId="177D7F7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RCS2</w:t>
            </w:r>
          </w:p>
        </w:tc>
        <w:tc>
          <w:tcPr>
            <w:tcW w:w="203" w:type="pct"/>
            <w:noWrap/>
            <w:vAlign w:val="center"/>
          </w:tcPr>
          <w:p w14:paraId="448EE4B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77.8 </w:t>
            </w:r>
          </w:p>
        </w:tc>
        <w:tc>
          <w:tcPr>
            <w:tcW w:w="386" w:type="pct"/>
            <w:noWrap/>
            <w:vAlign w:val="center"/>
          </w:tcPr>
          <w:p w14:paraId="38E867E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RP-odds-2</w:t>
            </w:r>
          </w:p>
        </w:tc>
        <w:tc>
          <w:tcPr>
            <w:tcW w:w="208" w:type="pct"/>
            <w:noWrap/>
            <w:vAlign w:val="center"/>
          </w:tcPr>
          <w:p w14:paraId="46E7616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162.5 </w:t>
            </w:r>
          </w:p>
        </w:tc>
        <w:tc>
          <w:tcPr>
            <w:tcW w:w="532" w:type="pct"/>
            <w:noWrap/>
            <w:vAlign w:val="center"/>
          </w:tcPr>
          <w:p w14:paraId="358FE39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FP1-2</w:t>
            </w:r>
          </w:p>
        </w:tc>
        <w:tc>
          <w:tcPr>
            <w:tcW w:w="318" w:type="pct"/>
            <w:noWrap/>
            <w:vAlign w:val="center"/>
          </w:tcPr>
          <w:p w14:paraId="6C1ADC6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58.2 </w:t>
            </w:r>
          </w:p>
        </w:tc>
        <w:tc>
          <w:tcPr>
            <w:tcW w:w="371" w:type="pct"/>
            <w:noWrap/>
            <w:vAlign w:val="center"/>
          </w:tcPr>
          <w:p w14:paraId="5D86B01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llogis</w:t>
            </w:r>
            <w:proofErr w:type="spellEnd"/>
          </w:p>
        </w:tc>
        <w:tc>
          <w:tcPr>
            <w:tcW w:w="203" w:type="pct"/>
            <w:noWrap/>
            <w:vAlign w:val="center"/>
          </w:tcPr>
          <w:p w14:paraId="131D42D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29.2 </w:t>
            </w:r>
          </w:p>
        </w:tc>
        <w:tc>
          <w:tcPr>
            <w:tcW w:w="372" w:type="pct"/>
            <w:noWrap/>
            <w:vAlign w:val="center"/>
          </w:tcPr>
          <w:p w14:paraId="6499CA3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RP-odds-2</w:t>
            </w:r>
          </w:p>
        </w:tc>
        <w:tc>
          <w:tcPr>
            <w:tcW w:w="207" w:type="pct"/>
            <w:noWrap/>
            <w:vAlign w:val="center"/>
          </w:tcPr>
          <w:p w14:paraId="7AF0260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55.8 </w:t>
            </w:r>
          </w:p>
        </w:tc>
        <w:tc>
          <w:tcPr>
            <w:tcW w:w="392" w:type="pct"/>
            <w:noWrap/>
            <w:vAlign w:val="center"/>
          </w:tcPr>
          <w:p w14:paraId="69EED5C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0A8BC58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2D1726D7" w14:textId="77777777">
        <w:trPr>
          <w:trHeight w:val="288"/>
        </w:trPr>
        <w:tc>
          <w:tcPr>
            <w:tcW w:w="424" w:type="pct"/>
            <w:noWrap/>
            <w:vAlign w:val="center"/>
          </w:tcPr>
          <w:p w14:paraId="2AE7871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gamma</w:t>
            </w:r>
          </w:p>
        </w:tc>
        <w:tc>
          <w:tcPr>
            <w:tcW w:w="219" w:type="pct"/>
            <w:noWrap/>
            <w:vAlign w:val="center"/>
          </w:tcPr>
          <w:p w14:paraId="0F368B6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79.0 </w:t>
            </w:r>
          </w:p>
        </w:tc>
        <w:tc>
          <w:tcPr>
            <w:tcW w:w="386" w:type="pct"/>
            <w:noWrap/>
            <w:vAlign w:val="center"/>
          </w:tcPr>
          <w:p w14:paraId="3A8F70B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FP2-1</w:t>
            </w:r>
          </w:p>
        </w:tc>
        <w:tc>
          <w:tcPr>
            <w:tcW w:w="203" w:type="pct"/>
            <w:noWrap/>
            <w:vAlign w:val="center"/>
          </w:tcPr>
          <w:p w14:paraId="2BE33AE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89.0 </w:t>
            </w:r>
          </w:p>
        </w:tc>
        <w:tc>
          <w:tcPr>
            <w:tcW w:w="392" w:type="pct"/>
            <w:noWrap/>
            <w:vAlign w:val="center"/>
          </w:tcPr>
          <w:p w14:paraId="47585CE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RCS1</w:t>
            </w:r>
          </w:p>
        </w:tc>
        <w:tc>
          <w:tcPr>
            <w:tcW w:w="203" w:type="pct"/>
            <w:noWrap/>
            <w:vAlign w:val="center"/>
          </w:tcPr>
          <w:p w14:paraId="23F0FCB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81.1 </w:t>
            </w:r>
          </w:p>
        </w:tc>
        <w:tc>
          <w:tcPr>
            <w:tcW w:w="386" w:type="pct"/>
            <w:noWrap/>
            <w:vAlign w:val="center"/>
          </w:tcPr>
          <w:p w14:paraId="6F1B901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RP-hazard-1</w:t>
            </w:r>
          </w:p>
        </w:tc>
        <w:tc>
          <w:tcPr>
            <w:tcW w:w="208" w:type="pct"/>
            <w:noWrap/>
            <w:vAlign w:val="center"/>
          </w:tcPr>
          <w:p w14:paraId="0F7357C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162.6 </w:t>
            </w:r>
          </w:p>
        </w:tc>
        <w:tc>
          <w:tcPr>
            <w:tcW w:w="532" w:type="pct"/>
            <w:noWrap/>
            <w:vAlign w:val="center"/>
          </w:tcPr>
          <w:p w14:paraId="56FB920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FP2-2</w:t>
            </w:r>
          </w:p>
        </w:tc>
        <w:tc>
          <w:tcPr>
            <w:tcW w:w="318" w:type="pct"/>
            <w:noWrap/>
            <w:vAlign w:val="center"/>
          </w:tcPr>
          <w:p w14:paraId="0C1F33B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58.2 </w:t>
            </w:r>
          </w:p>
        </w:tc>
        <w:tc>
          <w:tcPr>
            <w:tcW w:w="371" w:type="pct"/>
            <w:noWrap/>
            <w:vAlign w:val="center"/>
          </w:tcPr>
          <w:p w14:paraId="240F233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FP1-1</w:t>
            </w:r>
          </w:p>
        </w:tc>
        <w:tc>
          <w:tcPr>
            <w:tcW w:w="203" w:type="pct"/>
            <w:noWrap/>
            <w:vAlign w:val="center"/>
          </w:tcPr>
          <w:p w14:paraId="73C77A0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29.4 </w:t>
            </w:r>
          </w:p>
        </w:tc>
        <w:tc>
          <w:tcPr>
            <w:tcW w:w="372" w:type="pct"/>
            <w:noWrap/>
            <w:vAlign w:val="center"/>
          </w:tcPr>
          <w:p w14:paraId="46A1587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RP-odds-1</w:t>
            </w:r>
          </w:p>
        </w:tc>
        <w:tc>
          <w:tcPr>
            <w:tcW w:w="207" w:type="pct"/>
            <w:noWrap/>
            <w:vAlign w:val="center"/>
          </w:tcPr>
          <w:p w14:paraId="36CB21F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56.3 </w:t>
            </w:r>
          </w:p>
        </w:tc>
        <w:tc>
          <w:tcPr>
            <w:tcW w:w="392" w:type="pct"/>
            <w:noWrap/>
            <w:vAlign w:val="center"/>
          </w:tcPr>
          <w:p w14:paraId="29E414E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2E02663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18425749" w14:textId="77777777">
        <w:trPr>
          <w:trHeight w:val="288"/>
        </w:trPr>
        <w:tc>
          <w:tcPr>
            <w:tcW w:w="424" w:type="pct"/>
            <w:noWrap/>
            <w:vAlign w:val="center"/>
          </w:tcPr>
          <w:p w14:paraId="6C39D30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weibull</w:t>
            </w:r>
            <w:proofErr w:type="spellEnd"/>
          </w:p>
        </w:tc>
        <w:tc>
          <w:tcPr>
            <w:tcW w:w="219" w:type="pct"/>
            <w:noWrap/>
            <w:vAlign w:val="center"/>
          </w:tcPr>
          <w:p w14:paraId="0162AED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79.2 </w:t>
            </w:r>
          </w:p>
        </w:tc>
        <w:tc>
          <w:tcPr>
            <w:tcW w:w="386" w:type="pct"/>
            <w:noWrap/>
            <w:vAlign w:val="center"/>
          </w:tcPr>
          <w:p w14:paraId="41D9E6D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RP-normal-2</w:t>
            </w:r>
          </w:p>
        </w:tc>
        <w:tc>
          <w:tcPr>
            <w:tcW w:w="203" w:type="pct"/>
            <w:noWrap/>
            <w:vAlign w:val="center"/>
          </w:tcPr>
          <w:p w14:paraId="5F79883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89.1 </w:t>
            </w:r>
          </w:p>
        </w:tc>
        <w:tc>
          <w:tcPr>
            <w:tcW w:w="392" w:type="pct"/>
            <w:noWrap/>
            <w:vAlign w:val="center"/>
          </w:tcPr>
          <w:p w14:paraId="546AAD0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gompertz</w:t>
            </w:r>
            <w:proofErr w:type="spellEnd"/>
          </w:p>
        </w:tc>
        <w:tc>
          <w:tcPr>
            <w:tcW w:w="203" w:type="pct"/>
            <w:noWrap/>
            <w:vAlign w:val="center"/>
          </w:tcPr>
          <w:p w14:paraId="1B7D78C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81.3 </w:t>
            </w:r>
          </w:p>
        </w:tc>
        <w:tc>
          <w:tcPr>
            <w:tcW w:w="386" w:type="pct"/>
            <w:noWrap/>
            <w:vAlign w:val="center"/>
          </w:tcPr>
          <w:p w14:paraId="378E645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lnorm</w:t>
            </w:r>
            <w:proofErr w:type="spellEnd"/>
          </w:p>
        </w:tc>
        <w:tc>
          <w:tcPr>
            <w:tcW w:w="208" w:type="pct"/>
            <w:noWrap/>
            <w:vAlign w:val="center"/>
          </w:tcPr>
          <w:p w14:paraId="6CAB805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164.2 </w:t>
            </w:r>
          </w:p>
        </w:tc>
        <w:tc>
          <w:tcPr>
            <w:tcW w:w="532" w:type="pct"/>
            <w:noWrap/>
            <w:vAlign w:val="center"/>
          </w:tcPr>
          <w:p w14:paraId="0A669E2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RP-odds-2</w:t>
            </w:r>
          </w:p>
        </w:tc>
        <w:tc>
          <w:tcPr>
            <w:tcW w:w="318" w:type="pct"/>
            <w:noWrap/>
            <w:vAlign w:val="center"/>
          </w:tcPr>
          <w:p w14:paraId="1DCE52C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58.2 </w:t>
            </w:r>
          </w:p>
        </w:tc>
        <w:tc>
          <w:tcPr>
            <w:tcW w:w="371" w:type="pct"/>
            <w:noWrap/>
            <w:vAlign w:val="center"/>
          </w:tcPr>
          <w:p w14:paraId="0F49710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gengamma</w:t>
            </w:r>
            <w:proofErr w:type="spellEnd"/>
          </w:p>
        </w:tc>
        <w:tc>
          <w:tcPr>
            <w:tcW w:w="203" w:type="pct"/>
            <w:noWrap/>
            <w:vAlign w:val="center"/>
          </w:tcPr>
          <w:p w14:paraId="0F812AB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29.7 </w:t>
            </w:r>
          </w:p>
        </w:tc>
        <w:tc>
          <w:tcPr>
            <w:tcW w:w="372" w:type="pct"/>
            <w:noWrap/>
            <w:vAlign w:val="center"/>
          </w:tcPr>
          <w:p w14:paraId="6950E29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llogis</w:t>
            </w:r>
            <w:proofErr w:type="spellEnd"/>
          </w:p>
        </w:tc>
        <w:tc>
          <w:tcPr>
            <w:tcW w:w="207" w:type="pct"/>
            <w:noWrap/>
            <w:vAlign w:val="center"/>
          </w:tcPr>
          <w:p w14:paraId="5F12479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56.3 </w:t>
            </w:r>
          </w:p>
        </w:tc>
        <w:tc>
          <w:tcPr>
            <w:tcW w:w="392" w:type="pct"/>
            <w:noWrap/>
            <w:vAlign w:val="center"/>
          </w:tcPr>
          <w:p w14:paraId="5B528D8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090B798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4B9F81AE" w14:textId="77777777">
        <w:trPr>
          <w:trHeight w:val="288"/>
        </w:trPr>
        <w:tc>
          <w:tcPr>
            <w:tcW w:w="424" w:type="pct"/>
            <w:noWrap/>
            <w:vAlign w:val="center"/>
          </w:tcPr>
          <w:p w14:paraId="441B4F2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RP-hazard-1</w:t>
            </w:r>
          </w:p>
        </w:tc>
        <w:tc>
          <w:tcPr>
            <w:tcW w:w="219" w:type="pct"/>
            <w:noWrap/>
            <w:vAlign w:val="center"/>
          </w:tcPr>
          <w:p w14:paraId="66B9725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79.2 </w:t>
            </w:r>
          </w:p>
        </w:tc>
        <w:tc>
          <w:tcPr>
            <w:tcW w:w="386" w:type="pct"/>
            <w:noWrap/>
            <w:vAlign w:val="center"/>
          </w:tcPr>
          <w:p w14:paraId="73659E7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gengamma</w:t>
            </w:r>
            <w:proofErr w:type="spellEnd"/>
          </w:p>
        </w:tc>
        <w:tc>
          <w:tcPr>
            <w:tcW w:w="203" w:type="pct"/>
            <w:noWrap/>
            <w:vAlign w:val="center"/>
          </w:tcPr>
          <w:p w14:paraId="1C7D5A6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89.3 </w:t>
            </w:r>
          </w:p>
        </w:tc>
        <w:tc>
          <w:tcPr>
            <w:tcW w:w="392" w:type="pct"/>
            <w:noWrap/>
            <w:vAlign w:val="center"/>
          </w:tcPr>
          <w:p w14:paraId="10010D9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exp</w:t>
            </w:r>
          </w:p>
        </w:tc>
        <w:tc>
          <w:tcPr>
            <w:tcW w:w="203" w:type="pct"/>
            <w:noWrap/>
            <w:vAlign w:val="center"/>
          </w:tcPr>
          <w:p w14:paraId="1372FEE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82.4 </w:t>
            </w:r>
          </w:p>
        </w:tc>
        <w:tc>
          <w:tcPr>
            <w:tcW w:w="386" w:type="pct"/>
            <w:noWrap/>
            <w:vAlign w:val="center"/>
          </w:tcPr>
          <w:p w14:paraId="3DA8808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FP2-2</w:t>
            </w:r>
          </w:p>
        </w:tc>
        <w:tc>
          <w:tcPr>
            <w:tcW w:w="208" w:type="pct"/>
            <w:noWrap/>
            <w:vAlign w:val="center"/>
          </w:tcPr>
          <w:p w14:paraId="0456F0B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164.7 </w:t>
            </w:r>
          </w:p>
        </w:tc>
        <w:tc>
          <w:tcPr>
            <w:tcW w:w="532" w:type="pct"/>
            <w:noWrap/>
            <w:vAlign w:val="center"/>
          </w:tcPr>
          <w:p w14:paraId="165D6F2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RP-hazard-2</w:t>
            </w:r>
          </w:p>
        </w:tc>
        <w:tc>
          <w:tcPr>
            <w:tcW w:w="318" w:type="pct"/>
            <w:noWrap/>
            <w:vAlign w:val="center"/>
          </w:tcPr>
          <w:p w14:paraId="197D05E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58.6 </w:t>
            </w:r>
          </w:p>
        </w:tc>
        <w:tc>
          <w:tcPr>
            <w:tcW w:w="371" w:type="pct"/>
            <w:noWrap/>
            <w:vAlign w:val="center"/>
          </w:tcPr>
          <w:p w14:paraId="6C5747C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RP-normal-2</w:t>
            </w:r>
          </w:p>
        </w:tc>
        <w:tc>
          <w:tcPr>
            <w:tcW w:w="203" w:type="pct"/>
            <w:noWrap/>
            <w:vAlign w:val="center"/>
          </w:tcPr>
          <w:p w14:paraId="6B6887B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29.8 </w:t>
            </w:r>
          </w:p>
        </w:tc>
        <w:tc>
          <w:tcPr>
            <w:tcW w:w="372" w:type="pct"/>
            <w:noWrap/>
            <w:vAlign w:val="center"/>
          </w:tcPr>
          <w:p w14:paraId="242C223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RP-hazard-1</w:t>
            </w:r>
          </w:p>
        </w:tc>
        <w:tc>
          <w:tcPr>
            <w:tcW w:w="207" w:type="pct"/>
            <w:noWrap/>
            <w:vAlign w:val="center"/>
          </w:tcPr>
          <w:p w14:paraId="4C299FF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56.3 </w:t>
            </w:r>
          </w:p>
        </w:tc>
        <w:tc>
          <w:tcPr>
            <w:tcW w:w="392" w:type="pct"/>
            <w:noWrap/>
            <w:vAlign w:val="center"/>
          </w:tcPr>
          <w:p w14:paraId="73EB074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1A83C16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314CCB7E" w14:textId="77777777">
        <w:trPr>
          <w:trHeight w:val="288"/>
        </w:trPr>
        <w:tc>
          <w:tcPr>
            <w:tcW w:w="424" w:type="pct"/>
            <w:noWrap/>
            <w:vAlign w:val="center"/>
          </w:tcPr>
          <w:p w14:paraId="413ED45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gompertz</w:t>
            </w:r>
            <w:proofErr w:type="spellEnd"/>
          </w:p>
        </w:tc>
        <w:tc>
          <w:tcPr>
            <w:tcW w:w="219" w:type="pct"/>
            <w:noWrap/>
            <w:vAlign w:val="center"/>
          </w:tcPr>
          <w:p w14:paraId="2263F4A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79.7 </w:t>
            </w:r>
          </w:p>
        </w:tc>
        <w:tc>
          <w:tcPr>
            <w:tcW w:w="386" w:type="pct"/>
            <w:noWrap/>
            <w:vAlign w:val="center"/>
          </w:tcPr>
          <w:p w14:paraId="6FAE751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gamma</w:t>
            </w:r>
          </w:p>
        </w:tc>
        <w:tc>
          <w:tcPr>
            <w:tcW w:w="203" w:type="pct"/>
            <w:noWrap/>
            <w:vAlign w:val="center"/>
          </w:tcPr>
          <w:p w14:paraId="12CF41A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89.6 </w:t>
            </w:r>
          </w:p>
        </w:tc>
        <w:tc>
          <w:tcPr>
            <w:tcW w:w="392" w:type="pct"/>
            <w:noWrap/>
            <w:vAlign w:val="center"/>
          </w:tcPr>
          <w:p w14:paraId="3415BFF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FP1-2</w:t>
            </w:r>
          </w:p>
        </w:tc>
        <w:tc>
          <w:tcPr>
            <w:tcW w:w="203" w:type="pct"/>
            <w:noWrap/>
            <w:vAlign w:val="center"/>
          </w:tcPr>
          <w:p w14:paraId="41713D1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84.6 </w:t>
            </w:r>
          </w:p>
        </w:tc>
        <w:tc>
          <w:tcPr>
            <w:tcW w:w="386" w:type="pct"/>
            <w:noWrap/>
            <w:vAlign w:val="center"/>
          </w:tcPr>
          <w:p w14:paraId="3041929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FP2-1</w:t>
            </w:r>
          </w:p>
        </w:tc>
        <w:tc>
          <w:tcPr>
            <w:tcW w:w="208" w:type="pct"/>
            <w:noWrap/>
            <w:vAlign w:val="center"/>
          </w:tcPr>
          <w:p w14:paraId="5EA09E2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168.0 </w:t>
            </w:r>
          </w:p>
        </w:tc>
        <w:tc>
          <w:tcPr>
            <w:tcW w:w="532" w:type="pct"/>
            <w:noWrap/>
            <w:vAlign w:val="center"/>
          </w:tcPr>
          <w:p w14:paraId="52DFA04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exp</w:t>
            </w:r>
          </w:p>
        </w:tc>
        <w:tc>
          <w:tcPr>
            <w:tcW w:w="318" w:type="pct"/>
            <w:noWrap/>
            <w:vAlign w:val="center"/>
          </w:tcPr>
          <w:p w14:paraId="6814650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58.8 </w:t>
            </w:r>
          </w:p>
        </w:tc>
        <w:tc>
          <w:tcPr>
            <w:tcW w:w="371" w:type="pct"/>
            <w:noWrap/>
            <w:vAlign w:val="center"/>
          </w:tcPr>
          <w:p w14:paraId="7175E32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RP-odds-2</w:t>
            </w:r>
          </w:p>
        </w:tc>
        <w:tc>
          <w:tcPr>
            <w:tcW w:w="203" w:type="pct"/>
            <w:noWrap/>
            <w:vAlign w:val="center"/>
          </w:tcPr>
          <w:p w14:paraId="52989F9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30.4 </w:t>
            </w:r>
          </w:p>
        </w:tc>
        <w:tc>
          <w:tcPr>
            <w:tcW w:w="372" w:type="pct"/>
            <w:noWrap/>
            <w:vAlign w:val="center"/>
          </w:tcPr>
          <w:p w14:paraId="443056D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genf</w:t>
            </w:r>
            <w:proofErr w:type="spellEnd"/>
          </w:p>
        </w:tc>
        <w:tc>
          <w:tcPr>
            <w:tcW w:w="207" w:type="pct"/>
            <w:noWrap/>
            <w:vAlign w:val="center"/>
          </w:tcPr>
          <w:p w14:paraId="0D7FC21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57.1 </w:t>
            </w:r>
          </w:p>
        </w:tc>
        <w:tc>
          <w:tcPr>
            <w:tcW w:w="392" w:type="pct"/>
            <w:noWrap/>
            <w:vAlign w:val="center"/>
          </w:tcPr>
          <w:p w14:paraId="79465D6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1B79F8D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14F2EA83" w14:textId="77777777">
        <w:trPr>
          <w:trHeight w:val="288"/>
        </w:trPr>
        <w:tc>
          <w:tcPr>
            <w:tcW w:w="424" w:type="pct"/>
            <w:noWrap/>
            <w:vAlign w:val="center"/>
          </w:tcPr>
          <w:p w14:paraId="6A2763C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gengamma</w:t>
            </w:r>
            <w:proofErr w:type="spellEnd"/>
          </w:p>
        </w:tc>
        <w:tc>
          <w:tcPr>
            <w:tcW w:w="219" w:type="pct"/>
            <w:noWrap/>
            <w:vAlign w:val="center"/>
          </w:tcPr>
          <w:p w14:paraId="042AF22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79.7 </w:t>
            </w:r>
          </w:p>
        </w:tc>
        <w:tc>
          <w:tcPr>
            <w:tcW w:w="386" w:type="pct"/>
            <w:noWrap/>
            <w:vAlign w:val="center"/>
          </w:tcPr>
          <w:p w14:paraId="7E98927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RP-hazard-1</w:t>
            </w:r>
          </w:p>
        </w:tc>
        <w:tc>
          <w:tcPr>
            <w:tcW w:w="203" w:type="pct"/>
            <w:noWrap/>
            <w:vAlign w:val="center"/>
          </w:tcPr>
          <w:p w14:paraId="3E38BAD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89.9 </w:t>
            </w:r>
          </w:p>
        </w:tc>
        <w:tc>
          <w:tcPr>
            <w:tcW w:w="392" w:type="pct"/>
            <w:noWrap/>
            <w:vAlign w:val="center"/>
          </w:tcPr>
          <w:p w14:paraId="2163FC6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RP-hazard-2</w:t>
            </w:r>
          </w:p>
        </w:tc>
        <w:tc>
          <w:tcPr>
            <w:tcW w:w="203" w:type="pct"/>
            <w:noWrap/>
            <w:vAlign w:val="center"/>
          </w:tcPr>
          <w:p w14:paraId="13D6EDC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85.1 </w:t>
            </w:r>
          </w:p>
        </w:tc>
        <w:tc>
          <w:tcPr>
            <w:tcW w:w="386" w:type="pct"/>
            <w:noWrap/>
            <w:vAlign w:val="center"/>
          </w:tcPr>
          <w:p w14:paraId="376C0C5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llogis</w:t>
            </w:r>
            <w:proofErr w:type="spellEnd"/>
          </w:p>
        </w:tc>
        <w:tc>
          <w:tcPr>
            <w:tcW w:w="208" w:type="pct"/>
            <w:noWrap/>
            <w:vAlign w:val="center"/>
          </w:tcPr>
          <w:p w14:paraId="4722F9F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169.4 </w:t>
            </w:r>
          </w:p>
        </w:tc>
        <w:tc>
          <w:tcPr>
            <w:tcW w:w="532" w:type="pct"/>
            <w:noWrap/>
            <w:vAlign w:val="center"/>
          </w:tcPr>
          <w:p w14:paraId="23DB683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FP2-1</w:t>
            </w:r>
          </w:p>
        </w:tc>
        <w:tc>
          <w:tcPr>
            <w:tcW w:w="318" w:type="pct"/>
            <w:noWrap/>
            <w:vAlign w:val="center"/>
          </w:tcPr>
          <w:p w14:paraId="3339113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59.1 </w:t>
            </w:r>
          </w:p>
        </w:tc>
        <w:tc>
          <w:tcPr>
            <w:tcW w:w="371" w:type="pct"/>
            <w:noWrap/>
            <w:vAlign w:val="center"/>
          </w:tcPr>
          <w:p w14:paraId="2F57518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RP-hazard-1</w:t>
            </w:r>
          </w:p>
        </w:tc>
        <w:tc>
          <w:tcPr>
            <w:tcW w:w="203" w:type="pct"/>
            <w:noWrap/>
            <w:vAlign w:val="center"/>
          </w:tcPr>
          <w:p w14:paraId="43DEEE3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30.4 </w:t>
            </w:r>
          </w:p>
        </w:tc>
        <w:tc>
          <w:tcPr>
            <w:tcW w:w="372" w:type="pct"/>
            <w:noWrap/>
            <w:vAlign w:val="center"/>
          </w:tcPr>
          <w:p w14:paraId="5A64EBA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exp</w:t>
            </w:r>
          </w:p>
        </w:tc>
        <w:tc>
          <w:tcPr>
            <w:tcW w:w="207" w:type="pct"/>
            <w:noWrap/>
            <w:vAlign w:val="center"/>
          </w:tcPr>
          <w:p w14:paraId="6CB21AD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57.3 </w:t>
            </w:r>
          </w:p>
        </w:tc>
        <w:tc>
          <w:tcPr>
            <w:tcW w:w="392" w:type="pct"/>
            <w:noWrap/>
            <w:vAlign w:val="center"/>
          </w:tcPr>
          <w:p w14:paraId="07BBD55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4BF519F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4DD80AD8" w14:textId="77777777">
        <w:trPr>
          <w:trHeight w:val="288"/>
        </w:trPr>
        <w:tc>
          <w:tcPr>
            <w:tcW w:w="424" w:type="pct"/>
            <w:noWrap/>
            <w:vAlign w:val="center"/>
          </w:tcPr>
          <w:p w14:paraId="461B50C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RP-normal-2</w:t>
            </w:r>
          </w:p>
        </w:tc>
        <w:tc>
          <w:tcPr>
            <w:tcW w:w="219" w:type="pct"/>
            <w:noWrap/>
            <w:vAlign w:val="center"/>
          </w:tcPr>
          <w:p w14:paraId="20F683B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79.7 </w:t>
            </w:r>
          </w:p>
        </w:tc>
        <w:tc>
          <w:tcPr>
            <w:tcW w:w="386" w:type="pct"/>
            <w:noWrap/>
            <w:vAlign w:val="center"/>
          </w:tcPr>
          <w:p w14:paraId="2C27B76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RP-odds-2</w:t>
            </w:r>
          </w:p>
        </w:tc>
        <w:tc>
          <w:tcPr>
            <w:tcW w:w="203" w:type="pct"/>
            <w:noWrap/>
            <w:vAlign w:val="center"/>
          </w:tcPr>
          <w:p w14:paraId="0AB3E5E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90.8 </w:t>
            </w:r>
          </w:p>
        </w:tc>
        <w:tc>
          <w:tcPr>
            <w:tcW w:w="392" w:type="pct"/>
            <w:noWrap/>
            <w:vAlign w:val="center"/>
          </w:tcPr>
          <w:p w14:paraId="32878F9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weibull</w:t>
            </w:r>
            <w:proofErr w:type="spellEnd"/>
          </w:p>
        </w:tc>
        <w:tc>
          <w:tcPr>
            <w:tcW w:w="203" w:type="pct"/>
            <w:noWrap/>
            <w:vAlign w:val="center"/>
          </w:tcPr>
          <w:p w14:paraId="159C179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85.9 </w:t>
            </w:r>
          </w:p>
        </w:tc>
        <w:tc>
          <w:tcPr>
            <w:tcW w:w="386" w:type="pct"/>
            <w:noWrap/>
            <w:vAlign w:val="center"/>
          </w:tcPr>
          <w:p w14:paraId="20424BE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RCS2</w:t>
            </w:r>
          </w:p>
        </w:tc>
        <w:tc>
          <w:tcPr>
            <w:tcW w:w="208" w:type="pct"/>
            <w:noWrap/>
            <w:vAlign w:val="center"/>
          </w:tcPr>
          <w:p w14:paraId="2A67D34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172.3 </w:t>
            </w:r>
          </w:p>
        </w:tc>
        <w:tc>
          <w:tcPr>
            <w:tcW w:w="532" w:type="pct"/>
            <w:noWrap/>
            <w:vAlign w:val="center"/>
          </w:tcPr>
          <w:p w14:paraId="6C20771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FP1-1</w:t>
            </w:r>
          </w:p>
        </w:tc>
        <w:tc>
          <w:tcPr>
            <w:tcW w:w="318" w:type="pct"/>
            <w:noWrap/>
            <w:vAlign w:val="center"/>
          </w:tcPr>
          <w:p w14:paraId="3485D80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59.5 </w:t>
            </w:r>
          </w:p>
        </w:tc>
        <w:tc>
          <w:tcPr>
            <w:tcW w:w="371" w:type="pct"/>
            <w:noWrap/>
            <w:vAlign w:val="center"/>
          </w:tcPr>
          <w:p w14:paraId="0DBDEF7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gamma</w:t>
            </w:r>
          </w:p>
        </w:tc>
        <w:tc>
          <w:tcPr>
            <w:tcW w:w="203" w:type="pct"/>
            <w:noWrap/>
            <w:vAlign w:val="center"/>
          </w:tcPr>
          <w:p w14:paraId="4A97ACE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30.9 </w:t>
            </w:r>
          </w:p>
        </w:tc>
        <w:tc>
          <w:tcPr>
            <w:tcW w:w="372" w:type="pct"/>
            <w:noWrap/>
            <w:vAlign w:val="center"/>
          </w:tcPr>
          <w:p w14:paraId="37D0CE2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RP-hazard-2</w:t>
            </w:r>
          </w:p>
        </w:tc>
        <w:tc>
          <w:tcPr>
            <w:tcW w:w="207" w:type="pct"/>
            <w:noWrap/>
            <w:vAlign w:val="center"/>
          </w:tcPr>
          <w:p w14:paraId="60812C1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57.8 </w:t>
            </w:r>
          </w:p>
        </w:tc>
        <w:tc>
          <w:tcPr>
            <w:tcW w:w="392" w:type="pct"/>
            <w:noWrap/>
            <w:vAlign w:val="center"/>
          </w:tcPr>
          <w:p w14:paraId="5684851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34F2489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61DE18DB" w14:textId="77777777">
        <w:trPr>
          <w:trHeight w:val="288"/>
        </w:trPr>
        <w:tc>
          <w:tcPr>
            <w:tcW w:w="424" w:type="pct"/>
            <w:noWrap/>
            <w:vAlign w:val="center"/>
          </w:tcPr>
          <w:p w14:paraId="7424E49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FP2-2</w:t>
            </w:r>
          </w:p>
        </w:tc>
        <w:tc>
          <w:tcPr>
            <w:tcW w:w="219" w:type="pct"/>
            <w:noWrap/>
            <w:vAlign w:val="center"/>
          </w:tcPr>
          <w:p w14:paraId="4661A8A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80.0 </w:t>
            </w:r>
          </w:p>
        </w:tc>
        <w:tc>
          <w:tcPr>
            <w:tcW w:w="386" w:type="pct"/>
            <w:noWrap/>
            <w:vAlign w:val="center"/>
          </w:tcPr>
          <w:p w14:paraId="2B8FF30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weibull</w:t>
            </w:r>
            <w:proofErr w:type="spellEnd"/>
          </w:p>
        </w:tc>
        <w:tc>
          <w:tcPr>
            <w:tcW w:w="203" w:type="pct"/>
            <w:noWrap/>
            <w:vAlign w:val="center"/>
          </w:tcPr>
          <w:p w14:paraId="4C6A02C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91.3 </w:t>
            </w:r>
          </w:p>
        </w:tc>
        <w:tc>
          <w:tcPr>
            <w:tcW w:w="392" w:type="pct"/>
            <w:noWrap/>
            <w:vAlign w:val="center"/>
          </w:tcPr>
          <w:p w14:paraId="19F9FDA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FP1-1</w:t>
            </w:r>
          </w:p>
        </w:tc>
        <w:tc>
          <w:tcPr>
            <w:tcW w:w="203" w:type="pct"/>
            <w:noWrap/>
            <w:vAlign w:val="center"/>
          </w:tcPr>
          <w:p w14:paraId="2684328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86.4 </w:t>
            </w:r>
          </w:p>
        </w:tc>
        <w:tc>
          <w:tcPr>
            <w:tcW w:w="386" w:type="pct"/>
            <w:noWrap/>
            <w:vAlign w:val="center"/>
          </w:tcPr>
          <w:p w14:paraId="3893367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gompertz</w:t>
            </w:r>
            <w:proofErr w:type="spellEnd"/>
          </w:p>
        </w:tc>
        <w:tc>
          <w:tcPr>
            <w:tcW w:w="208" w:type="pct"/>
            <w:noWrap/>
            <w:vAlign w:val="center"/>
          </w:tcPr>
          <w:p w14:paraId="029E444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173.2 </w:t>
            </w:r>
          </w:p>
        </w:tc>
        <w:tc>
          <w:tcPr>
            <w:tcW w:w="532" w:type="pct"/>
            <w:noWrap/>
            <w:vAlign w:val="center"/>
          </w:tcPr>
          <w:p w14:paraId="0CAD729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gamma</w:t>
            </w:r>
          </w:p>
        </w:tc>
        <w:tc>
          <w:tcPr>
            <w:tcW w:w="318" w:type="pct"/>
            <w:noWrap/>
            <w:vAlign w:val="center"/>
          </w:tcPr>
          <w:p w14:paraId="7510EF4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59.6 </w:t>
            </w:r>
          </w:p>
        </w:tc>
        <w:tc>
          <w:tcPr>
            <w:tcW w:w="371" w:type="pct"/>
            <w:noWrap/>
            <w:vAlign w:val="center"/>
          </w:tcPr>
          <w:p w14:paraId="25B970E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genf</w:t>
            </w:r>
            <w:proofErr w:type="spellEnd"/>
          </w:p>
        </w:tc>
        <w:tc>
          <w:tcPr>
            <w:tcW w:w="203" w:type="pct"/>
            <w:noWrap/>
            <w:vAlign w:val="center"/>
          </w:tcPr>
          <w:p w14:paraId="562BFB2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31.7 </w:t>
            </w:r>
          </w:p>
        </w:tc>
        <w:tc>
          <w:tcPr>
            <w:tcW w:w="372" w:type="pct"/>
            <w:noWrap/>
            <w:vAlign w:val="center"/>
          </w:tcPr>
          <w:p w14:paraId="704E960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gompertz</w:t>
            </w:r>
            <w:proofErr w:type="spellEnd"/>
          </w:p>
        </w:tc>
        <w:tc>
          <w:tcPr>
            <w:tcW w:w="207" w:type="pct"/>
            <w:noWrap/>
            <w:vAlign w:val="center"/>
          </w:tcPr>
          <w:p w14:paraId="11DD7CD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58.2 </w:t>
            </w:r>
          </w:p>
        </w:tc>
        <w:tc>
          <w:tcPr>
            <w:tcW w:w="392" w:type="pct"/>
            <w:noWrap/>
            <w:vAlign w:val="center"/>
          </w:tcPr>
          <w:p w14:paraId="790BA4F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4EC4758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4CB1787A" w14:textId="77777777">
        <w:trPr>
          <w:trHeight w:val="288"/>
        </w:trPr>
        <w:tc>
          <w:tcPr>
            <w:tcW w:w="424" w:type="pct"/>
            <w:noWrap/>
            <w:vAlign w:val="center"/>
          </w:tcPr>
          <w:p w14:paraId="206C6EB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RP-odds-2</w:t>
            </w:r>
          </w:p>
        </w:tc>
        <w:tc>
          <w:tcPr>
            <w:tcW w:w="219" w:type="pct"/>
            <w:noWrap/>
            <w:vAlign w:val="center"/>
          </w:tcPr>
          <w:p w14:paraId="7AE01E3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80.0 </w:t>
            </w:r>
          </w:p>
        </w:tc>
        <w:tc>
          <w:tcPr>
            <w:tcW w:w="386" w:type="pct"/>
            <w:noWrap/>
            <w:vAlign w:val="center"/>
          </w:tcPr>
          <w:p w14:paraId="02F35B7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genf</w:t>
            </w:r>
            <w:proofErr w:type="spellEnd"/>
          </w:p>
        </w:tc>
        <w:tc>
          <w:tcPr>
            <w:tcW w:w="203" w:type="pct"/>
            <w:noWrap/>
            <w:vAlign w:val="center"/>
          </w:tcPr>
          <w:p w14:paraId="4D082B3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91.4 </w:t>
            </w:r>
          </w:p>
        </w:tc>
        <w:tc>
          <w:tcPr>
            <w:tcW w:w="392" w:type="pct"/>
            <w:noWrap/>
            <w:vAlign w:val="center"/>
          </w:tcPr>
          <w:p w14:paraId="4D6E87B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gamma</w:t>
            </w:r>
          </w:p>
        </w:tc>
        <w:tc>
          <w:tcPr>
            <w:tcW w:w="203" w:type="pct"/>
            <w:noWrap/>
            <w:vAlign w:val="center"/>
          </w:tcPr>
          <w:p w14:paraId="2458705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86.5 </w:t>
            </w:r>
          </w:p>
        </w:tc>
        <w:tc>
          <w:tcPr>
            <w:tcW w:w="386" w:type="pct"/>
            <w:noWrap/>
            <w:vAlign w:val="center"/>
          </w:tcPr>
          <w:p w14:paraId="6FD96CD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FP1-2</w:t>
            </w:r>
          </w:p>
        </w:tc>
        <w:tc>
          <w:tcPr>
            <w:tcW w:w="208" w:type="pct"/>
            <w:noWrap/>
            <w:vAlign w:val="center"/>
          </w:tcPr>
          <w:p w14:paraId="0330CA9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173.9 </w:t>
            </w:r>
          </w:p>
        </w:tc>
        <w:tc>
          <w:tcPr>
            <w:tcW w:w="532" w:type="pct"/>
            <w:noWrap/>
            <w:vAlign w:val="center"/>
          </w:tcPr>
          <w:p w14:paraId="01D9117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genf</w:t>
            </w:r>
            <w:proofErr w:type="spellEnd"/>
          </w:p>
        </w:tc>
        <w:tc>
          <w:tcPr>
            <w:tcW w:w="318" w:type="pct"/>
            <w:noWrap/>
            <w:vAlign w:val="center"/>
          </w:tcPr>
          <w:p w14:paraId="7F7F0F4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60.0 </w:t>
            </w:r>
          </w:p>
        </w:tc>
        <w:tc>
          <w:tcPr>
            <w:tcW w:w="371" w:type="pct"/>
            <w:noWrap/>
            <w:vAlign w:val="center"/>
          </w:tcPr>
          <w:p w14:paraId="487A88A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weibull</w:t>
            </w:r>
            <w:proofErr w:type="spellEnd"/>
          </w:p>
        </w:tc>
        <w:tc>
          <w:tcPr>
            <w:tcW w:w="203" w:type="pct"/>
            <w:noWrap/>
            <w:vAlign w:val="center"/>
          </w:tcPr>
          <w:p w14:paraId="1FD9744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32.1 </w:t>
            </w:r>
          </w:p>
        </w:tc>
        <w:tc>
          <w:tcPr>
            <w:tcW w:w="372" w:type="pct"/>
            <w:noWrap/>
            <w:vAlign w:val="center"/>
          </w:tcPr>
          <w:p w14:paraId="744E295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RCS1</w:t>
            </w:r>
          </w:p>
        </w:tc>
        <w:tc>
          <w:tcPr>
            <w:tcW w:w="207" w:type="pct"/>
            <w:noWrap/>
            <w:vAlign w:val="center"/>
          </w:tcPr>
          <w:p w14:paraId="7596051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58.3 </w:t>
            </w:r>
          </w:p>
        </w:tc>
        <w:tc>
          <w:tcPr>
            <w:tcW w:w="392" w:type="pct"/>
            <w:noWrap/>
            <w:vAlign w:val="center"/>
          </w:tcPr>
          <w:p w14:paraId="174E2CA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2D12FE4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320A9AFA" w14:textId="77777777">
        <w:trPr>
          <w:trHeight w:val="288"/>
        </w:trPr>
        <w:tc>
          <w:tcPr>
            <w:tcW w:w="424" w:type="pct"/>
            <w:noWrap/>
            <w:vAlign w:val="center"/>
          </w:tcPr>
          <w:p w14:paraId="4F67D13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FP2-1</w:t>
            </w:r>
          </w:p>
        </w:tc>
        <w:tc>
          <w:tcPr>
            <w:tcW w:w="219" w:type="pct"/>
            <w:noWrap/>
            <w:vAlign w:val="center"/>
          </w:tcPr>
          <w:p w14:paraId="5CD2E0B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80.1 </w:t>
            </w:r>
          </w:p>
        </w:tc>
        <w:tc>
          <w:tcPr>
            <w:tcW w:w="386" w:type="pct"/>
            <w:noWrap/>
            <w:vAlign w:val="center"/>
          </w:tcPr>
          <w:p w14:paraId="2104626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RP-hazard-2</w:t>
            </w:r>
          </w:p>
        </w:tc>
        <w:tc>
          <w:tcPr>
            <w:tcW w:w="203" w:type="pct"/>
            <w:noWrap/>
            <w:vAlign w:val="center"/>
          </w:tcPr>
          <w:p w14:paraId="403F64D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91.7 </w:t>
            </w:r>
          </w:p>
        </w:tc>
        <w:tc>
          <w:tcPr>
            <w:tcW w:w="392" w:type="pct"/>
            <w:noWrap/>
            <w:vAlign w:val="center"/>
          </w:tcPr>
          <w:p w14:paraId="5B0CE6D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RP-odds-2</w:t>
            </w:r>
          </w:p>
        </w:tc>
        <w:tc>
          <w:tcPr>
            <w:tcW w:w="203" w:type="pct"/>
            <w:noWrap/>
            <w:vAlign w:val="center"/>
          </w:tcPr>
          <w:p w14:paraId="18FFE82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86.9 </w:t>
            </w:r>
          </w:p>
        </w:tc>
        <w:tc>
          <w:tcPr>
            <w:tcW w:w="386" w:type="pct"/>
            <w:noWrap/>
            <w:vAlign w:val="center"/>
          </w:tcPr>
          <w:p w14:paraId="2C79B5D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exp</w:t>
            </w:r>
          </w:p>
        </w:tc>
        <w:tc>
          <w:tcPr>
            <w:tcW w:w="208" w:type="pct"/>
            <w:noWrap/>
            <w:vAlign w:val="center"/>
          </w:tcPr>
          <w:p w14:paraId="5441261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174.0 </w:t>
            </w:r>
          </w:p>
        </w:tc>
        <w:tc>
          <w:tcPr>
            <w:tcW w:w="532" w:type="pct"/>
            <w:noWrap/>
            <w:vAlign w:val="center"/>
          </w:tcPr>
          <w:p w14:paraId="625EE9F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weibull</w:t>
            </w:r>
            <w:proofErr w:type="spellEnd"/>
          </w:p>
        </w:tc>
        <w:tc>
          <w:tcPr>
            <w:tcW w:w="318" w:type="pct"/>
            <w:noWrap/>
            <w:vAlign w:val="center"/>
          </w:tcPr>
          <w:p w14:paraId="6E41951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60.1 </w:t>
            </w:r>
          </w:p>
        </w:tc>
        <w:tc>
          <w:tcPr>
            <w:tcW w:w="371" w:type="pct"/>
            <w:noWrap/>
            <w:vAlign w:val="center"/>
          </w:tcPr>
          <w:p w14:paraId="6502A68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RP-hazard-2</w:t>
            </w:r>
          </w:p>
        </w:tc>
        <w:tc>
          <w:tcPr>
            <w:tcW w:w="203" w:type="pct"/>
            <w:noWrap/>
            <w:vAlign w:val="center"/>
          </w:tcPr>
          <w:p w14:paraId="31BC0C1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32.1 </w:t>
            </w:r>
          </w:p>
        </w:tc>
        <w:tc>
          <w:tcPr>
            <w:tcW w:w="372" w:type="pct"/>
            <w:noWrap/>
            <w:vAlign w:val="center"/>
          </w:tcPr>
          <w:p w14:paraId="1627E5C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FP1-2</w:t>
            </w:r>
          </w:p>
        </w:tc>
        <w:tc>
          <w:tcPr>
            <w:tcW w:w="207" w:type="pct"/>
            <w:noWrap/>
            <w:vAlign w:val="center"/>
          </w:tcPr>
          <w:p w14:paraId="13A6077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59.3 </w:t>
            </w:r>
          </w:p>
        </w:tc>
        <w:tc>
          <w:tcPr>
            <w:tcW w:w="392" w:type="pct"/>
            <w:noWrap/>
            <w:vAlign w:val="center"/>
          </w:tcPr>
          <w:p w14:paraId="637823D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1304966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777FC82D" w14:textId="77777777">
        <w:trPr>
          <w:trHeight w:val="288"/>
        </w:trPr>
        <w:tc>
          <w:tcPr>
            <w:tcW w:w="424" w:type="pct"/>
            <w:noWrap/>
            <w:vAlign w:val="center"/>
          </w:tcPr>
          <w:p w14:paraId="5BE82D1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RP-hazard-2</w:t>
            </w:r>
          </w:p>
        </w:tc>
        <w:tc>
          <w:tcPr>
            <w:tcW w:w="219" w:type="pct"/>
            <w:noWrap/>
            <w:vAlign w:val="center"/>
          </w:tcPr>
          <w:p w14:paraId="7516444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80.2 </w:t>
            </w:r>
          </w:p>
        </w:tc>
        <w:tc>
          <w:tcPr>
            <w:tcW w:w="386" w:type="pct"/>
            <w:noWrap/>
            <w:vAlign w:val="center"/>
          </w:tcPr>
          <w:p w14:paraId="7247880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RCS1</w:t>
            </w:r>
          </w:p>
        </w:tc>
        <w:tc>
          <w:tcPr>
            <w:tcW w:w="203" w:type="pct"/>
            <w:noWrap/>
            <w:vAlign w:val="center"/>
          </w:tcPr>
          <w:p w14:paraId="3D3B569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94.3 </w:t>
            </w:r>
          </w:p>
        </w:tc>
        <w:tc>
          <w:tcPr>
            <w:tcW w:w="392" w:type="pct"/>
            <w:noWrap/>
            <w:vAlign w:val="center"/>
          </w:tcPr>
          <w:p w14:paraId="28754F5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RP-normal-2</w:t>
            </w:r>
          </w:p>
        </w:tc>
        <w:tc>
          <w:tcPr>
            <w:tcW w:w="203" w:type="pct"/>
            <w:noWrap/>
            <w:vAlign w:val="center"/>
          </w:tcPr>
          <w:p w14:paraId="3771CC2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87.2 </w:t>
            </w:r>
          </w:p>
        </w:tc>
        <w:tc>
          <w:tcPr>
            <w:tcW w:w="386" w:type="pct"/>
            <w:noWrap/>
            <w:vAlign w:val="center"/>
          </w:tcPr>
          <w:p w14:paraId="23B2685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weibull</w:t>
            </w:r>
            <w:proofErr w:type="spellEnd"/>
          </w:p>
        </w:tc>
        <w:tc>
          <w:tcPr>
            <w:tcW w:w="208" w:type="pct"/>
            <w:noWrap/>
            <w:vAlign w:val="center"/>
          </w:tcPr>
          <w:p w14:paraId="0E5A69F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175.9 </w:t>
            </w:r>
          </w:p>
        </w:tc>
        <w:tc>
          <w:tcPr>
            <w:tcW w:w="532" w:type="pct"/>
            <w:noWrap/>
            <w:vAlign w:val="center"/>
          </w:tcPr>
          <w:p w14:paraId="3DA0DD3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gompertz</w:t>
            </w:r>
            <w:proofErr w:type="spellEnd"/>
          </w:p>
        </w:tc>
        <w:tc>
          <w:tcPr>
            <w:tcW w:w="318" w:type="pct"/>
            <w:noWrap/>
            <w:vAlign w:val="center"/>
          </w:tcPr>
          <w:p w14:paraId="5F53335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60.8 </w:t>
            </w:r>
          </w:p>
        </w:tc>
        <w:tc>
          <w:tcPr>
            <w:tcW w:w="371" w:type="pct"/>
            <w:noWrap/>
            <w:vAlign w:val="center"/>
          </w:tcPr>
          <w:p w14:paraId="15E5587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RCS1</w:t>
            </w:r>
          </w:p>
        </w:tc>
        <w:tc>
          <w:tcPr>
            <w:tcW w:w="203" w:type="pct"/>
            <w:noWrap/>
            <w:vAlign w:val="center"/>
          </w:tcPr>
          <w:p w14:paraId="1A7F882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32.3 </w:t>
            </w:r>
          </w:p>
        </w:tc>
        <w:tc>
          <w:tcPr>
            <w:tcW w:w="372" w:type="pct"/>
            <w:noWrap/>
            <w:vAlign w:val="center"/>
          </w:tcPr>
          <w:p w14:paraId="299604A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gamma</w:t>
            </w:r>
          </w:p>
        </w:tc>
        <w:tc>
          <w:tcPr>
            <w:tcW w:w="207" w:type="pct"/>
            <w:noWrap/>
            <w:vAlign w:val="center"/>
          </w:tcPr>
          <w:p w14:paraId="7B3C2F2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59.4 </w:t>
            </w:r>
          </w:p>
        </w:tc>
        <w:tc>
          <w:tcPr>
            <w:tcW w:w="392" w:type="pct"/>
            <w:noWrap/>
            <w:vAlign w:val="center"/>
          </w:tcPr>
          <w:p w14:paraId="4EEA2B3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08887F1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6E3C344F" w14:textId="77777777">
        <w:trPr>
          <w:trHeight w:val="288"/>
        </w:trPr>
        <w:tc>
          <w:tcPr>
            <w:tcW w:w="424" w:type="pct"/>
            <w:noWrap/>
            <w:vAlign w:val="center"/>
          </w:tcPr>
          <w:p w14:paraId="7C2F631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RCS1</w:t>
            </w:r>
          </w:p>
        </w:tc>
        <w:tc>
          <w:tcPr>
            <w:tcW w:w="219" w:type="pct"/>
            <w:noWrap/>
            <w:vAlign w:val="center"/>
          </w:tcPr>
          <w:p w14:paraId="40F9C6E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81.5 </w:t>
            </w:r>
          </w:p>
        </w:tc>
        <w:tc>
          <w:tcPr>
            <w:tcW w:w="386" w:type="pct"/>
            <w:noWrap/>
            <w:vAlign w:val="center"/>
          </w:tcPr>
          <w:p w14:paraId="4951038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RCS2</w:t>
            </w:r>
          </w:p>
        </w:tc>
        <w:tc>
          <w:tcPr>
            <w:tcW w:w="203" w:type="pct"/>
            <w:noWrap/>
            <w:vAlign w:val="center"/>
          </w:tcPr>
          <w:p w14:paraId="440244C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94.4 </w:t>
            </w:r>
          </w:p>
        </w:tc>
        <w:tc>
          <w:tcPr>
            <w:tcW w:w="392" w:type="pct"/>
            <w:noWrap/>
            <w:vAlign w:val="center"/>
          </w:tcPr>
          <w:p w14:paraId="2615C9E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RP-normal-1</w:t>
            </w:r>
          </w:p>
        </w:tc>
        <w:tc>
          <w:tcPr>
            <w:tcW w:w="203" w:type="pct"/>
            <w:noWrap/>
            <w:vAlign w:val="center"/>
          </w:tcPr>
          <w:p w14:paraId="2CF0936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111.7 </w:t>
            </w:r>
          </w:p>
        </w:tc>
        <w:tc>
          <w:tcPr>
            <w:tcW w:w="386" w:type="pct"/>
            <w:noWrap/>
            <w:vAlign w:val="center"/>
          </w:tcPr>
          <w:p w14:paraId="24542F3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gamma</w:t>
            </w:r>
          </w:p>
        </w:tc>
        <w:tc>
          <w:tcPr>
            <w:tcW w:w="208" w:type="pct"/>
            <w:noWrap/>
            <w:vAlign w:val="center"/>
          </w:tcPr>
          <w:p w14:paraId="4CA30A9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176.1 </w:t>
            </w:r>
          </w:p>
        </w:tc>
        <w:tc>
          <w:tcPr>
            <w:tcW w:w="532" w:type="pct"/>
            <w:noWrap/>
            <w:vAlign w:val="center"/>
          </w:tcPr>
          <w:p w14:paraId="25D95D7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RCS1</w:t>
            </w:r>
          </w:p>
        </w:tc>
        <w:tc>
          <w:tcPr>
            <w:tcW w:w="318" w:type="pct"/>
            <w:noWrap/>
            <w:vAlign w:val="center"/>
          </w:tcPr>
          <w:p w14:paraId="1EE3F46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62.4 </w:t>
            </w:r>
          </w:p>
        </w:tc>
        <w:tc>
          <w:tcPr>
            <w:tcW w:w="371" w:type="pct"/>
            <w:noWrap/>
            <w:vAlign w:val="center"/>
          </w:tcPr>
          <w:p w14:paraId="2A22E5A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RCS2</w:t>
            </w:r>
          </w:p>
        </w:tc>
        <w:tc>
          <w:tcPr>
            <w:tcW w:w="203" w:type="pct"/>
            <w:noWrap/>
            <w:vAlign w:val="center"/>
          </w:tcPr>
          <w:p w14:paraId="17D1559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32.3 </w:t>
            </w:r>
          </w:p>
        </w:tc>
        <w:tc>
          <w:tcPr>
            <w:tcW w:w="372" w:type="pct"/>
            <w:noWrap/>
            <w:vAlign w:val="center"/>
          </w:tcPr>
          <w:p w14:paraId="54CE645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weibull</w:t>
            </w:r>
            <w:proofErr w:type="spellEnd"/>
          </w:p>
        </w:tc>
        <w:tc>
          <w:tcPr>
            <w:tcW w:w="207" w:type="pct"/>
            <w:noWrap/>
            <w:vAlign w:val="center"/>
          </w:tcPr>
          <w:p w14:paraId="0CEC448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59.5 </w:t>
            </w:r>
          </w:p>
        </w:tc>
        <w:tc>
          <w:tcPr>
            <w:tcW w:w="392" w:type="pct"/>
            <w:noWrap/>
            <w:vAlign w:val="center"/>
          </w:tcPr>
          <w:p w14:paraId="5F0EEB7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5A6BA23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3E6DB88E" w14:textId="77777777">
        <w:trPr>
          <w:trHeight w:val="288"/>
        </w:trPr>
        <w:tc>
          <w:tcPr>
            <w:tcW w:w="424" w:type="pct"/>
            <w:noWrap/>
            <w:vAlign w:val="center"/>
          </w:tcPr>
          <w:p w14:paraId="16AFAA5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genf</w:t>
            </w:r>
            <w:proofErr w:type="spellEnd"/>
          </w:p>
        </w:tc>
        <w:tc>
          <w:tcPr>
            <w:tcW w:w="219" w:type="pct"/>
            <w:noWrap/>
            <w:vAlign w:val="center"/>
          </w:tcPr>
          <w:p w14:paraId="6C26BE5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81.7 </w:t>
            </w:r>
          </w:p>
        </w:tc>
        <w:tc>
          <w:tcPr>
            <w:tcW w:w="386" w:type="pct"/>
            <w:noWrap/>
            <w:vAlign w:val="center"/>
          </w:tcPr>
          <w:p w14:paraId="25602D2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gompertz</w:t>
            </w:r>
            <w:proofErr w:type="spellEnd"/>
          </w:p>
        </w:tc>
        <w:tc>
          <w:tcPr>
            <w:tcW w:w="203" w:type="pct"/>
            <w:noWrap/>
            <w:vAlign w:val="center"/>
          </w:tcPr>
          <w:p w14:paraId="75B0F13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96.6 </w:t>
            </w:r>
          </w:p>
        </w:tc>
        <w:tc>
          <w:tcPr>
            <w:tcW w:w="392" w:type="pct"/>
            <w:noWrap/>
            <w:vAlign w:val="center"/>
          </w:tcPr>
          <w:p w14:paraId="202349E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RP-odds-1</w:t>
            </w:r>
          </w:p>
        </w:tc>
        <w:tc>
          <w:tcPr>
            <w:tcW w:w="203" w:type="pct"/>
            <w:noWrap/>
            <w:vAlign w:val="center"/>
          </w:tcPr>
          <w:p w14:paraId="04D6613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119.2 </w:t>
            </w:r>
          </w:p>
        </w:tc>
        <w:tc>
          <w:tcPr>
            <w:tcW w:w="386" w:type="pct"/>
            <w:noWrap/>
            <w:vAlign w:val="center"/>
          </w:tcPr>
          <w:p w14:paraId="2F5BFCA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RCS1</w:t>
            </w:r>
          </w:p>
        </w:tc>
        <w:tc>
          <w:tcPr>
            <w:tcW w:w="208" w:type="pct"/>
            <w:noWrap/>
            <w:vAlign w:val="center"/>
          </w:tcPr>
          <w:p w14:paraId="76F7862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176.5 </w:t>
            </w:r>
          </w:p>
        </w:tc>
        <w:tc>
          <w:tcPr>
            <w:tcW w:w="532" w:type="pct"/>
            <w:noWrap/>
            <w:vAlign w:val="center"/>
          </w:tcPr>
          <w:p w14:paraId="10E3567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RCS2</w:t>
            </w:r>
          </w:p>
        </w:tc>
        <w:tc>
          <w:tcPr>
            <w:tcW w:w="318" w:type="pct"/>
            <w:noWrap/>
            <w:vAlign w:val="center"/>
          </w:tcPr>
          <w:p w14:paraId="7C78350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62.9 </w:t>
            </w:r>
          </w:p>
        </w:tc>
        <w:tc>
          <w:tcPr>
            <w:tcW w:w="371" w:type="pct"/>
            <w:noWrap/>
            <w:vAlign w:val="center"/>
          </w:tcPr>
          <w:p w14:paraId="2A97DAD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exp</w:t>
            </w:r>
          </w:p>
        </w:tc>
        <w:tc>
          <w:tcPr>
            <w:tcW w:w="203" w:type="pct"/>
            <w:noWrap/>
            <w:vAlign w:val="center"/>
          </w:tcPr>
          <w:p w14:paraId="1EB316B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32.6 </w:t>
            </w:r>
          </w:p>
        </w:tc>
        <w:tc>
          <w:tcPr>
            <w:tcW w:w="372" w:type="pct"/>
            <w:noWrap/>
            <w:vAlign w:val="center"/>
          </w:tcPr>
          <w:p w14:paraId="577A3AB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RCS2</w:t>
            </w:r>
          </w:p>
        </w:tc>
        <w:tc>
          <w:tcPr>
            <w:tcW w:w="207" w:type="pct"/>
            <w:noWrap/>
            <w:vAlign w:val="center"/>
          </w:tcPr>
          <w:p w14:paraId="072AB9E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60.1 </w:t>
            </w:r>
          </w:p>
        </w:tc>
        <w:tc>
          <w:tcPr>
            <w:tcW w:w="392" w:type="pct"/>
            <w:noWrap/>
            <w:vAlign w:val="center"/>
          </w:tcPr>
          <w:p w14:paraId="0D2B64D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54C9026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6091FBEC" w14:textId="77777777">
        <w:trPr>
          <w:trHeight w:val="288"/>
        </w:trPr>
        <w:tc>
          <w:tcPr>
            <w:tcW w:w="424" w:type="pct"/>
            <w:noWrap/>
            <w:vAlign w:val="center"/>
          </w:tcPr>
          <w:p w14:paraId="124DED9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RCS2</w:t>
            </w:r>
          </w:p>
        </w:tc>
        <w:tc>
          <w:tcPr>
            <w:tcW w:w="219" w:type="pct"/>
            <w:noWrap/>
            <w:vAlign w:val="center"/>
          </w:tcPr>
          <w:p w14:paraId="52A070B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83.3 </w:t>
            </w:r>
          </w:p>
        </w:tc>
        <w:tc>
          <w:tcPr>
            <w:tcW w:w="386" w:type="pct"/>
            <w:noWrap/>
            <w:vAlign w:val="center"/>
          </w:tcPr>
          <w:p w14:paraId="701081B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exp</w:t>
            </w:r>
          </w:p>
        </w:tc>
        <w:tc>
          <w:tcPr>
            <w:tcW w:w="203" w:type="pct"/>
            <w:noWrap/>
            <w:vAlign w:val="center"/>
          </w:tcPr>
          <w:p w14:paraId="444DC2B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98.6 </w:t>
            </w:r>
          </w:p>
        </w:tc>
        <w:tc>
          <w:tcPr>
            <w:tcW w:w="392" w:type="pct"/>
            <w:noWrap/>
            <w:vAlign w:val="center"/>
          </w:tcPr>
          <w:p w14:paraId="7632DF8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RP-hazard-1</w:t>
            </w:r>
          </w:p>
        </w:tc>
        <w:tc>
          <w:tcPr>
            <w:tcW w:w="203" w:type="pct"/>
            <w:noWrap/>
            <w:vAlign w:val="center"/>
          </w:tcPr>
          <w:p w14:paraId="18B65F7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120.0 </w:t>
            </w:r>
          </w:p>
        </w:tc>
        <w:tc>
          <w:tcPr>
            <w:tcW w:w="386" w:type="pct"/>
            <w:noWrap/>
            <w:vAlign w:val="center"/>
          </w:tcPr>
          <w:p w14:paraId="27782F6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FP1-1</w:t>
            </w:r>
          </w:p>
        </w:tc>
        <w:tc>
          <w:tcPr>
            <w:tcW w:w="208" w:type="pct"/>
            <w:noWrap/>
            <w:vAlign w:val="center"/>
          </w:tcPr>
          <w:p w14:paraId="48BFECA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176.8 </w:t>
            </w:r>
          </w:p>
        </w:tc>
        <w:tc>
          <w:tcPr>
            <w:tcW w:w="532" w:type="pct"/>
            <w:noWrap/>
            <w:vAlign w:val="center"/>
          </w:tcPr>
          <w:p w14:paraId="05E64871" w14:textId="77777777" w:rsidR="006D1C3F" w:rsidRDefault="006D1C3F">
            <w:pPr>
              <w:widowControl/>
              <w:ind w:firstLine="320"/>
              <w:jc w:val="center"/>
              <w:textAlignment w:val="center"/>
              <w:rPr>
                <w:b w:val="0"/>
                <w:bCs w:val="0"/>
                <w:color w:val="000000"/>
                <w:kern w:val="0"/>
                <w:sz w:val="16"/>
                <w:szCs w:val="16"/>
                <w:lang w:bidi="ar"/>
              </w:rPr>
            </w:pPr>
          </w:p>
        </w:tc>
        <w:tc>
          <w:tcPr>
            <w:tcW w:w="318" w:type="pct"/>
            <w:noWrap/>
            <w:vAlign w:val="center"/>
          </w:tcPr>
          <w:p w14:paraId="6E75CA00" w14:textId="77777777" w:rsidR="006D1C3F" w:rsidRDefault="006D1C3F">
            <w:pPr>
              <w:widowControl/>
              <w:ind w:firstLine="320"/>
              <w:jc w:val="center"/>
              <w:textAlignment w:val="center"/>
              <w:rPr>
                <w:b w:val="0"/>
                <w:bCs w:val="0"/>
                <w:color w:val="000000"/>
                <w:kern w:val="0"/>
                <w:sz w:val="16"/>
                <w:szCs w:val="16"/>
                <w:lang w:bidi="ar"/>
              </w:rPr>
            </w:pPr>
          </w:p>
        </w:tc>
        <w:tc>
          <w:tcPr>
            <w:tcW w:w="371" w:type="pct"/>
            <w:noWrap/>
            <w:vAlign w:val="center"/>
          </w:tcPr>
          <w:p w14:paraId="37D34F9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gompertz</w:t>
            </w:r>
            <w:proofErr w:type="spellEnd"/>
          </w:p>
        </w:tc>
        <w:tc>
          <w:tcPr>
            <w:tcW w:w="203" w:type="pct"/>
            <w:noWrap/>
            <w:vAlign w:val="center"/>
          </w:tcPr>
          <w:p w14:paraId="40A256B6"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34.0 </w:t>
            </w:r>
          </w:p>
        </w:tc>
        <w:tc>
          <w:tcPr>
            <w:tcW w:w="372" w:type="pct"/>
            <w:noWrap/>
            <w:vAlign w:val="center"/>
          </w:tcPr>
          <w:p w14:paraId="2EE556B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FP1-1</w:t>
            </w:r>
          </w:p>
        </w:tc>
        <w:tc>
          <w:tcPr>
            <w:tcW w:w="207" w:type="pct"/>
            <w:noWrap/>
            <w:vAlign w:val="center"/>
          </w:tcPr>
          <w:p w14:paraId="2F3B7E3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60.2 </w:t>
            </w:r>
          </w:p>
        </w:tc>
        <w:tc>
          <w:tcPr>
            <w:tcW w:w="392" w:type="pct"/>
            <w:noWrap/>
            <w:vAlign w:val="center"/>
          </w:tcPr>
          <w:p w14:paraId="186613D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1F1415B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33D2225D" w14:textId="77777777">
        <w:trPr>
          <w:trHeight w:val="288"/>
        </w:trPr>
        <w:tc>
          <w:tcPr>
            <w:tcW w:w="644" w:type="pct"/>
            <w:gridSpan w:val="2"/>
            <w:noWrap/>
            <w:vAlign w:val="center"/>
          </w:tcPr>
          <w:p w14:paraId="5B7A82E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color w:val="000000"/>
                <w:kern w:val="0"/>
                <w:sz w:val="16"/>
                <w:szCs w:val="16"/>
                <w:lang w:bidi="ar"/>
              </w:rPr>
              <w:t>OS of third-line, BSC</w:t>
            </w:r>
          </w:p>
        </w:tc>
        <w:tc>
          <w:tcPr>
            <w:tcW w:w="386" w:type="pct"/>
            <w:noWrap/>
            <w:vAlign w:val="center"/>
          </w:tcPr>
          <w:p w14:paraId="05FC763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14EF7F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0D8B811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3BE5333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62E9A9B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392136F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4A47496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2BD79E7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09E69E2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6F4E527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2ABDF18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53E7834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73A5618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2A9BBDE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15FDDBB7" w14:textId="77777777">
        <w:trPr>
          <w:trHeight w:val="288"/>
        </w:trPr>
        <w:tc>
          <w:tcPr>
            <w:tcW w:w="424" w:type="pct"/>
            <w:noWrap/>
          </w:tcPr>
          <w:p w14:paraId="1F7D078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color w:val="000000"/>
                <w:kern w:val="0"/>
                <w:sz w:val="16"/>
                <w:szCs w:val="16"/>
                <w:lang w:bidi="ar"/>
              </w:rPr>
              <w:t>RP-hazard-2</w:t>
            </w:r>
          </w:p>
        </w:tc>
        <w:tc>
          <w:tcPr>
            <w:tcW w:w="219" w:type="pct"/>
            <w:noWrap/>
            <w:vAlign w:val="center"/>
          </w:tcPr>
          <w:p w14:paraId="1A96934C"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65.3 </w:t>
            </w:r>
          </w:p>
        </w:tc>
        <w:tc>
          <w:tcPr>
            <w:tcW w:w="386" w:type="pct"/>
            <w:noWrap/>
            <w:vAlign w:val="center"/>
          </w:tcPr>
          <w:p w14:paraId="1D9D888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3F8A71B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3D3848F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33536E3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22B808F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093C2B5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64588DD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3447338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2A90662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00ABFB8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60DC37B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7B5235A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1BE0581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08A0A59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7E278227" w14:textId="77777777">
        <w:trPr>
          <w:trHeight w:val="288"/>
        </w:trPr>
        <w:tc>
          <w:tcPr>
            <w:tcW w:w="424" w:type="pct"/>
            <w:noWrap/>
          </w:tcPr>
          <w:p w14:paraId="46E2BBF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RP-odds-2</w:t>
            </w:r>
          </w:p>
        </w:tc>
        <w:tc>
          <w:tcPr>
            <w:tcW w:w="219" w:type="pct"/>
            <w:noWrap/>
            <w:vAlign w:val="center"/>
          </w:tcPr>
          <w:p w14:paraId="0352E82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65.4 </w:t>
            </w:r>
          </w:p>
        </w:tc>
        <w:tc>
          <w:tcPr>
            <w:tcW w:w="386" w:type="pct"/>
            <w:noWrap/>
            <w:vAlign w:val="center"/>
          </w:tcPr>
          <w:p w14:paraId="1EA1C53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3F1791A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063C30E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E2DCBD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4DF1C57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4F31D95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466CFB9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5DFD714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5EF08AC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D0A205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1888384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3CE2A60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5E08058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74C9D61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554C896F" w14:textId="77777777">
        <w:trPr>
          <w:trHeight w:val="288"/>
        </w:trPr>
        <w:tc>
          <w:tcPr>
            <w:tcW w:w="424" w:type="pct"/>
            <w:noWrap/>
          </w:tcPr>
          <w:p w14:paraId="4CB902C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RP-normal-1</w:t>
            </w:r>
          </w:p>
        </w:tc>
        <w:tc>
          <w:tcPr>
            <w:tcW w:w="219" w:type="pct"/>
            <w:noWrap/>
            <w:vAlign w:val="center"/>
          </w:tcPr>
          <w:p w14:paraId="70ACB328"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65.4 </w:t>
            </w:r>
          </w:p>
        </w:tc>
        <w:tc>
          <w:tcPr>
            <w:tcW w:w="386" w:type="pct"/>
            <w:noWrap/>
            <w:vAlign w:val="center"/>
          </w:tcPr>
          <w:p w14:paraId="2C61F31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4B70F5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3DD39A7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9D9099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1650C6B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33E3EF1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4A57F6F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2BA9F84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32A6D5D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566AAB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0EAF1F5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6F53358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6639A12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4BE96EC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3F14C94C" w14:textId="77777777">
        <w:trPr>
          <w:trHeight w:val="288"/>
        </w:trPr>
        <w:tc>
          <w:tcPr>
            <w:tcW w:w="424" w:type="pct"/>
            <w:noWrap/>
          </w:tcPr>
          <w:p w14:paraId="744154C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exp</w:t>
            </w:r>
          </w:p>
        </w:tc>
        <w:tc>
          <w:tcPr>
            <w:tcW w:w="219" w:type="pct"/>
            <w:noWrap/>
            <w:vAlign w:val="center"/>
          </w:tcPr>
          <w:p w14:paraId="095ED80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66.8 </w:t>
            </w:r>
          </w:p>
        </w:tc>
        <w:tc>
          <w:tcPr>
            <w:tcW w:w="386" w:type="pct"/>
            <w:noWrap/>
            <w:vAlign w:val="center"/>
          </w:tcPr>
          <w:p w14:paraId="1693183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2414668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3DAED2A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6D49A5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55332DD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277175C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46C03EB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5833C4A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550B4AE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2D444CE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3047892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4366207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3FF974D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60051C1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41F6724F" w14:textId="77777777">
        <w:trPr>
          <w:trHeight w:val="288"/>
        </w:trPr>
        <w:tc>
          <w:tcPr>
            <w:tcW w:w="424" w:type="pct"/>
            <w:noWrap/>
          </w:tcPr>
          <w:p w14:paraId="1B7B420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lastRenderedPageBreak/>
              <w:t>lnorm</w:t>
            </w:r>
            <w:proofErr w:type="spellEnd"/>
          </w:p>
        </w:tc>
        <w:tc>
          <w:tcPr>
            <w:tcW w:w="219" w:type="pct"/>
            <w:noWrap/>
            <w:vAlign w:val="center"/>
          </w:tcPr>
          <w:p w14:paraId="629FC839"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68.1 </w:t>
            </w:r>
          </w:p>
        </w:tc>
        <w:tc>
          <w:tcPr>
            <w:tcW w:w="386" w:type="pct"/>
            <w:noWrap/>
            <w:vAlign w:val="center"/>
          </w:tcPr>
          <w:p w14:paraId="26D124D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07E7EA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4FCCC75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E095C0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481C748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06B0106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2B7113D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2C12ADD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63A4EF2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978367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23CD3D2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13AFF28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5FF844C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5273DD1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5E11F7D2" w14:textId="77777777">
        <w:trPr>
          <w:trHeight w:val="288"/>
        </w:trPr>
        <w:tc>
          <w:tcPr>
            <w:tcW w:w="424" w:type="pct"/>
            <w:noWrap/>
          </w:tcPr>
          <w:p w14:paraId="268C133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RCS1</w:t>
            </w:r>
          </w:p>
        </w:tc>
        <w:tc>
          <w:tcPr>
            <w:tcW w:w="219" w:type="pct"/>
            <w:noWrap/>
            <w:vAlign w:val="center"/>
          </w:tcPr>
          <w:p w14:paraId="66C93E7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68.2 </w:t>
            </w:r>
          </w:p>
        </w:tc>
        <w:tc>
          <w:tcPr>
            <w:tcW w:w="386" w:type="pct"/>
            <w:noWrap/>
            <w:vAlign w:val="center"/>
          </w:tcPr>
          <w:p w14:paraId="516EBBF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202CDC6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74110D3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D3441E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68D2309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629EBE4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7EF5ED0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3B92F37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0F9318D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192CA63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60F0F84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1771780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7716CC9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40B4404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6544BE47" w14:textId="77777777">
        <w:trPr>
          <w:trHeight w:val="288"/>
        </w:trPr>
        <w:tc>
          <w:tcPr>
            <w:tcW w:w="424" w:type="pct"/>
            <w:noWrap/>
          </w:tcPr>
          <w:p w14:paraId="725D16F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FP1-2</w:t>
            </w:r>
          </w:p>
        </w:tc>
        <w:tc>
          <w:tcPr>
            <w:tcW w:w="219" w:type="pct"/>
            <w:noWrap/>
            <w:vAlign w:val="center"/>
          </w:tcPr>
          <w:p w14:paraId="78460BB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68.4 </w:t>
            </w:r>
          </w:p>
        </w:tc>
        <w:tc>
          <w:tcPr>
            <w:tcW w:w="386" w:type="pct"/>
            <w:noWrap/>
            <w:vAlign w:val="center"/>
          </w:tcPr>
          <w:p w14:paraId="323C688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52832FC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0DCBCCB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5E7A4F6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15449C4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042C075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282178C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2722652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6D8F1EE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26A12AF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0FF9C4E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7C03D23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39A3A0C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555CD42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58BB4723" w14:textId="77777777">
        <w:trPr>
          <w:trHeight w:val="288"/>
        </w:trPr>
        <w:tc>
          <w:tcPr>
            <w:tcW w:w="424" w:type="pct"/>
            <w:noWrap/>
          </w:tcPr>
          <w:p w14:paraId="1944944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FP1-1</w:t>
            </w:r>
          </w:p>
        </w:tc>
        <w:tc>
          <w:tcPr>
            <w:tcW w:w="219" w:type="pct"/>
            <w:noWrap/>
            <w:vAlign w:val="center"/>
          </w:tcPr>
          <w:p w14:paraId="76F8D2C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68.5 </w:t>
            </w:r>
          </w:p>
        </w:tc>
        <w:tc>
          <w:tcPr>
            <w:tcW w:w="386" w:type="pct"/>
            <w:noWrap/>
            <w:vAlign w:val="center"/>
          </w:tcPr>
          <w:p w14:paraId="42BC54C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E0DEAD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06F797B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6385391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08EC759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7266C3F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6B79C75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39E0DCA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027CAA6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03A15DA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6092804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6F50D00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0A493A5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3650E70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2665C3E0" w14:textId="77777777">
        <w:trPr>
          <w:trHeight w:val="288"/>
        </w:trPr>
        <w:tc>
          <w:tcPr>
            <w:tcW w:w="424" w:type="pct"/>
            <w:noWrap/>
          </w:tcPr>
          <w:p w14:paraId="23A4FCE2"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weibull</w:t>
            </w:r>
            <w:proofErr w:type="spellEnd"/>
          </w:p>
        </w:tc>
        <w:tc>
          <w:tcPr>
            <w:tcW w:w="219" w:type="pct"/>
            <w:noWrap/>
            <w:vAlign w:val="center"/>
          </w:tcPr>
          <w:p w14:paraId="0B86248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68.6 </w:t>
            </w:r>
          </w:p>
        </w:tc>
        <w:tc>
          <w:tcPr>
            <w:tcW w:w="386" w:type="pct"/>
            <w:noWrap/>
            <w:vAlign w:val="center"/>
          </w:tcPr>
          <w:p w14:paraId="3434DC6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6AF881E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5A9C925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3A73DE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01FF353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36A863F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750F689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6B2CA81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2B38A95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37C5FAC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41325B4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43E50C2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4510586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1F1C93F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256F1D99" w14:textId="77777777">
        <w:trPr>
          <w:trHeight w:val="288"/>
        </w:trPr>
        <w:tc>
          <w:tcPr>
            <w:tcW w:w="424" w:type="pct"/>
            <w:noWrap/>
          </w:tcPr>
          <w:p w14:paraId="29182AF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gamma</w:t>
            </w:r>
          </w:p>
        </w:tc>
        <w:tc>
          <w:tcPr>
            <w:tcW w:w="219" w:type="pct"/>
            <w:noWrap/>
            <w:vAlign w:val="center"/>
          </w:tcPr>
          <w:p w14:paraId="1F35F1BF"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68.6 </w:t>
            </w:r>
          </w:p>
        </w:tc>
        <w:tc>
          <w:tcPr>
            <w:tcW w:w="386" w:type="pct"/>
            <w:noWrap/>
            <w:vAlign w:val="center"/>
          </w:tcPr>
          <w:p w14:paraId="7387EAF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04D5FD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7361B25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060460A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70FD53A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417F8EE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559A0E5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12259C1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47E2E35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6637920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7CE9530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1E2340D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497C019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3555537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05B17F77" w14:textId="77777777">
        <w:trPr>
          <w:trHeight w:val="288"/>
        </w:trPr>
        <w:tc>
          <w:tcPr>
            <w:tcW w:w="424" w:type="pct"/>
            <w:noWrap/>
          </w:tcPr>
          <w:p w14:paraId="32CF409D"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gompertz</w:t>
            </w:r>
            <w:proofErr w:type="spellEnd"/>
          </w:p>
        </w:tc>
        <w:tc>
          <w:tcPr>
            <w:tcW w:w="219" w:type="pct"/>
            <w:noWrap/>
            <w:vAlign w:val="center"/>
          </w:tcPr>
          <w:p w14:paraId="53EE8C31"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68.7 </w:t>
            </w:r>
          </w:p>
        </w:tc>
        <w:tc>
          <w:tcPr>
            <w:tcW w:w="386" w:type="pct"/>
            <w:noWrap/>
            <w:vAlign w:val="center"/>
          </w:tcPr>
          <w:p w14:paraId="018526B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6C2C12E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71DEE80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0F779F4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7B25EE5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7936268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2D70BA1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58A1103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35F765A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6F04359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0F891EA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1A6AA28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07E8BF3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06FBD1E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514E1FC3" w14:textId="77777777">
        <w:trPr>
          <w:trHeight w:val="288"/>
        </w:trPr>
        <w:tc>
          <w:tcPr>
            <w:tcW w:w="424" w:type="pct"/>
            <w:noWrap/>
          </w:tcPr>
          <w:p w14:paraId="0573B03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llogis</w:t>
            </w:r>
            <w:proofErr w:type="spellEnd"/>
          </w:p>
        </w:tc>
        <w:tc>
          <w:tcPr>
            <w:tcW w:w="219" w:type="pct"/>
            <w:noWrap/>
            <w:vAlign w:val="center"/>
          </w:tcPr>
          <w:p w14:paraId="423B88AB"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69.3 </w:t>
            </w:r>
          </w:p>
        </w:tc>
        <w:tc>
          <w:tcPr>
            <w:tcW w:w="386" w:type="pct"/>
            <w:noWrap/>
            <w:vAlign w:val="center"/>
          </w:tcPr>
          <w:p w14:paraId="00F6D06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17A6CA4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74ABCA9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D88917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7B41225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0CD093D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38C5812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0BF8259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49C6A75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650F534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17FAC95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0B0B2D2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46D0187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3848861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178257B1" w14:textId="77777777">
        <w:trPr>
          <w:trHeight w:val="288"/>
        </w:trPr>
        <w:tc>
          <w:tcPr>
            <w:tcW w:w="424" w:type="pct"/>
            <w:noWrap/>
          </w:tcPr>
          <w:p w14:paraId="3D25672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gengamma</w:t>
            </w:r>
            <w:proofErr w:type="spellEnd"/>
          </w:p>
        </w:tc>
        <w:tc>
          <w:tcPr>
            <w:tcW w:w="219" w:type="pct"/>
            <w:noWrap/>
            <w:vAlign w:val="center"/>
          </w:tcPr>
          <w:p w14:paraId="5EF287C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70.0 </w:t>
            </w:r>
          </w:p>
        </w:tc>
        <w:tc>
          <w:tcPr>
            <w:tcW w:w="386" w:type="pct"/>
            <w:noWrap/>
            <w:vAlign w:val="center"/>
          </w:tcPr>
          <w:p w14:paraId="194EA90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9B6D73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766C48B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332EF44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2B5EAA4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69B829A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592207A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098BE59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56F4730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AECC55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685B0AC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07BA018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05D8CA6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68DA3DD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1422D813" w14:textId="77777777">
        <w:trPr>
          <w:trHeight w:val="288"/>
        </w:trPr>
        <w:tc>
          <w:tcPr>
            <w:tcW w:w="424" w:type="pct"/>
            <w:noWrap/>
            <w:vAlign w:val="center"/>
          </w:tcPr>
          <w:p w14:paraId="7E6ACFD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FP2-2</w:t>
            </w:r>
          </w:p>
        </w:tc>
        <w:tc>
          <w:tcPr>
            <w:tcW w:w="219" w:type="pct"/>
            <w:noWrap/>
            <w:vAlign w:val="center"/>
          </w:tcPr>
          <w:p w14:paraId="62B3F08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70.0 </w:t>
            </w:r>
          </w:p>
        </w:tc>
        <w:tc>
          <w:tcPr>
            <w:tcW w:w="386" w:type="pct"/>
            <w:noWrap/>
            <w:vAlign w:val="center"/>
          </w:tcPr>
          <w:p w14:paraId="2C1E3B5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1ED72E1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40108FC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5669D56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352CF57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18D275C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5CFE3EE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20C0AA7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1A58830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50A8722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6930E3C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139EB19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4A10C4F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0060943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533100D3" w14:textId="77777777">
        <w:trPr>
          <w:trHeight w:val="288"/>
        </w:trPr>
        <w:tc>
          <w:tcPr>
            <w:tcW w:w="424" w:type="pct"/>
            <w:noWrap/>
            <w:vAlign w:val="center"/>
          </w:tcPr>
          <w:p w14:paraId="17C81F6E"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RCS2</w:t>
            </w:r>
          </w:p>
        </w:tc>
        <w:tc>
          <w:tcPr>
            <w:tcW w:w="219" w:type="pct"/>
            <w:noWrap/>
            <w:vAlign w:val="center"/>
          </w:tcPr>
          <w:p w14:paraId="736A8E97"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70.2 </w:t>
            </w:r>
          </w:p>
        </w:tc>
        <w:tc>
          <w:tcPr>
            <w:tcW w:w="386" w:type="pct"/>
            <w:noWrap/>
            <w:vAlign w:val="center"/>
          </w:tcPr>
          <w:p w14:paraId="59ED1BC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84F033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0A3C67F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A6C83A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4003AE9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684D48D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77F0619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5BDC662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3148861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464E087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3AA76F5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4467E3C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609939F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7151337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21C727AF" w14:textId="77777777">
        <w:trPr>
          <w:trHeight w:val="288"/>
        </w:trPr>
        <w:tc>
          <w:tcPr>
            <w:tcW w:w="424" w:type="pct"/>
            <w:noWrap/>
            <w:vAlign w:val="center"/>
          </w:tcPr>
          <w:p w14:paraId="19F98455"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FP2-1</w:t>
            </w:r>
          </w:p>
        </w:tc>
        <w:tc>
          <w:tcPr>
            <w:tcW w:w="219" w:type="pct"/>
            <w:noWrap/>
            <w:vAlign w:val="center"/>
          </w:tcPr>
          <w:p w14:paraId="14567704"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70.3 </w:t>
            </w:r>
          </w:p>
        </w:tc>
        <w:tc>
          <w:tcPr>
            <w:tcW w:w="386" w:type="pct"/>
            <w:noWrap/>
            <w:vAlign w:val="center"/>
          </w:tcPr>
          <w:p w14:paraId="5420888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F22861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6A7F4BD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308E54F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5F5DA4D3"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2689157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7409FFE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3EAC04A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683C827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46607B6"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0942D45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63D8035C"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7105DBC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08CC543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28B827AB" w14:textId="77777777">
        <w:trPr>
          <w:trHeight w:val="288"/>
        </w:trPr>
        <w:tc>
          <w:tcPr>
            <w:tcW w:w="424" w:type="pct"/>
            <w:noWrap/>
            <w:vAlign w:val="center"/>
          </w:tcPr>
          <w:p w14:paraId="704A216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proofErr w:type="spellStart"/>
            <w:r>
              <w:rPr>
                <w:rFonts w:hint="eastAsia"/>
                <w:b w:val="0"/>
                <w:bCs w:val="0"/>
                <w:color w:val="000000"/>
                <w:kern w:val="0"/>
                <w:sz w:val="16"/>
                <w:szCs w:val="16"/>
                <w:lang w:bidi="ar"/>
              </w:rPr>
              <w:t>genf</w:t>
            </w:r>
            <w:proofErr w:type="spellEnd"/>
          </w:p>
        </w:tc>
        <w:tc>
          <w:tcPr>
            <w:tcW w:w="219" w:type="pct"/>
            <w:noWrap/>
            <w:vAlign w:val="center"/>
          </w:tcPr>
          <w:p w14:paraId="66F0CC3A"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72.0 </w:t>
            </w:r>
          </w:p>
        </w:tc>
        <w:tc>
          <w:tcPr>
            <w:tcW w:w="386" w:type="pct"/>
            <w:noWrap/>
            <w:vAlign w:val="center"/>
          </w:tcPr>
          <w:p w14:paraId="3ED7BC7D"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566E51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076EBF5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3EAEC09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51207C1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664445A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643121A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4BE626BE"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57691DA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76A2F584"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64B1BA1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113D0F5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6E82A0F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2467446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r w:rsidR="006D1C3F" w14:paraId="364739B6" w14:textId="77777777">
        <w:trPr>
          <w:trHeight w:val="288"/>
        </w:trPr>
        <w:tc>
          <w:tcPr>
            <w:tcW w:w="424" w:type="pct"/>
            <w:noWrap/>
            <w:vAlign w:val="center"/>
          </w:tcPr>
          <w:p w14:paraId="3BD69573"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RP-normal-2</w:t>
            </w:r>
          </w:p>
        </w:tc>
        <w:tc>
          <w:tcPr>
            <w:tcW w:w="219" w:type="pct"/>
            <w:noWrap/>
            <w:vAlign w:val="center"/>
          </w:tcPr>
          <w:p w14:paraId="32303DD0" w14:textId="77777777" w:rsidR="006D1C3F" w:rsidRDefault="00000000">
            <w:pPr>
              <w:widowControl/>
              <w:spacing w:line="240" w:lineRule="auto"/>
              <w:ind w:firstLineChars="0" w:firstLine="0"/>
              <w:jc w:val="center"/>
              <w:textAlignment w:val="center"/>
              <w:rPr>
                <w:b w:val="0"/>
                <w:bCs w:val="0"/>
                <w:color w:val="000000"/>
                <w:kern w:val="0"/>
                <w:sz w:val="16"/>
                <w:szCs w:val="16"/>
                <w:lang w:bidi="ar"/>
              </w:rPr>
            </w:pPr>
            <w:r>
              <w:rPr>
                <w:rFonts w:hint="eastAsia"/>
                <w:b w:val="0"/>
                <w:bCs w:val="0"/>
                <w:color w:val="000000"/>
                <w:kern w:val="0"/>
                <w:sz w:val="16"/>
                <w:szCs w:val="16"/>
                <w:lang w:bidi="ar"/>
              </w:rPr>
              <w:t xml:space="preserve">78.7 </w:t>
            </w:r>
          </w:p>
        </w:tc>
        <w:tc>
          <w:tcPr>
            <w:tcW w:w="386" w:type="pct"/>
            <w:noWrap/>
            <w:vAlign w:val="center"/>
          </w:tcPr>
          <w:p w14:paraId="7FC010A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064BCA70"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24A1D03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6EBE1AF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86" w:type="pct"/>
            <w:noWrap/>
            <w:vAlign w:val="center"/>
          </w:tcPr>
          <w:p w14:paraId="0E1E0E31"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8" w:type="pct"/>
            <w:noWrap/>
            <w:vAlign w:val="center"/>
          </w:tcPr>
          <w:p w14:paraId="32131CC8"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532" w:type="pct"/>
            <w:noWrap/>
            <w:vAlign w:val="center"/>
          </w:tcPr>
          <w:p w14:paraId="2243FA3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18" w:type="pct"/>
            <w:noWrap/>
            <w:vAlign w:val="center"/>
          </w:tcPr>
          <w:p w14:paraId="24E3472F"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1" w:type="pct"/>
            <w:noWrap/>
            <w:vAlign w:val="center"/>
          </w:tcPr>
          <w:p w14:paraId="3E2E8DD2"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3" w:type="pct"/>
            <w:noWrap/>
            <w:vAlign w:val="center"/>
          </w:tcPr>
          <w:p w14:paraId="1B039087"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72" w:type="pct"/>
            <w:noWrap/>
            <w:vAlign w:val="center"/>
          </w:tcPr>
          <w:p w14:paraId="72CC3959"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207" w:type="pct"/>
            <w:noWrap/>
            <w:vAlign w:val="center"/>
          </w:tcPr>
          <w:p w14:paraId="1FC0EEEA"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392" w:type="pct"/>
            <w:noWrap/>
            <w:vAlign w:val="center"/>
          </w:tcPr>
          <w:p w14:paraId="479A49EB"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c>
          <w:tcPr>
            <w:tcW w:w="175" w:type="pct"/>
            <w:noWrap/>
            <w:vAlign w:val="center"/>
          </w:tcPr>
          <w:p w14:paraId="05129E15" w14:textId="77777777" w:rsidR="006D1C3F" w:rsidRDefault="006D1C3F">
            <w:pPr>
              <w:widowControl/>
              <w:spacing w:line="240" w:lineRule="auto"/>
              <w:ind w:firstLineChars="0" w:firstLine="0"/>
              <w:jc w:val="center"/>
              <w:textAlignment w:val="center"/>
              <w:rPr>
                <w:b w:val="0"/>
                <w:bCs w:val="0"/>
                <w:color w:val="000000"/>
                <w:kern w:val="0"/>
                <w:sz w:val="16"/>
                <w:szCs w:val="16"/>
                <w:lang w:bidi="ar"/>
              </w:rPr>
            </w:pPr>
          </w:p>
        </w:tc>
      </w:tr>
    </w:tbl>
    <w:p w14:paraId="657DC9CA" w14:textId="77777777" w:rsidR="006D1C3F" w:rsidRDefault="00000000">
      <w:pPr>
        <w:widowControl/>
        <w:spacing w:line="240" w:lineRule="auto"/>
        <w:ind w:firstLineChars="0" w:firstLine="0"/>
        <w:jc w:val="left"/>
        <w:textAlignment w:val="center"/>
        <w:rPr>
          <w:b w:val="0"/>
          <w:bCs w:val="0"/>
          <w:color w:val="000000"/>
          <w:kern w:val="0"/>
          <w:sz w:val="16"/>
          <w:szCs w:val="16"/>
          <w:lang w:bidi="ar"/>
        </w:rPr>
      </w:pPr>
      <w:r>
        <w:rPr>
          <w:rFonts w:hint="eastAsia"/>
          <w:b w:val="0"/>
          <w:bCs w:val="0"/>
          <w:color w:val="000000"/>
          <w:kern w:val="0"/>
          <w:sz w:val="16"/>
          <w:szCs w:val="16"/>
          <w:lang w:bidi="ar"/>
        </w:rPr>
        <w:t>* Discrepancies in Extrapolated Survival Curves; NR, not reported; NA, not available; OS, overall survival; PFS, progression-free survival</w:t>
      </w:r>
    </w:p>
    <w:p w14:paraId="25B33FF2" w14:textId="77777777" w:rsidR="006D1C3F" w:rsidRDefault="006D1C3F">
      <w:pPr>
        <w:widowControl/>
        <w:spacing w:line="240" w:lineRule="auto"/>
        <w:ind w:firstLineChars="0" w:firstLine="0"/>
        <w:jc w:val="left"/>
        <w:rPr>
          <w:rFonts w:eastAsiaTheme="minorEastAsia" w:cstheme="minorBidi"/>
          <w:b w:val="0"/>
          <w:bCs w:val="0"/>
        </w:rPr>
        <w:sectPr w:rsidR="006D1C3F">
          <w:type w:val="continuous"/>
          <w:pgSz w:w="16838" w:h="11906" w:orient="landscape"/>
          <w:pgMar w:top="1800" w:right="1440" w:bottom="1800" w:left="1440" w:header="851" w:footer="992" w:gutter="0"/>
          <w:cols w:space="425"/>
          <w:docGrid w:type="lines" w:linePitch="312"/>
        </w:sectPr>
      </w:pPr>
    </w:p>
    <w:p w14:paraId="68A90087" w14:textId="77777777" w:rsidR="006D1C3F" w:rsidRDefault="00000000">
      <w:pPr>
        <w:keepNext/>
        <w:keepLines/>
        <w:pageBreakBefore/>
        <w:spacing w:before="340" w:after="156" w:line="240" w:lineRule="auto"/>
        <w:ind w:firstLineChars="0" w:firstLine="0"/>
        <w:outlineLvl w:val="0"/>
        <w:rPr>
          <w:rFonts w:eastAsia="Times New Roman" w:cstheme="minorBidi"/>
          <w:b w:val="0"/>
          <w:bCs w:val="0"/>
          <w:kern w:val="44"/>
        </w:rPr>
      </w:pPr>
      <w:bookmarkStart w:id="23" w:name="_Hlk211978319"/>
      <w:bookmarkStart w:id="24" w:name="_Toc3263"/>
      <w:bookmarkStart w:id="25" w:name="_Toc225844813"/>
      <w:r>
        <w:rPr>
          <w:rFonts w:eastAsia="Times New Roman" w:cstheme="minorBidi"/>
          <w:b w:val="0"/>
          <w:bCs w:val="0"/>
          <w:kern w:val="44"/>
        </w:rPr>
        <w:lastRenderedPageBreak/>
        <w:t>Table S</w:t>
      </w:r>
      <w:r>
        <w:rPr>
          <w:rFonts w:eastAsia="Times New Roman" w:cstheme="minorBidi" w:hint="eastAsia"/>
          <w:b w:val="0"/>
          <w:bCs w:val="0"/>
          <w:kern w:val="44"/>
        </w:rPr>
        <w:t>9</w:t>
      </w:r>
      <w:bookmarkEnd w:id="23"/>
      <w:r>
        <w:rPr>
          <w:rFonts w:eastAsia="Times New Roman" w:cstheme="minorBidi"/>
          <w:b w:val="0"/>
          <w:bCs w:val="0"/>
          <w:kern w:val="44"/>
        </w:rPr>
        <w:t xml:space="preserve"> </w:t>
      </w:r>
      <w:r>
        <w:rPr>
          <w:rFonts w:eastAsia="Times New Roman" w:cstheme="minorBidi" w:hint="eastAsia"/>
          <w:b w:val="0"/>
          <w:bCs w:val="0"/>
          <w:kern w:val="44"/>
        </w:rPr>
        <w:t>Physician Preferences for treatment of NSCLC: Adjusted Preference Weight Version</w:t>
      </w:r>
      <w:bookmarkEnd w:id="25"/>
    </w:p>
    <w:tbl>
      <w:tblPr>
        <w:tblW w:w="8081" w:type="dxa"/>
        <w:jc w:val="center"/>
        <w:tblLayout w:type="fixed"/>
        <w:tblCellMar>
          <w:left w:w="0" w:type="dxa"/>
          <w:right w:w="0" w:type="dxa"/>
        </w:tblCellMar>
        <w:tblLook w:val="04A0" w:firstRow="1" w:lastRow="0" w:firstColumn="1" w:lastColumn="0" w:noHBand="0" w:noVBand="1"/>
      </w:tblPr>
      <w:tblGrid>
        <w:gridCol w:w="1844"/>
        <w:gridCol w:w="1559"/>
        <w:gridCol w:w="1276"/>
        <w:gridCol w:w="1134"/>
        <w:gridCol w:w="1134"/>
        <w:gridCol w:w="1134"/>
      </w:tblGrid>
      <w:tr w:rsidR="006D1C3F" w14:paraId="7F59C577" w14:textId="77777777">
        <w:trPr>
          <w:trHeight w:val="908"/>
          <w:jc w:val="center"/>
        </w:trPr>
        <w:tc>
          <w:tcPr>
            <w:tcW w:w="1844" w:type="dxa"/>
            <w:tcBorders>
              <w:top w:val="single" w:sz="12" w:space="0" w:color="auto"/>
              <w:left w:val="nil"/>
              <w:bottom w:val="single" w:sz="6" w:space="0" w:color="000000"/>
              <w:right w:val="nil"/>
            </w:tcBorders>
            <w:vAlign w:val="center"/>
          </w:tcPr>
          <w:p w14:paraId="36861E2D" w14:textId="77777777" w:rsidR="006D1C3F" w:rsidRDefault="00000000">
            <w:pPr>
              <w:ind w:firstLineChars="0" w:firstLine="0"/>
              <w:jc w:val="center"/>
              <w:rPr>
                <w:b w:val="0"/>
                <w:bCs w:val="0"/>
                <w:szCs w:val="20"/>
                <w:lang w:bidi="ar"/>
              </w:rPr>
            </w:pPr>
            <w:r>
              <w:rPr>
                <w:b w:val="0"/>
                <w:bCs w:val="0"/>
                <w:szCs w:val="20"/>
                <w:lang w:bidi="ar"/>
              </w:rPr>
              <w:t>Attributes</w:t>
            </w:r>
          </w:p>
        </w:tc>
        <w:tc>
          <w:tcPr>
            <w:tcW w:w="1559" w:type="dxa"/>
            <w:tcBorders>
              <w:top w:val="single" w:sz="12" w:space="0" w:color="auto"/>
              <w:left w:val="nil"/>
              <w:bottom w:val="single" w:sz="6" w:space="0" w:color="000000"/>
              <w:right w:val="nil"/>
            </w:tcBorders>
            <w:tcMar>
              <w:left w:w="108" w:type="dxa"/>
              <w:right w:w="108" w:type="dxa"/>
            </w:tcMar>
            <w:vAlign w:val="center"/>
          </w:tcPr>
          <w:p w14:paraId="524063BC" w14:textId="77777777" w:rsidR="006D1C3F" w:rsidRDefault="00000000">
            <w:pPr>
              <w:ind w:firstLineChars="0" w:firstLine="0"/>
              <w:jc w:val="center"/>
              <w:rPr>
                <w:b w:val="0"/>
                <w:bCs w:val="0"/>
                <w:szCs w:val="20"/>
              </w:rPr>
            </w:pPr>
            <w:r>
              <w:rPr>
                <w:b w:val="0"/>
                <w:bCs w:val="0"/>
                <w:szCs w:val="20"/>
                <w:lang w:bidi="ar"/>
              </w:rPr>
              <w:t>Levels</w:t>
            </w:r>
          </w:p>
        </w:tc>
        <w:tc>
          <w:tcPr>
            <w:tcW w:w="1276" w:type="dxa"/>
            <w:tcBorders>
              <w:top w:val="single" w:sz="12" w:space="0" w:color="auto"/>
              <w:left w:val="nil"/>
              <w:bottom w:val="single" w:sz="6" w:space="0" w:color="000000"/>
              <w:right w:val="nil"/>
            </w:tcBorders>
            <w:tcMar>
              <w:left w:w="108" w:type="dxa"/>
              <w:right w:w="108" w:type="dxa"/>
            </w:tcMar>
            <w:vAlign w:val="center"/>
          </w:tcPr>
          <w:p w14:paraId="0B3F16C4" w14:textId="77777777" w:rsidR="006D1C3F" w:rsidRDefault="00000000">
            <w:pPr>
              <w:ind w:firstLineChars="0" w:firstLine="0"/>
              <w:jc w:val="center"/>
              <w:rPr>
                <w:b w:val="0"/>
                <w:bCs w:val="0"/>
                <w:szCs w:val="20"/>
              </w:rPr>
            </w:pPr>
            <w:r>
              <w:rPr>
                <w:b w:val="0"/>
                <w:bCs w:val="0"/>
                <w:szCs w:val="20"/>
                <w:lang w:bidi="ar"/>
              </w:rPr>
              <w:t xml:space="preserve">Coefficient </w:t>
            </w:r>
          </w:p>
        </w:tc>
        <w:tc>
          <w:tcPr>
            <w:tcW w:w="1134" w:type="dxa"/>
            <w:tcBorders>
              <w:top w:val="single" w:sz="12" w:space="0" w:color="000000"/>
              <w:left w:val="nil"/>
              <w:bottom w:val="single" w:sz="6" w:space="0" w:color="000000"/>
              <w:right w:val="nil"/>
            </w:tcBorders>
            <w:tcMar>
              <w:left w:w="108" w:type="dxa"/>
              <w:right w:w="108" w:type="dxa"/>
            </w:tcMar>
            <w:vAlign w:val="center"/>
          </w:tcPr>
          <w:p w14:paraId="0E590D29" w14:textId="77777777" w:rsidR="006D1C3F" w:rsidRDefault="00000000">
            <w:pPr>
              <w:ind w:firstLine="400"/>
              <w:jc w:val="left"/>
              <w:rPr>
                <w:b w:val="0"/>
                <w:bCs w:val="0"/>
                <w:szCs w:val="20"/>
              </w:rPr>
            </w:pPr>
            <w:r>
              <w:rPr>
                <w:b w:val="0"/>
                <w:bCs w:val="0"/>
                <w:szCs w:val="20"/>
                <w:lang w:bidi="ar"/>
              </w:rPr>
              <w:t>P</w:t>
            </w:r>
          </w:p>
        </w:tc>
        <w:tc>
          <w:tcPr>
            <w:tcW w:w="1134" w:type="dxa"/>
            <w:tcBorders>
              <w:top w:val="single" w:sz="12" w:space="0" w:color="000000"/>
              <w:left w:val="nil"/>
              <w:bottom w:val="single" w:sz="6" w:space="0" w:color="000000"/>
              <w:right w:val="nil"/>
            </w:tcBorders>
            <w:vAlign w:val="center"/>
          </w:tcPr>
          <w:p w14:paraId="095A9AF7" w14:textId="77777777" w:rsidR="006D1C3F" w:rsidRDefault="00000000">
            <w:pPr>
              <w:ind w:firstLineChars="0" w:firstLine="0"/>
              <w:jc w:val="center"/>
              <w:rPr>
                <w:b w:val="0"/>
                <w:bCs w:val="0"/>
                <w:szCs w:val="20"/>
                <w:lang w:bidi="ar"/>
              </w:rPr>
            </w:pPr>
            <w:r>
              <w:rPr>
                <w:b w:val="0"/>
                <w:bCs w:val="0"/>
                <w:szCs w:val="20"/>
                <w:lang w:bidi="ar"/>
              </w:rPr>
              <w:t>MAX-MIN</w:t>
            </w:r>
          </w:p>
        </w:tc>
        <w:tc>
          <w:tcPr>
            <w:tcW w:w="1134" w:type="dxa"/>
            <w:tcBorders>
              <w:top w:val="single" w:sz="12" w:space="0" w:color="000000"/>
              <w:left w:val="nil"/>
              <w:bottom w:val="single" w:sz="6" w:space="0" w:color="000000"/>
              <w:right w:val="nil"/>
            </w:tcBorders>
            <w:vAlign w:val="center"/>
          </w:tcPr>
          <w:p w14:paraId="73F7AAA1" w14:textId="77777777" w:rsidR="006D1C3F" w:rsidRDefault="00000000">
            <w:pPr>
              <w:ind w:firstLineChars="0" w:firstLine="0"/>
              <w:jc w:val="center"/>
              <w:rPr>
                <w:b w:val="0"/>
                <w:bCs w:val="0"/>
                <w:szCs w:val="20"/>
              </w:rPr>
            </w:pPr>
            <w:r>
              <w:rPr>
                <w:b w:val="0"/>
                <w:bCs w:val="0"/>
                <w:szCs w:val="20"/>
                <w:lang w:bidi="ar"/>
              </w:rPr>
              <w:t>Adjusted Relative Importance</w:t>
            </w:r>
          </w:p>
        </w:tc>
      </w:tr>
      <w:tr w:rsidR="006D1C3F" w14:paraId="245DF7FA" w14:textId="77777777">
        <w:trPr>
          <w:trHeight w:val="522"/>
          <w:jc w:val="center"/>
        </w:trPr>
        <w:tc>
          <w:tcPr>
            <w:tcW w:w="1844" w:type="dxa"/>
            <w:vMerge w:val="restart"/>
            <w:vAlign w:val="center"/>
          </w:tcPr>
          <w:p w14:paraId="31F9647C" w14:textId="77777777" w:rsidR="006D1C3F" w:rsidRDefault="00000000">
            <w:pPr>
              <w:ind w:firstLineChars="0" w:firstLine="0"/>
              <w:jc w:val="center"/>
              <w:rPr>
                <w:szCs w:val="20"/>
                <w:lang w:bidi="ar"/>
              </w:rPr>
            </w:pPr>
            <w:r>
              <w:rPr>
                <w:szCs w:val="20"/>
                <w:lang w:bidi="ar"/>
              </w:rPr>
              <w:t>Progression-free survival (PFS)</w:t>
            </w:r>
          </w:p>
        </w:tc>
        <w:tc>
          <w:tcPr>
            <w:tcW w:w="1559" w:type="dxa"/>
            <w:tcMar>
              <w:left w:w="108" w:type="dxa"/>
              <w:right w:w="108" w:type="dxa"/>
            </w:tcMar>
            <w:vAlign w:val="center"/>
          </w:tcPr>
          <w:p w14:paraId="4790C56F" w14:textId="77777777" w:rsidR="006D1C3F" w:rsidRDefault="00000000">
            <w:pPr>
              <w:ind w:firstLine="400"/>
              <w:rPr>
                <w:b w:val="0"/>
                <w:bCs w:val="0"/>
                <w:szCs w:val="20"/>
              </w:rPr>
            </w:pPr>
            <w:r>
              <w:rPr>
                <w:b w:val="0"/>
                <w:bCs w:val="0"/>
                <w:szCs w:val="20"/>
                <w:lang w:bidi="ar"/>
              </w:rPr>
              <w:t>1</w:t>
            </w:r>
            <w:r>
              <w:rPr>
                <w:rFonts w:hint="eastAsia"/>
                <w:b w:val="0"/>
                <w:bCs w:val="0"/>
                <w:szCs w:val="20"/>
                <w:lang w:bidi="ar"/>
              </w:rPr>
              <w:t>1</w:t>
            </w:r>
            <w:r>
              <w:rPr>
                <w:b w:val="0"/>
                <w:bCs w:val="0"/>
                <w:szCs w:val="20"/>
                <w:lang w:bidi="ar"/>
              </w:rPr>
              <w:t xml:space="preserve"> months</w:t>
            </w:r>
          </w:p>
        </w:tc>
        <w:tc>
          <w:tcPr>
            <w:tcW w:w="1276" w:type="dxa"/>
            <w:tcMar>
              <w:left w:w="108" w:type="dxa"/>
              <w:right w:w="108" w:type="dxa"/>
            </w:tcMar>
            <w:vAlign w:val="center"/>
          </w:tcPr>
          <w:p w14:paraId="17F30BBE" w14:textId="77777777" w:rsidR="006D1C3F" w:rsidRDefault="00000000">
            <w:pPr>
              <w:ind w:firstLine="400"/>
              <w:rPr>
                <w:b w:val="0"/>
                <w:bCs w:val="0"/>
                <w:szCs w:val="20"/>
                <w:lang w:bidi="ar"/>
              </w:rPr>
            </w:pPr>
            <w:r>
              <w:rPr>
                <w:rFonts w:hint="eastAsia"/>
                <w:b w:val="0"/>
                <w:bCs w:val="0"/>
                <w:szCs w:val="20"/>
                <w:lang w:bidi="ar"/>
              </w:rPr>
              <w:t>1.283</w:t>
            </w:r>
          </w:p>
        </w:tc>
        <w:tc>
          <w:tcPr>
            <w:tcW w:w="1134" w:type="dxa"/>
            <w:tcMar>
              <w:left w:w="108" w:type="dxa"/>
              <w:right w:w="108" w:type="dxa"/>
            </w:tcMar>
            <w:vAlign w:val="center"/>
          </w:tcPr>
          <w:p w14:paraId="62163863" w14:textId="77777777" w:rsidR="006D1C3F" w:rsidRDefault="00000000">
            <w:pPr>
              <w:ind w:firstLineChars="100" w:firstLine="200"/>
              <w:jc w:val="left"/>
              <w:rPr>
                <w:b w:val="0"/>
                <w:bCs w:val="0"/>
                <w:szCs w:val="20"/>
                <w:lang w:bidi="ar"/>
              </w:rPr>
            </w:pPr>
            <w:r>
              <w:rPr>
                <w:rFonts w:hint="eastAsia"/>
                <w:b w:val="0"/>
                <w:bCs w:val="0"/>
                <w:szCs w:val="20"/>
                <w:lang w:bidi="ar"/>
              </w:rPr>
              <w:t>&lt;0.001</w:t>
            </w:r>
          </w:p>
        </w:tc>
        <w:tc>
          <w:tcPr>
            <w:tcW w:w="1134" w:type="dxa"/>
            <w:vAlign w:val="center"/>
          </w:tcPr>
          <w:p w14:paraId="097E08EE" w14:textId="77777777" w:rsidR="006D1C3F" w:rsidRDefault="00000000">
            <w:pPr>
              <w:ind w:firstLineChars="0" w:firstLine="0"/>
              <w:jc w:val="center"/>
              <w:rPr>
                <w:b w:val="0"/>
                <w:bCs w:val="0"/>
                <w:szCs w:val="20"/>
                <w:lang w:bidi="ar"/>
              </w:rPr>
            </w:pPr>
            <w:r>
              <w:rPr>
                <w:b w:val="0"/>
                <w:bCs w:val="0"/>
                <w:szCs w:val="20"/>
                <w:lang w:bidi="ar"/>
              </w:rPr>
              <w:t>2.505</w:t>
            </w:r>
          </w:p>
        </w:tc>
        <w:tc>
          <w:tcPr>
            <w:tcW w:w="1134" w:type="dxa"/>
            <w:vAlign w:val="center"/>
          </w:tcPr>
          <w:p w14:paraId="43295991" w14:textId="77777777" w:rsidR="006D1C3F" w:rsidRDefault="00000000">
            <w:pPr>
              <w:ind w:firstLineChars="100" w:firstLine="200"/>
              <w:rPr>
                <w:b w:val="0"/>
                <w:bCs w:val="0"/>
                <w:szCs w:val="20"/>
              </w:rPr>
            </w:pPr>
            <w:r>
              <w:rPr>
                <w:b w:val="0"/>
                <w:bCs w:val="0"/>
                <w:szCs w:val="20"/>
              </w:rPr>
              <w:t>0.3</w:t>
            </w:r>
            <w:r>
              <w:rPr>
                <w:rFonts w:hint="eastAsia"/>
                <w:b w:val="0"/>
                <w:bCs w:val="0"/>
                <w:szCs w:val="20"/>
              </w:rPr>
              <w:t>90</w:t>
            </w:r>
          </w:p>
        </w:tc>
      </w:tr>
      <w:tr w:rsidR="006D1C3F" w14:paraId="4D884F43" w14:textId="77777777">
        <w:trPr>
          <w:trHeight w:val="471"/>
          <w:jc w:val="center"/>
        </w:trPr>
        <w:tc>
          <w:tcPr>
            <w:tcW w:w="1844" w:type="dxa"/>
            <w:vMerge/>
            <w:vAlign w:val="center"/>
          </w:tcPr>
          <w:p w14:paraId="43FF05AA" w14:textId="77777777" w:rsidR="006D1C3F" w:rsidRDefault="006D1C3F">
            <w:pPr>
              <w:jc w:val="center"/>
              <w:rPr>
                <w:szCs w:val="20"/>
                <w:lang w:bidi="ar"/>
              </w:rPr>
            </w:pPr>
          </w:p>
        </w:tc>
        <w:tc>
          <w:tcPr>
            <w:tcW w:w="1559" w:type="dxa"/>
            <w:tcMar>
              <w:left w:w="108" w:type="dxa"/>
              <w:right w:w="108" w:type="dxa"/>
            </w:tcMar>
            <w:vAlign w:val="center"/>
          </w:tcPr>
          <w:p w14:paraId="29892E6A" w14:textId="77777777" w:rsidR="006D1C3F" w:rsidRDefault="00000000">
            <w:pPr>
              <w:ind w:firstLine="400"/>
              <w:rPr>
                <w:b w:val="0"/>
                <w:bCs w:val="0"/>
                <w:szCs w:val="20"/>
                <w:lang w:bidi="ar"/>
              </w:rPr>
            </w:pPr>
            <w:r>
              <w:rPr>
                <w:rFonts w:hint="eastAsia"/>
                <w:b w:val="0"/>
                <w:bCs w:val="0"/>
                <w:szCs w:val="20"/>
                <w:lang w:bidi="ar"/>
              </w:rPr>
              <w:t>8</w:t>
            </w:r>
            <w:r>
              <w:rPr>
                <w:b w:val="0"/>
                <w:bCs w:val="0"/>
                <w:szCs w:val="20"/>
                <w:lang w:bidi="ar"/>
              </w:rPr>
              <w:t xml:space="preserve"> months</w:t>
            </w:r>
          </w:p>
        </w:tc>
        <w:tc>
          <w:tcPr>
            <w:tcW w:w="1276" w:type="dxa"/>
            <w:tcMar>
              <w:left w:w="108" w:type="dxa"/>
              <w:right w:w="108" w:type="dxa"/>
            </w:tcMar>
            <w:vAlign w:val="center"/>
          </w:tcPr>
          <w:p w14:paraId="0EC66251" w14:textId="77777777" w:rsidR="006D1C3F" w:rsidRDefault="00000000">
            <w:pPr>
              <w:ind w:firstLine="400"/>
              <w:rPr>
                <w:b w:val="0"/>
                <w:bCs w:val="0"/>
                <w:szCs w:val="20"/>
                <w:lang w:bidi="ar"/>
              </w:rPr>
            </w:pPr>
            <w:r>
              <w:rPr>
                <w:rFonts w:hint="eastAsia"/>
                <w:b w:val="0"/>
                <w:bCs w:val="0"/>
                <w:szCs w:val="20"/>
                <w:lang w:bidi="ar"/>
              </w:rPr>
              <w:t>-0.061</w:t>
            </w:r>
          </w:p>
        </w:tc>
        <w:tc>
          <w:tcPr>
            <w:tcW w:w="1134" w:type="dxa"/>
            <w:tcMar>
              <w:left w:w="108" w:type="dxa"/>
              <w:right w:w="108" w:type="dxa"/>
            </w:tcMar>
            <w:vAlign w:val="center"/>
          </w:tcPr>
          <w:p w14:paraId="6BB66DAD" w14:textId="77777777" w:rsidR="006D1C3F" w:rsidRDefault="00000000">
            <w:pPr>
              <w:ind w:firstLineChars="100" w:firstLine="200"/>
              <w:jc w:val="left"/>
              <w:rPr>
                <w:b w:val="0"/>
                <w:bCs w:val="0"/>
                <w:szCs w:val="20"/>
                <w:lang w:bidi="ar"/>
              </w:rPr>
            </w:pPr>
            <w:r>
              <w:rPr>
                <w:rFonts w:hint="eastAsia"/>
                <w:b w:val="0"/>
                <w:bCs w:val="0"/>
                <w:szCs w:val="20"/>
                <w:lang w:bidi="ar"/>
              </w:rPr>
              <w:t>0.175</w:t>
            </w:r>
          </w:p>
        </w:tc>
        <w:tc>
          <w:tcPr>
            <w:tcW w:w="1134" w:type="dxa"/>
            <w:vAlign w:val="center"/>
          </w:tcPr>
          <w:p w14:paraId="509A8526" w14:textId="77777777" w:rsidR="006D1C3F" w:rsidRDefault="006D1C3F">
            <w:pPr>
              <w:ind w:firstLineChars="100" w:firstLine="200"/>
              <w:jc w:val="center"/>
              <w:rPr>
                <w:b w:val="0"/>
                <w:bCs w:val="0"/>
                <w:szCs w:val="20"/>
                <w:lang w:bidi="ar"/>
              </w:rPr>
            </w:pPr>
          </w:p>
        </w:tc>
        <w:tc>
          <w:tcPr>
            <w:tcW w:w="1134" w:type="dxa"/>
            <w:vAlign w:val="center"/>
          </w:tcPr>
          <w:p w14:paraId="52F2F405" w14:textId="77777777" w:rsidR="006D1C3F" w:rsidRDefault="006D1C3F">
            <w:pPr>
              <w:ind w:firstLine="400"/>
              <w:jc w:val="center"/>
              <w:rPr>
                <w:b w:val="0"/>
                <w:bCs w:val="0"/>
                <w:szCs w:val="20"/>
              </w:rPr>
            </w:pPr>
          </w:p>
        </w:tc>
      </w:tr>
      <w:tr w:rsidR="006D1C3F" w14:paraId="6096386F" w14:textId="77777777">
        <w:trPr>
          <w:trHeight w:val="471"/>
          <w:jc w:val="center"/>
        </w:trPr>
        <w:tc>
          <w:tcPr>
            <w:tcW w:w="1844" w:type="dxa"/>
            <w:vMerge/>
            <w:vAlign w:val="center"/>
          </w:tcPr>
          <w:p w14:paraId="0155A951" w14:textId="77777777" w:rsidR="006D1C3F" w:rsidRDefault="006D1C3F">
            <w:pPr>
              <w:jc w:val="center"/>
              <w:rPr>
                <w:szCs w:val="20"/>
                <w:lang w:bidi="ar"/>
              </w:rPr>
            </w:pPr>
          </w:p>
        </w:tc>
        <w:tc>
          <w:tcPr>
            <w:tcW w:w="1559" w:type="dxa"/>
            <w:tcMar>
              <w:left w:w="108" w:type="dxa"/>
              <w:right w:w="108" w:type="dxa"/>
            </w:tcMar>
            <w:vAlign w:val="center"/>
          </w:tcPr>
          <w:p w14:paraId="4E4D3216" w14:textId="77777777" w:rsidR="006D1C3F" w:rsidRDefault="00000000">
            <w:pPr>
              <w:ind w:firstLine="400"/>
              <w:rPr>
                <w:b w:val="0"/>
                <w:bCs w:val="0"/>
                <w:szCs w:val="20"/>
                <w:lang w:bidi="ar"/>
              </w:rPr>
            </w:pPr>
            <w:r>
              <w:rPr>
                <w:rFonts w:hint="eastAsia"/>
                <w:b w:val="0"/>
                <w:bCs w:val="0"/>
                <w:szCs w:val="20"/>
                <w:lang w:bidi="ar"/>
              </w:rPr>
              <w:t xml:space="preserve">5 </w:t>
            </w:r>
            <w:r>
              <w:rPr>
                <w:b w:val="0"/>
                <w:bCs w:val="0"/>
                <w:szCs w:val="20"/>
                <w:lang w:bidi="ar"/>
              </w:rPr>
              <w:t>months</w:t>
            </w:r>
          </w:p>
        </w:tc>
        <w:tc>
          <w:tcPr>
            <w:tcW w:w="1276" w:type="dxa"/>
            <w:tcMar>
              <w:left w:w="108" w:type="dxa"/>
              <w:right w:w="108" w:type="dxa"/>
            </w:tcMar>
            <w:vAlign w:val="center"/>
          </w:tcPr>
          <w:p w14:paraId="02874F89" w14:textId="77777777" w:rsidR="006D1C3F" w:rsidRDefault="00000000">
            <w:pPr>
              <w:ind w:firstLine="400"/>
              <w:rPr>
                <w:b w:val="0"/>
                <w:bCs w:val="0"/>
                <w:szCs w:val="20"/>
                <w:lang w:bidi="ar"/>
              </w:rPr>
            </w:pPr>
            <w:r>
              <w:rPr>
                <w:rFonts w:hint="eastAsia"/>
                <w:b w:val="0"/>
                <w:bCs w:val="0"/>
                <w:szCs w:val="20"/>
                <w:lang w:bidi="ar"/>
              </w:rPr>
              <w:t>-1.222</w:t>
            </w:r>
          </w:p>
        </w:tc>
        <w:tc>
          <w:tcPr>
            <w:tcW w:w="1134" w:type="dxa"/>
            <w:tcMar>
              <w:left w:w="108" w:type="dxa"/>
              <w:right w:w="108" w:type="dxa"/>
            </w:tcMar>
            <w:vAlign w:val="center"/>
          </w:tcPr>
          <w:p w14:paraId="1C02FC09" w14:textId="77777777" w:rsidR="006D1C3F" w:rsidRDefault="00000000">
            <w:pPr>
              <w:ind w:firstLineChars="100" w:firstLine="200"/>
              <w:jc w:val="left"/>
              <w:rPr>
                <w:b w:val="0"/>
                <w:bCs w:val="0"/>
                <w:szCs w:val="20"/>
                <w:lang w:bidi="ar"/>
              </w:rPr>
            </w:pPr>
            <w:r>
              <w:rPr>
                <w:rFonts w:hint="eastAsia"/>
                <w:b w:val="0"/>
                <w:bCs w:val="0"/>
                <w:szCs w:val="20"/>
                <w:lang w:bidi="ar"/>
              </w:rPr>
              <w:t>&lt;0.001</w:t>
            </w:r>
          </w:p>
        </w:tc>
        <w:tc>
          <w:tcPr>
            <w:tcW w:w="1134" w:type="dxa"/>
            <w:vAlign w:val="center"/>
          </w:tcPr>
          <w:p w14:paraId="398BA0C4" w14:textId="77777777" w:rsidR="006D1C3F" w:rsidRDefault="006D1C3F">
            <w:pPr>
              <w:ind w:firstLineChars="100" w:firstLine="200"/>
              <w:jc w:val="center"/>
              <w:rPr>
                <w:b w:val="0"/>
                <w:bCs w:val="0"/>
                <w:szCs w:val="20"/>
                <w:lang w:bidi="ar"/>
              </w:rPr>
            </w:pPr>
          </w:p>
        </w:tc>
        <w:tc>
          <w:tcPr>
            <w:tcW w:w="1134" w:type="dxa"/>
            <w:vAlign w:val="center"/>
          </w:tcPr>
          <w:p w14:paraId="3CA35239" w14:textId="77777777" w:rsidR="006D1C3F" w:rsidRDefault="006D1C3F">
            <w:pPr>
              <w:ind w:firstLine="400"/>
              <w:jc w:val="center"/>
              <w:rPr>
                <w:b w:val="0"/>
                <w:bCs w:val="0"/>
                <w:szCs w:val="20"/>
              </w:rPr>
            </w:pPr>
          </w:p>
        </w:tc>
      </w:tr>
      <w:tr w:rsidR="006D1C3F" w14:paraId="0B55341D" w14:textId="77777777">
        <w:trPr>
          <w:trHeight w:val="471"/>
          <w:jc w:val="center"/>
        </w:trPr>
        <w:tc>
          <w:tcPr>
            <w:tcW w:w="1844" w:type="dxa"/>
            <w:vMerge w:val="restart"/>
            <w:vAlign w:val="center"/>
          </w:tcPr>
          <w:p w14:paraId="7DFFF175" w14:textId="77777777" w:rsidR="006D1C3F" w:rsidRDefault="00000000">
            <w:pPr>
              <w:ind w:firstLineChars="0" w:firstLine="0"/>
              <w:jc w:val="center"/>
              <w:rPr>
                <w:szCs w:val="20"/>
                <w:lang w:bidi="ar"/>
              </w:rPr>
            </w:pPr>
            <w:r>
              <w:rPr>
                <w:szCs w:val="20"/>
                <w:lang w:bidi="ar"/>
              </w:rPr>
              <w:t>Disease control rate (DCR)</w:t>
            </w:r>
          </w:p>
        </w:tc>
        <w:tc>
          <w:tcPr>
            <w:tcW w:w="1559" w:type="dxa"/>
            <w:tcMar>
              <w:left w:w="108" w:type="dxa"/>
              <w:right w:w="108" w:type="dxa"/>
            </w:tcMar>
            <w:vAlign w:val="center"/>
          </w:tcPr>
          <w:p w14:paraId="5EDF0E5D" w14:textId="77777777" w:rsidR="006D1C3F" w:rsidRDefault="00000000">
            <w:pPr>
              <w:ind w:firstLine="400"/>
              <w:rPr>
                <w:b w:val="0"/>
                <w:bCs w:val="0"/>
                <w:szCs w:val="20"/>
                <w:lang w:bidi="ar"/>
              </w:rPr>
            </w:pPr>
            <w:r>
              <w:rPr>
                <w:b w:val="0"/>
                <w:bCs w:val="0"/>
                <w:szCs w:val="20"/>
                <w:lang w:bidi="ar"/>
              </w:rPr>
              <w:t>90%</w:t>
            </w:r>
          </w:p>
        </w:tc>
        <w:tc>
          <w:tcPr>
            <w:tcW w:w="1276" w:type="dxa"/>
            <w:tcMar>
              <w:left w:w="108" w:type="dxa"/>
              <w:right w:w="108" w:type="dxa"/>
            </w:tcMar>
            <w:vAlign w:val="center"/>
          </w:tcPr>
          <w:p w14:paraId="2E36DF2D" w14:textId="77777777" w:rsidR="006D1C3F" w:rsidRDefault="00000000">
            <w:pPr>
              <w:ind w:firstLine="400"/>
              <w:rPr>
                <w:b w:val="0"/>
                <w:bCs w:val="0"/>
                <w:szCs w:val="20"/>
                <w:lang w:bidi="ar"/>
              </w:rPr>
            </w:pPr>
            <w:r>
              <w:rPr>
                <w:rFonts w:hint="eastAsia"/>
                <w:b w:val="0"/>
                <w:bCs w:val="0"/>
                <w:szCs w:val="20"/>
                <w:lang w:bidi="ar"/>
              </w:rPr>
              <w:t>0.371</w:t>
            </w:r>
          </w:p>
        </w:tc>
        <w:tc>
          <w:tcPr>
            <w:tcW w:w="1134" w:type="dxa"/>
            <w:tcMar>
              <w:left w:w="108" w:type="dxa"/>
              <w:right w:w="108" w:type="dxa"/>
            </w:tcMar>
            <w:vAlign w:val="center"/>
          </w:tcPr>
          <w:p w14:paraId="0A1C8F94" w14:textId="77777777" w:rsidR="006D1C3F" w:rsidRDefault="00000000">
            <w:pPr>
              <w:ind w:firstLineChars="100" w:firstLine="200"/>
              <w:jc w:val="left"/>
              <w:rPr>
                <w:b w:val="0"/>
                <w:bCs w:val="0"/>
                <w:szCs w:val="20"/>
                <w:lang w:bidi="ar"/>
              </w:rPr>
            </w:pPr>
            <w:r>
              <w:rPr>
                <w:rFonts w:hint="eastAsia"/>
                <w:b w:val="0"/>
                <w:bCs w:val="0"/>
                <w:szCs w:val="20"/>
                <w:lang w:bidi="ar"/>
              </w:rPr>
              <w:t>&lt;0.001</w:t>
            </w:r>
          </w:p>
        </w:tc>
        <w:tc>
          <w:tcPr>
            <w:tcW w:w="1134" w:type="dxa"/>
            <w:vAlign w:val="center"/>
          </w:tcPr>
          <w:p w14:paraId="04BCC629" w14:textId="77777777" w:rsidR="006D1C3F" w:rsidRDefault="00000000">
            <w:pPr>
              <w:ind w:firstLineChars="0" w:firstLine="0"/>
              <w:jc w:val="center"/>
              <w:rPr>
                <w:b w:val="0"/>
                <w:bCs w:val="0"/>
                <w:szCs w:val="20"/>
                <w:lang w:bidi="ar"/>
              </w:rPr>
            </w:pPr>
            <w:r>
              <w:rPr>
                <w:b w:val="0"/>
                <w:bCs w:val="0"/>
                <w:szCs w:val="20"/>
                <w:lang w:bidi="ar"/>
              </w:rPr>
              <w:t>0.733</w:t>
            </w:r>
          </w:p>
        </w:tc>
        <w:tc>
          <w:tcPr>
            <w:tcW w:w="1134" w:type="dxa"/>
            <w:vAlign w:val="center"/>
          </w:tcPr>
          <w:p w14:paraId="590AB882" w14:textId="77777777" w:rsidR="006D1C3F" w:rsidRDefault="00000000">
            <w:pPr>
              <w:ind w:firstLineChars="100" w:firstLine="200"/>
              <w:rPr>
                <w:b w:val="0"/>
                <w:bCs w:val="0"/>
                <w:szCs w:val="20"/>
              </w:rPr>
            </w:pPr>
            <w:r>
              <w:rPr>
                <w:b w:val="0"/>
                <w:bCs w:val="0"/>
                <w:szCs w:val="20"/>
              </w:rPr>
              <w:t>0.114</w:t>
            </w:r>
          </w:p>
        </w:tc>
      </w:tr>
      <w:tr w:rsidR="006D1C3F" w14:paraId="62169DA5" w14:textId="77777777">
        <w:trPr>
          <w:trHeight w:val="471"/>
          <w:jc w:val="center"/>
        </w:trPr>
        <w:tc>
          <w:tcPr>
            <w:tcW w:w="1844" w:type="dxa"/>
            <w:vMerge/>
            <w:vAlign w:val="center"/>
          </w:tcPr>
          <w:p w14:paraId="5EBCEAB0" w14:textId="77777777" w:rsidR="006D1C3F" w:rsidRDefault="006D1C3F">
            <w:pPr>
              <w:jc w:val="center"/>
              <w:rPr>
                <w:szCs w:val="20"/>
                <w:lang w:bidi="ar"/>
              </w:rPr>
            </w:pPr>
          </w:p>
        </w:tc>
        <w:tc>
          <w:tcPr>
            <w:tcW w:w="1559" w:type="dxa"/>
            <w:tcMar>
              <w:left w:w="108" w:type="dxa"/>
              <w:right w:w="108" w:type="dxa"/>
            </w:tcMar>
            <w:vAlign w:val="center"/>
          </w:tcPr>
          <w:p w14:paraId="10845DF2" w14:textId="77777777" w:rsidR="006D1C3F" w:rsidRDefault="00000000">
            <w:pPr>
              <w:ind w:firstLine="400"/>
              <w:rPr>
                <w:b w:val="0"/>
                <w:bCs w:val="0"/>
                <w:szCs w:val="20"/>
                <w:lang w:bidi="ar"/>
              </w:rPr>
            </w:pPr>
            <w:r>
              <w:rPr>
                <w:b w:val="0"/>
                <w:bCs w:val="0"/>
                <w:szCs w:val="20"/>
                <w:lang w:bidi="ar"/>
              </w:rPr>
              <w:t>75%</w:t>
            </w:r>
          </w:p>
        </w:tc>
        <w:tc>
          <w:tcPr>
            <w:tcW w:w="1276" w:type="dxa"/>
            <w:tcMar>
              <w:left w:w="108" w:type="dxa"/>
              <w:right w:w="108" w:type="dxa"/>
            </w:tcMar>
            <w:vAlign w:val="center"/>
          </w:tcPr>
          <w:p w14:paraId="4114D7FE" w14:textId="77777777" w:rsidR="006D1C3F" w:rsidRDefault="00000000">
            <w:pPr>
              <w:ind w:firstLine="400"/>
              <w:rPr>
                <w:b w:val="0"/>
                <w:bCs w:val="0"/>
                <w:szCs w:val="20"/>
                <w:lang w:bidi="ar"/>
              </w:rPr>
            </w:pPr>
            <w:r>
              <w:rPr>
                <w:rFonts w:hint="eastAsia"/>
                <w:b w:val="0"/>
                <w:bCs w:val="0"/>
                <w:szCs w:val="20"/>
                <w:lang w:bidi="ar"/>
              </w:rPr>
              <w:t>-0.01</w:t>
            </w:r>
          </w:p>
        </w:tc>
        <w:tc>
          <w:tcPr>
            <w:tcW w:w="1134" w:type="dxa"/>
            <w:tcMar>
              <w:left w:w="108" w:type="dxa"/>
              <w:right w:w="108" w:type="dxa"/>
            </w:tcMar>
            <w:vAlign w:val="center"/>
          </w:tcPr>
          <w:p w14:paraId="57AF0543" w14:textId="77777777" w:rsidR="006D1C3F" w:rsidRDefault="00000000">
            <w:pPr>
              <w:ind w:firstLineChars="100" w:firstLine="200"/>
              <w:jc w:val="left"/>
              <w:rPr>
                <w:b w:val="0"/>
                <w:bCs w:val="0"/>
                <w:szCs w:val="20"/>
                <w:lang w:bidi="ar"/>
              </w:rPr>
            </w:pPr>
            <w:r>
              <w:rPr>
                <w:rFonts w:hint="eastAsia"/>
                <w:b w:val="0"/>
                <w:bCs w:val="0"/>
                <w:szCs w:val="20"/>
                <w:lang w:bidi="ar"/>
              </w:rPr>
              <w:t>0.829</w:t>
            </w:r>
          </w:p>
        </w:tc>
        <w:tc>
          <w:tcPr>
            <w:tcW w:w="1134" w:type="dxa"/>
            <w:vAlign w:val="center"/>
          </w:tcPr>
          <w:p w14:paraId="7069BAF2" w14:textId="77777777" w:rsidR="006D1C3F" w:rsidRDefault="006D1C3F">
            <w:pPr>
              <w:ind w:firstLineChars="0" w:firstLine="0"/>
              <w:jc w:val="center"/>
              <w:rPr>
                <w:b w:val="0"/>
                <w:bCs w:val="0"/>
                <w:szCs w:val="20"/>
                <w:lang w:bidi="ar"/>
              </w:rPr>
            </w:pPr>
          </w:p>
        </w:tc>
        <w:tc>
          <w:tcPr>
            <w:tcW w:w="1134" w:type="dxa"/>
            <w:vAlign w:val="center"/>
          </w:tcPr>
          <w:p w14:paraId="2335CD6D" w14:textId="77777777" w:rsidR="006D1C3F" w:rsidRDefault="006D1C3F">
            <w:pPr>
              <w:ind w:firstLineChars="100" w:firstLine="200"/>
              <w:rPr>
                <w:b w:val="0"/>
                <w:bCs w:val="0"/>
                <w:szCs w:val="20"/>
              </w:rPr>
            </w:pPr>
          </w:p>
        </w:tc>
      </w:tr>
      <w:tr w:rsidR="006D1C3F" w14:paraId="52F549AB" w14:textId="77777777">
        <w:trPr>
          <w:trHeight w:val="471"/>
          <w:jc w:val="center"/>
        </w:trPr>
        <w:tc>
          <w:tcPr>
            <w:tcW w:w="1844" w:type="dxa"/>
            <w:vMerge/>
            <w:vAlign w:val="center"/>
          </w:tcPr>
          <w:p w14:paraId="18AAB4FC" w14:textId="77777777" w:rsidR="006D1C3F" w:rsidRDefault="006D1C3F">
            <w:pPr>
              <w:jc w:val="center"/>
              <w:rPr>
                <w:szCs w:val="20"/>
                <w:lang w:bidi="ar"/>
              </w:rPr>
            </w:pPr>
          </w:p>
        </w:tc>
        <w:tc>
          <w:tcPr>
            <w:tcW w:w="1559" w:type="dxa"/>
            <w:tcMar>
              <w:left w:w="108" w:type="dxa"/>
              <w:right w:w="108" w:type="dxa"/>
            </w:tcMar>
            <w:vAlign w:val="center"/>
          </w:tcPr>
          <w:p w14:paraId="67EDEC8E" w14:textId="77777777" w:rsidR="006D1C3F" w:rsidRDefault="00000000">
            <w:pPr>
              <w:ind w:firstLine="400"/>
              <w:rPr>
                <w:b w:val="0"/>
                <w:bCs w:val="0"/>
                <w:szCs w:val="20"/>
                <w:lang w:bidi="ar"/>
              </w:rPr>
            </w:pPr>
            <w:r>
              <w:rPr>
                <w:rFonts w:hint="eastAsia"/>
                <w:b w:val="0"/>
                <w:bCs w:val="0"/>
                <w:szCs w:val="20"/>
                <w:lang w:bidi="ar"/>
              </w:rPr>
              <w:t>60%</w:t>
            </w:r>
          </w:p>
        </w:tc>
        <w:tc>
          <w:tcPr>
            <w:tcW w:w="1276" w:type="dxa"/>
            <w:tcMar>
              <w:left w:w="108" w:type="dxa"/>
              <w:right w:w="108" w:type="dxa"/>
            </w:tcMar>
            <w:vAlign w:val="center"/>
          </w:tcPr>
          <w:p w14:paraId="2D98E897" w14:textId="77777777" w:rsidR="006D1C3F" w:rsidRDefault="00000000">
            <w:pPr>
              <w:ind w:firstLine="400"/>
              <w:rPr>
                <w:b w:val="0"/>
                <w:bCs w:val="0"/>
                <w:szCs w:val="20"/>
                <w:lang w:bidi="ar"/>
              </w:rPr>
            </w:pPr>
            <w:r>
              <w:rPr>
                <w:rFonts w:hint="eastAsia"/>
                <w:b w:val="0"/>
                <w:bCs w:val="0"/>
                <w:szCs w:val="20"/>
                <w:lang w:bidi="ar"/>
              </w:rPr>
              <w:t>-0.362</w:t>
            </w:r>
          </w:p>
        </w:tc>
        <w:tc>
          <w:tcPr>
            <w:tcW w:w="1134" w:type="dxa"/>
            <w:tcMar>
              <w:left w:w="108" w:type="dxa"/>
              <w:right w:w="108" w:type="dxa"/>
            </w:tcMar>
            <w:vAlign w:val="center"/>
          </w:tcPr>
          <w:p w14:paraId="5E1FBD00" w14:textId="77777777" w:rsidR="006D1C3F" w:rsidRDefault="00000000">
            <w:pPr>
              <w:ind w:firstLineChars="100" w:firstLine="200"/>
              <w:jc w:val="left"/>
              <w:rPr>
                <w:b w:val="0"/>
                <w:bCs w:val="0"/>
                <w:szCs w:val="20"/>
                <w:lang w:bidi="ar"/>
              </w:rPr>
            </w:pPr>
            <w:r>
              <w:rPr>
                <w:rFonts w:hint="eastAsia"/>
                <w:b w:val="0"/>
                <w:bCs w:val="0"/>
                <w:szCs w:val="20"/>
                <w:lang w:bidi="ar"/>
              </w:rPr>
              <w:t>&lt;0.001</w:t>
            </w:r>
          </w:p>
        </w:tc>
        <w:tc>
          <w:tcPr>
            <w:tcW w:w="1134" w:type="dxa"/>
            <w:vAlign w:val="center"/>
          </w:tcPr>
          <w:p w14:paraId="02A2822B" w14:textId="77777777" w:rsidR="006D1C3F" w:rsidRDefault="006D1C3F">
            <w:pPr>
              <w:ind w:firstLineChars="0" w:firstLine="0"/>
              <w:jc w:val="center"/>
              <w:rPr>
                <w:b w:val="0"/>
                <w:bCs w:val="0"/>
                <w:szCs w:val="20"/>
                <w:lang w:bidi="ar"/>
              </w:rPr>
            </w:pPr>
          </w:p>
        </w:tc>
        <w:tc>
          <w:tcPr>
            <w:tcW w:w="1134" w:type="dxa"/>
            <w:vAlign w:val="center"/>
          </w:tcPr>
          <w:p w14:paraId="2F6864F1" w14:textId="77777777" w:rsidR="006D1C3F" w:rsidRDefault="006D1C3F">
            <w:pPr>
              <w:ind w:firstLineChars="100" w:firstLine="200"/>
              <w:rPr>
                <w:b w:val="0"/>
                <w:bCs w:val="0"/>
                <w:szCs w:val="20"/>
              </w:rPr>
            </w:pPr>
          </w:p>
        </w:tc>
      </w:tr>
      <w:tr w:rsidR="006D1C3F" w14:paraId="6BCD1ECB" w14:textId="77777777">
        <w:trPr>
          <w:trHeight w:val="471"/>
          <w:jc w:val="center"/>
        </w:trPr>
        <w:tc>
          <w:tcPr>
            <w:tcW w:w="1844" w:type="dxa"/>
            <w:vMerge w:val="restart"/>
            <w:vAlign w:val="center"/>
          </w:tcPr>
          <w:p w14:paraId="271806FB" w14:textId="77777777" w:rsidR="006D1C3F" w:rsidRDefault="00000000">
            <w:pPr>
              <w:ind w:firstLineChars="0" w:firstLine="0"/>
              <w:jc w:val="center"/>
              <w:rPr>
                <w:szCs w:val="20"/>
                <w:lang w:bidi="ar"/>
              </w:rPr>
            </w:pPr>
            <w:r>
              <w:rPr>
                <w:szCs w:val="20"/>
                <w:lang w:bidi="ar"/>
              </w:rPr>
              <w:t>Risk of mild adverse events</w:t>
            </w:r>
          </w:p>
        </w:tc>
        <w:tc>
          <w:tcPr>
            <w:tcW w:w="1559" w:type="dxa"/>
            <w:tcMar>
              <w:left w:w="108" w:type="dxa"/>
              <w:right w:w="108" w:type="dxa"/>
            </w:tcMar>
            <w:vAlign w:val="center"/>
          </w:tcPr>
          <w:p w14:paraId="5FD08733" w14:textId="77777777" w:rsidR="006D1C3F" w:rsidRDefault="00000000">
            <w:pPr>
              <w:ind w:firstLine="400"/>
              <w:rPr>
                <w:b w:val="0"/>
                <w:bCs w:val="0"/>
                <w:szCs w:val="20"/>
                <w:lang w:bidi="ar"/>
              </w:rPr>
            </w:pPr>
            <w:r>
              <w:rPr>
                <w:b w:val="0"/>
                <w:bCs w:val="0"/>
                <w:szCs w:val="20"/>
                <w:lang w:bidi="ar"/>
              </w:rPr>
              <w:t>5</w:t>
            </w:r>
            <w:r>
              <w:rPr>
                <w:rFonts w:hint="eastAsia"/>
                <w:b w:val="0"/>
                <w:bCs w:val="0"/>
                <w:szCs w:val="20"/>
                <w:lang w:bidi="ar"/>
              </w:rPr>
              <w:t>0</w:t>
            </w:r>
            <w:r>
              <w:rPr>
                <w:b w:val="0"/>
                <w:bCs w:val="0"/>
                <w:szCs w:val="20"/>
                <w:lang w:bidi="ar"/>
              </w:rPr>
              <w:t>%</w:t>
            </w:r>
          </w:p>
        </w:tc>
        <w:tc>
          <w:tcPr>
            <w:tcW w:w="1276" w:type="dxa"/>
            <w:tcMar>
              <w:left w:w="108" w:type="dxa"/>
              <w:right w:w="108" w:type="dxa"/>
            </w:tcMar>
            <w:vAlign w:val="center"/>
          </w:tcPr>
          <w:p w14:paraId="5DDF9C52" w14:textId="77777777" w:rsidR="006D1C3F" w:rsidRDefault="00000000">
            <w:pPr>
              <w:ind w:firstLine="400"/>
              <w:rPr>
                <w:b w:val="0"/>
                <w:bCs w:val="0"/>
                <w:szCs w:val="20"/>
                <w:lang w:bidi="ar"/>
              </w:rPr>
            </w:pPr>
            <w:r>
              <w:rPr>
                <w:rFonts w:hint="eastAsia"/>
                <w:b w:val="0"/>
                <w:bCs w:val="0"/>
                <w:szCs w:val="20"/>
                <w:lang w:bidi="ar"/>
              </w:rPr>
              <w:t>-0.336</w:t>
            </w:r>
          </w:p>
        </w:tc>
        <w:tc>
          <w:tcPr>
            <w:tcW w:w="1134" w:type="dxa"/>
            <w:tcMar>
              <w:left w:w="108" w:type="dxa"/>
              <w:right w:w="108" w:type="dxa"/>
            </w:tcMar>
            <w:vAlign w:val="center"/>
          </w:tcPr>
          <w:p w14:paraId="667CEC19" w14:textId="77777777" w:rsidR="006D1C3F" w:rsidRDefault="00000000">
            <w:pPr>
              <w:ind w:firstLineChars="100" w:firstLine="200"/>
              <w:jc w:val="left"/>
              <w:rPr>
                <w:b w:val="0"/>
                <w:bCs w:val="0"/>
                <w:szCs w:val="20"/>
                <w:lang w:bidi="ar"/>
              </w:rPr>
            </w:pPr>
            <w:r>
              <w:rPr>
                <w:rFonts w:hint="eastAsia"/>
                <w:b w:val="0"/>
                <w:bCs w:val="0"/>
                <w:szCs w:val="20"/>
                <w:lang w:bidi="ar"/>
              </w:rPr>
              <w:t>&lt;0.001</w:t>
            </w:r>
          </w:p>
        </w:tc>
        <w:tc>
          <w:tcPr>
            <w:tcW w:w="1134" w:type="dxa"/>
            <w:vAlign w:val="center"/>
          </w:tcPr>
          <w:p w14:paraId="617A7404" w14:textId="77777777" w:rsidR="006D1C3F" w:rsidRDefault="00000000">
            <w:pPr>
              <w:ind w:firstLineChars="0" w:firstLine="0"/>
              <w:jc w:val="center"/>
              <w:rPr>
                <w:b w:val="0"/>
                <w:bCs w:val="0"/>
                <w:szCs w:val="20"/>
                <w:lang w:bidi="ar"/>
              </w:rPr>
            </w:pPr>
            <w:r>
              <w:rPr>
                <w:b w:val="0"/>
                <w:bCs w:val="0"/>
                <w:szCs w:val="20"/>
                <w:lang w:bidi="ar"/>
              </w:rPr>
              <w:t>0.772</w:t>
            </w:r>
          </w:p>
        </w:tc>
        <w:tc>
          <w:tcPr>
            <w:tcW w:w="1134" w:type="dxa"/>
            <w:vAlign w:val="center"/>
          </w:tcPr>
          <w:p w14:paraId="31C19DBD" w14:textId="77777777" w:rsidR="006D1C3F" w:rsidRDefault="00000000">
            <w:pPr>
              <w:ind w:firstLineChars="100" w:firstLine="200"/>
              <w:rPr>
                <w:b w:val="0"/>
                <w:bCs w:val="0"/>
                <w:szCs w:val="20"/>
              </w:rPr>
            </w:pPr>
            <w:r>
              <w:rPr>
                <w:b w:val="0"/>
                <w:bCs w:val="0"/>
                <w:szCs w:val="20"/>
              </w:rPr>
              <w:t>0.120</w:t>
            </w:r>
          </w:p>
        </w:tc>
      </w:tr>
      <w:tr w:rsidR="006D1C3F" w14:paraId="24671201" w14:textId="77777777">
        <w:trPr>
          <w:trHeight w:val="471"/>
          <w:jc w:val="center"/>
        </w:trPr>
        <w:tc>
          <w:tcPr>
            <w:tcW w:w="1844" w:type="dxa"/>
            <w:vMerge/>
            <w:vAlign w:val="center"/>
          </w:tcPr>
          <w:p w14:paraId="3723485C" w14:textId="77777777" w:rsidR="006D1C3F" w:rsidRDefault="006D1C3F">
            <w:pPr>
              <w:jc w:val="center"/>
              <w:rPr>
                <w:szCs w:val="20"/>
                <w:lang w:bidi="ar"/>
              </w:rPr>
            </w:pPr>
          </w:p>
        </w:tc>
        <w:tc>
          <w:tcPr>
            <w:tcW w:w="1559" w:type="dxa"/>
            <w:tcMar>
              <w:left w:w="108" w:type="dxa"/>
              <w:right w:w="108" w:type="dxa"/>
            </w:tcMar>
            <w:vAlign w:val="center"/>
          </w:tcPr>
          <w:p w14:paraId="5F9BB994" w14:textId="77777777" w:rsidR="006D1C3F" w:rsidRDefault="00000000">
            <w:pPr>
              <w:ind w:firstLine="400"/>
              <w:rPr>
                <w:b w:val="0"/>
                <w:bCs w:val="0"/>
                <w:szCs w:val="20"/>
                <w:lang w:bidi="ar"/>
              </w:rPr>
            </w:pPr>
            <w:r>
              <w:rPr>
                <w:rFonts w:hint="eastAsia"/>
                <w:b w:val="0"/>
                <w:bCs w:val="0"/>
                <w:szCs w:val="20"/>
                <w:lang w:bidi="ar"/>
              </w:rPr>
              <w:t>25</w:t>
            </w:r>
            <w:r>
              <w:rPr>
                <w:b w:val="0"/>
                <w:bCs w:val="0"/>
                <w:szCs w:val="20"/>
                <w:lang w:bidi="ar"/>
              </w:rPr>
              <w:t>%</w:t>
            </w:r>
          </w:p>
        </w:tc>
        <w:tc>
          <w:tcPr>
            <w:tcW w:w="1276" w:type="dxa"/>
            <w:tcMar>
              <w:left w:w="108" w:type="dxa"/>
              <w:right w:w="108" w:type="dxa"/>
            </w:tcMar>
            <w:vAlign w:val="center"/>
          </w:tcPr>
          <w:p w14:paraId="742B3988" w14:textId="77777777" w:rsidR="006D1C3F" w:rsidRDefault="00000000">
            <w:pPr>
              <w:ind w:firstLine="400"/>
              <w:rPr>
                <w:b w:val="0"/>
                <w:bCs w:val="0"/>
                <w:szCs w:val="20"/>
                <w:lang w:bidi="ar"/>
              </w:rPr>
            </w:pPr>
            <w:r>
              <w:rPr>
                <w:rFonts w:hint="eastAsia"/>
                <w:b w:val="0"/>
                <w:bCs w:val="0"/>
                <w:szCs w:val="20"/>
                <w:lang w:bidi="ar"/>
              </w:rPr>
              <w:t>-0.1</w:t>
            </w:r>
          </w:p>
        </w:tc>
        <w:tc>
          <w:tcPr>
            <w:tcW w:w="1134" w:type="dxa"/>
            <w:tcMar>
              <w:left w:w="108" w:type="dxa"/>
              <w:right w:w="108" w:type="dxa"/>
            </w:tcMar>
            <w:vAlign w:val="center"/>
          </w:tcPr>
          <w:p w14:paraId="394AFD49" w14:textId="77777777" w:rsidR="006D1C3F" w:rsidRDefault="00000000">
            <w:pPr>
              <w:ind w:firstLineChars="100" w:firstLine="200"/>
              <w:jc w:val="left"/>
              <w:rPr>
                <w:b w:val="0"/>
                <w:bCs w:val="0"/>
                <w:szCs w:val="20"/>
                <w:lang w:bidi="ar"/>
              </w:rPr>
            </w:pPr>
            <w:r>
              <w:rPr>
                <w:rFonts w:hint="eastAsia"/>
                <w:b w:val="0"/>
                <w:bCs w:val="0"/>
                <w:szCs w:val="20"/>
                <w:lang w:bidi="ar"/>
              </w:rPr>
              <w:t>0.463</w:t>
            </w:r>
          </w:p>
        </w:tc>
        <w:tc>
          <w:tcPr>
            <w:tcW w:w="1134" w:type="dxa"/>
            <w:vAlign w:val="center"/>
          </w:tcPr>
          <w:p w14:paraId="0CE39C22" w14:textId="77777777" w:rsidR="006D1C3F" w:rsidRDefault="006D1C3F">
            <w:pPr>
              <w:ind w:firstLineChars="0" w:firstLine="0"/>
              <w:jc w:val="center"/>
              <w:rPr>
                <w:b w:val="0"/>
                <w:bCs w:val="0"/>
                <w:szCs w:val="20"/>
                <w:lang w:bidi="ar"/>
              </w:rPr>
            </w:pPr>
          </w:p>
        </w:tc>
        <w:tc>
          <w:tcPr>
            <w:tcW w:w="1134" w:type="dxa"/>
            <w:vAlign w:val="center"/>
          </w:tcPr>
          <w:p w14:paraId="12E98A30" w14:textId="77777777" w:rsidR="006D1C3F" w:rsidRDefault="006D1C3F">
            <w:pPr>
              <w:ind w:firstLineChars="100" w:firstLine="200"/>
              <w:rPr>
                <w:b w:val="0"/>
                <w:bCs w:val="0"/>
                <w:szCs w:val="20"/>
              </w:rPr>
            </w:pPr>
          </w:p>
        </w:tc>
      </w:tr>
      <w:tr w:rsidR="006D1C3F" w14:paraId="7595ED38" w14:textId="77777777">
        <w:trPr>
          <w:trHeight w:val="471"/>
          <w:jc w:val="center"/>
        </w:trPr>
        <w:tc>
          <w:tcPr>
            <w:tcW w:w="1844" w:type="dxa"/>
            <w:vMerge/>
            <w:vAlign w:val="center"/>
          </w:tcPr>
          <w:p w14:paraId="212A7D8B" w14:textId="77777777" w:rsidR="006D1C3F" w:rsidRDefault="006D1C3F">
            <w:pPr>
              <w:jc w:val="center"/>
              <w:rPr>
                <w:szCs w:val="20"/>
                <w:lang w:bidi="ar"/>
              </w:rPr>
            </w:pPr>
          </w:p>
        </w:tc>
        <w:tc>
          <w:tcPr>
            <w:tcW w:w="1559" w:type="dxa"/>
            <w:tcMar>
              <w:left w:w="108" w:type="dxa"/>
              <w:right w:w="108" w:type="dxa"/>
            </w:tcMar>
            <w:vAlign w:val="center"/>
          </w:tcPr>
          <w:p w14:paraId="761EF46A" w14:textId="77777777" w:rsidR="006D1C3F" w:rsidRDefault="00000000">
            <w:pPr>
              <w:ind w:firstLine="400"/>
              <w:rPr>
                <w:b w:val="0"/>
                <w:bCs w:val="0"/>
                <w:szCs w:val="20"/>
                <w:lang w:bidi="ar"/>
              </w:rPr>
            </w:pPr>
            <w:r>
              <w:rPr>
                <w:rFonts w:hint="eastAsia"/>
                <w:b w:val="0"/>
                <w:bCs w:val="0"/>
                <w:szCs w:val="20"/>
                <w:lang w:bidi="ar"/>
              </w:rPr>
              <w:t>10%</w:t>
            </w:r>
          </w:p>
        </w:tc>
        <w:tc>
          <w:tcPr>
            <w:tcW w:w="1276" w:type="dxa"/>
            <w:tcMar>
              <w:left w:w="108" w:type="dxa"/>
              <w:right w:w="108" w:type="dxa"/>
            </w:tcMar>
            <w:vAlign w:val="center"/>
          </w:tcPr>
          <w:p w14:paraId="1C938C2F" w14:textId="77777777" w:rsidR="006D1C3F" w:rsidRDefault="00000000">
            <w:pPr>
              <w:ind w:firstLine="400"/>
              <w:rPr>
                <w:b w:val="0"/>
                <w:bCs w:val="0"/>
                <w:szCs w:val="20"/>
                <w:lang w:bidi="ar"/>
              </w:rPr>
            </w:pPr>
            <w:r>
              <w:rPr>
                <w:rFonts w:hint="eastAsia"/>
                <w:b w:val="0"/>
                <w:bCs w:val="0"/>
                <w:szCs w:val="20"/>
                <w:lang w:bidi="ar"/>
              </w:rPr>
              <w:t>0.436</w:t>
            </w:r>
          </w:p>
        </w:tc>
        <w:tc>
          <w:tcPr>
            <w:tcW w:w="1134" w:type="dxa"/>
            <w:tcMar>
              <w:left w:w="108" w:type="dxa"/>
              <w:right w:w="108" w:type="dxa"/>
            </w:tcMar>
            <w:vAlign w:val="center"/>
          </w:tcPr>
          <w:p w14:paraId="63759C59" w14:textId="77777777" w:rsidR="006D1C3F" w:rsidRDefault="00000000">
            <w:pPr>
              <w:ind w:firstLineChars="100" w:firstLine="200"/>
              <w:jc w:val="left"/>
              <w:rPr>
                <w:b w:val="0"/>
                <w:bCs w:val="0"/>
                <w:szCs w:val="20"/>
                <w:lang w:bidi="ar"/>
              </w:rPr>
            </w:pPr>
            <w:r>
              <w:rPr>
                <w:rFonts w:hint="eastAsia"/>
                <w:b w:val="0"/>
                <w:bCs w:val="0"/>
                <w:szCs w:val="20"/>
                <w:lang w:bidi="ar"/>
              </w:rPr>
              <w:t>&lt;0.001</w:t>
            </w:r>
          </w:p>
        </w:tc>
        <w:tc>
          <w:tcPr>
            <w:tcW w:w="1134" w:type="dxa"/>
            <w:vAlign w:val="center"/>
          </w:tcPr>
          <w:p w14:paraId="31FBE1CB" w14:textId="77777777" w:rsidR="006D1C3F" w:rsidRDefault="006D1C3F">
            <w:pPr>
              <w:ind w:firstLineChars="0" w:firstLine="0"/>
              <w:jc w:val="center"/>
              <w:rPr>
                <w:b w:val="0"/>
                <w:bCs w:val="0"/>
                <w:szCs w:val="20"/>
                <w:lang w:bidi="ar"/>
              </w:rPr>
            </w:pPr>
          </w:p>
        </w:tc>
        <w:tc>
          <w:tcPr>
            <w:tcW w:w="1134" w:type="dxa"/>
            <w:vAlign w:val="center"/>
          </w:tcPr>
          <w:p w14:paraId="2711EBF5" w14:textId="77777777" w:rsidR="006D1C3F" w:rsidRDefault="006D1C3F">
            <w:pPr>
              <w:ind w:firstLineChars="100" w:firstLine="200"/>
              <w:rPr>
                <w:b w:val="0"/>
                <w:bCs w:val="0"/>
                <w:szCs w:val="20"/>
              </w:rPr>
            </w:pPr>
          </w:p>
        </w:tc>
      </w:tr>
      <w:tr w:rsidR="006D1C3F" w14:paraId="541AC121" w14:textId="77777777">
        <w:trPr>
          <w:trHeight w:val="471"/>
          <w:jc w:val="center"/>
        </w:trPr>
        <w:tc>
          <w:tcPr>
            <w:tcW w:w="1844" w:type="dxa"/>
            <w:vMerge w:val="restart"/>
            <w:vAlign w:val="center"/>
          </w:tcPr>
          <w:p w14:paraId="13BA67AC" w14:textId="77777777" w:rsidR="006D1C3F" w:rsidRDefault="00000000">
            <w:pPr>
              <w:ind w:firstLineChars="0" w:firstLine="0"/>
              <w:jc w:val="center"/>
              <w:rPr>
                <w:szCs w:val="20"/>
                <w:lang w:bidi="ar"/>
              </w:rPr>
            </w:pPr>
            <w:r>
              <w:rPr>
                <w:szCs w:val="20"/>
                <w:lang w:bidi="ar"/>
              </w:rPr>
              <w:t>Risk of severe adverse events</w:t>
            </w:r>
          </w:p>
        </w:tc>
        <w:tc>
          <w:tcPr>
            <w:tcW w:w="1559" w:type="dxa"/>
            <w:tcMar>
              <w:left w:w="108" w:type="dxa"/>
              <w:right w:w="108" w:type="dxa"/>
            </w:tcMar>
            <w:vAlign w:val="center"/>
          </w:tcPr>
          <w:p w14:paraId="7127DB5E" w14:textId="77777777" w:rsidR="006D1C3F" w:rsidRDefault="00000000">
            <w:pPr>
              <w:ind w:firstLine="400"/>
              <w:rPr>
                <w:b w:val="0"/>
                <w:bCs w:val="0"/>
                <w:szCs w:val="20"/>
                <w:lang w:bidi="ar"/>
              </w:rPr>
            </w:pPr>
            <w:r>
              <w:rPr>
                <w:rFonts w:hint="eastAsia"/>
                <w:b w:val="0"/>
                <w:bCs w:val="0"/>
                <w:szCs w:val="20"/>
                <w:lang w:bidi="ar"/>
              </w:rPr>
              <w:t>8</w:t>
            </w:r>
            <w:r>
              <w:rPr>
                <w:b w:val="0"/>
                <w:bCs w:val="0"/>
                <w:szCs w:val="20"/>
                <w:lang w:bidi="ar"/>
              </w:rPr>
              <w:t>%</w:t>
            </w:r>
          </w:p>
        </w:tc>
        <w:tc>
          <w:tcPr>
            <w:tcW w:w="1276" w:type="dxa"/>
            <w:tcMar>
              <w:left w:w="108" w:type="dxa"/>
              <w:right w:w="108" w:type="dxa"/>
            </w:tcMar>
            <w:vAlign w:val="center"/>
          </w:tcPr>
          <w:p w14:paraId="21179398" w14:textId="77777777" w:rsidR="006D1C3F" w:rsidRDefault="00000000">
            <w:pPr>
              <w:ind w:firstLine="400"/>
              <w:rPr>
                <w:b w:val="0"/>
                <w:bCs w:val="0"/>
                <w:szCs w:val="20"/>
                <w:lang w:bidi="ar"/>
              </w:rPr>
            </w:pPr>
            <w:r>
              <w:rPr>
                <w:rFonts w:hint="eastAsia"/>
                <w:b w:val="0"/>
                <w:bCs w:val="0"/>
                <w:szCs w:val="20"/>
                <w:lang w:bidi="ar"/>
              </w:rPr>
              <w:t>-0.131</w:t>
            </w:r>
          </w:p>
        </w:tc>
        <w:tc>
          <w:tcPr>
            <w:tcW w:w="1134" w:type="dxa"/>
            <w:tcMar>
              <w:left w:w="108" w:type="dxa"/>
              <w:right w:w="108" w:type="dxa"/>
            </w:tcMar>
            <w:vAlign w:val="center"/>
          </w:tcPr>
          <w:p w14:paraId="2085FE2B" w14:textId="77777777" w:rsidR="006D1C3F" w:rsidRDefault="00000000">
            <w:pPr>
              <w:ind w:firstLineChars="100" w:firstLine="200"/>
              <w:jc w:val="left"/>
              <w:rPr>
                <w:b w:val="0"/>
                <w:bCs w:val="0"/>
                <w:szCs w:val="20"/>
                <w:lang w:bidi="ar"/>
              </w:rPr>
            </w:pPr>
            <w:r>
              <w:rPr>
                <w:rFonts w:hint="eastAsia"/>
                <w:b w:val="0"/>
                <w:bCs w:val="0"/>
                <w:szCs w:val="20"/>
                <w:lang w:bidi="ar"/>
              </w:rPr>
              <w:t>0.141</w:t>
            </w:r>
          </w:p>
        </w:tc>
        <w:tc>
          <w:tcPr>
            <w:tcW w:w="1134" w:type="dxa"/>
            <w:vAlign w:val="center"/>
          </w:tcPr>
          <w:p w14:paraId="4F748A31" w14:textId="77777777" w:rsidR="006D1C3F" w:rsidRDefault="00000000">
            <w:pPr>
              <w:ind w:firstLineChars="0" w:firstLine="0"/>
              <w:jc w:val="center"/>
              <w:rPr>
                <w:b w:val="0"/>
                <w:bCs w:val="0"/>
                <w:szCs w:val="20"/>
                <w:lang w:bidi="ar"/>
              </w:rPr>
            </w:pPr>
            <w:r>
              <w:rPr>
                <w:b w:val="0"/>
                <w:bCs w:val="0"/>
                <w:szCs w:val="20"/>
                <w:lang w:bidi="ar"/>
              </w:rPr>
              <w:t>0.639</w:t>
            </w:r>
          </w:p>
        </w:tc>
        <w:tc>
          <w:tcPr>
            <w:tcW w:w="1134" w:type="dxa"/>
            <w:vAlign w:val="center"/>
          </w:tcPr>
          <w:p w14:paraId="44E65A15" w14:textId="77777777" w:rsidR="006D1C3F" w:rsidRDefault="00000000">
            <w:pPr>
              <w:ind w:firstLineChars="100" w:firstLine="200"/>
              <w:rPr>
                <w:b w:val="0"/>
                <w:bCs w:val="0"/>
                <w:szCs w:val="20"/>
              </w:rPr>
            </w:pPr>
            <w:r>
              <w:rPr>
                <w:b w:val="0"/>
                <w:bCs w:val="0"/>
                <w:szCs w:val="20"/>
              </w:rPr>
              <w:t>0.099</w:t>
            </w:r>
          </w:p>
        </w:tc>
      </w:tr>
      <w:tr w:rsidR="006D1C3F" w14:paraId="38B0F12E" w14:textId="77777777">
        <w:trPr>
          <w:trHeight w:val="471"/>
          <w:jc w:val="center"/>
        </w:trPr>
        <w:tc>
          <w:tcPr>
            <w:tcW w:w="1844" w:type="dxa"/>
            <w:vMerge/>
            <w:vAlign w:val="center"/>
          </w:tcPr>
          <w:p w14:paraId="216FDF3D" w14:textId="77777777" w:rsidR="006D1C3F" w:rsidRDefault="006D1C3F">
            <w:pPr>
              <w:jc w:val="center"/>
              <w:rPr>
                <w:szCs w:val="20"/>
                <w:lang w:bidi="ar"/>
              </w:rPr>
            </w:pPr>
          </w:p>
        </w:tc>
        <w:tc>
          <w:tcPr>
            <w:tcW w:w="1559" w:type="dxa"/>
            <w:tcMar>
              <w:left w:w="108" w:type="dxa"/>
              <w:right w:w="108" w:type="dxa"/>
            </w:tcMar>
            <w:vAlign w:val="center"/>
          </w:tcPr>
          <w:p w14:paraId="5BD3EF3D" w14:textId="77777777" w:rsidR="006D1C3F" w:rsidRDefault="00000000">
            <w:pPr>
              <w:ind w:firstLine="400"/>
              <w:rPr>
                <w:b w:val="0"/>
                <w:bCs w:val="0"/>
                <w:szCs w:val="20"/>
                <w:lang w:bidi="ar"/>
              </w:rPr>
            </w:pPr>
            <w:r>
              <w:rPr>
                <w:rFonts w:hint="eastAsia"/>
                <w:b w:val="0"/>
                <w:bCs w:val="0"/>
                <w:szCs w:val="20"/>
                <w:lang w:bidi="ar"/>
              </w:rPr>
              <w:t>5</w:t>
            </w:r>
            <w:r>
              <w:rPr>
                <w:b w:val="0"/>
                <w:bCs w:val="0"/>
                <w:szCs w:val="20"/>
                <w:lang w:bidi="ar"/>
              </w:rPr>
              <w:t>%</w:t>
            </w:r>
          </w:p>
        </w:tc>
        <w:tc>
          <w:tcPr>
            <w:tcW w:w="1276" w:type="dxa"/>
            <w:tcMar>
              <w:left w:w="108" w:type="dxa"/>
              <w:right w:w="108" w:type="dxa"/>
            </w:tcMar>
            <w:vAlign w:val="center"/>
          </w:tcPr>
          <w:p w14:paraId="6C8DED52" w14:textId="77777777" w:rsidR="006D1C3F" w:rsidRDefault="00000000">
            <w:pPr>
              <w:ind w:firstLine="400"/>
              <w:rPr>
                <w:b w:val="0"/>
                <w:bCs w:val="0"/>
                <w:szCs w:val="20"/>
                <w:lang w:bidi="ar"/>
              </w:rPr>
            </w:pPr>
            <w:r>
              <w:rPr>
                <w:rFonts w:hint="eastAsia"/>
                <w:b w:val="0"/>
                <w:bCs w:val="0"/>
                <w:szCs w:val="20"/>
                <w:lang w:bidi="ar"/>
              </w:rPr>
              <w:t>-0.378</w:t>
            </w:r>
          </w:p>
        </w:tc>
        <w:tc>
          <w:tcPr>
            <w:tcW w:w="1134" w:type="dxa"/>
            <w:tcMar>
              <w:left w:w="108" w:type="dxa"/>
              <w:right w:w="108" w:type="dxa"/>
            </w:tcMar>
            <w:vAlign w:val="center"/>
          </w:tcPr>
          <w:p w14:paraId="1BD64DCA" w14:textId="77777777" w:rsidR="006D1C3F" w:rsidRDefault="00000000">
            <w:pPr>
              <w:ind w:firstLineChars="100" w:firstLine="200"/>
              <w:jc w:val="left"/>
              <w:rPr>
                <w:b w:val="0"/>
                <w:bCs w:val="0"/>
                <w:szCs w:val="20"/>
                <w:lang w:bidi="ar"/>
              </w:rPr>
            </w:pPr>
            <w:r>
              <w:rPr>
                <w:rFonts w:hint="eastAsia"/>
                <w:b w:val="0"/>
                <w:bCs w:val="0"/>
                <w:szCs w:val="20"/>
                <w:lang w:bidi="ar"/>
              </w:rPr>
              <w:t>0.005</w:t>
            </w:r>
          </w:p>
        </w:tc>
        <w:tc>
          <w:tcPr>
            <w:tcW w:w="1134" w:type="dxa"/>
            <w:vAlign w:val="center"/>
          </w:tcPr>
          <w:p w14:paraId="0773008C" w14:textId="77777777" w:rsidR="006D1C3F" w:rsidRDefault="006D1C3F">
            <w:pPr>
              <w:ind w:firstLineChars="0" w:firstLine="0"/>
              <w:jc w:val="center"/>
              <w:rPr>
                <w:b w:val="0"/>
                <w:bCs w:val="0"/>
                <w:szCs w:val="20"/>
                <w:lang w:bidi="ar"/>
              </w:rPr>
            </w:pPr>
          </w:p>
        </w:tc>
        <w:tc>
          <w:tcPr>
            <w:tcW w:w="1134" w:type="dxa"/>
            <w:vAlign w:val="center"/>
          </w:tcPr>
          <w:p w14:paraId="61E8BD3E" w14:textId="77777777" w:rsidR="006D1C3F" w:rsidRDefault="006D1C3F">
            <w:pPr>
              <w:ind w:firstLineChars="100" w:firstLine="200"/>
              <w:rPr>
                <w:b w:val="0"/>
                <w:bCs w:val="0"/>
                <w:szCs w:val="20"/>
              </w:rPr>
            </w:pPr>
          </w:p>
        </w:tc>
      </w:tr>
      <w:tr w:rsidR="006D1C3F" w14:paraId="51395198" w14:textId="77777777">
        <w:trPr>
          <w:trHeight w:val="471"/>
          <w:jc w:val="center"/>
        </w:trPr>
        <w:tc>
          <w:tcPr>
            <w:tcW w:w="1844" w:type="dxa"/>
            <w:vMerge/>
            <w:vAlign w:val="center"/>
          </w:tcPr>
          <w:p w14:paraId="77213CA3" w14:textId="77777777" w:rsidR="006D1C3F" w:rsidRDefault="006D1C3F">
            <w:pPr>
              <w:jc w:val="center"/>
              <w:rPr>
                <w:szCs w:val="20"/>
                <w:lang w:bidi="ar"/>
              </w:rPr>
            </w:pPr>
          </w:p>
        </w:tc>
        <w:tc>
          <w:tcPr>
            <w:tcW w:w="1559" w:type="dxa"/>
            <w:tcMar>
              <w:left w:w="108" w:type="dxa"/>
              <w:right w:w="108" w:type="dxa"/>
            </w:tcMar>
            <w:vAlign w:val="center"/>
          </w:tcPr>
          <w:p w14:paraId="51202BA1" w14:textId="77777777" w:rsidR="006D1C3F" w:rsidRDefault="00000000">
            <w:pPr>
              <w:ind w:firstLine="400"/>
              <w:rPr>
                <w:b w:val="0"/>
                <w:bCs w:val="0"/>
                <w:szCs w:val="20"/>
                <w:lang w:bidi="ar"/>
              </w:rPr>
            </w:pPr>
            <w:r>
              <w:rPr>
                <w:rFonts w:hint="eastAsia"/>
                <w:b w:val="0"/>
                <w:bCs w:val="0"/>
                <w:szCs w:val="20"/>
                <w:lang w:bidi="ar"/>
              </w:rPr>
              <w:t>2%</w:t>
            </w:r>
          </w:p>
        </w:tc>
        <w:tc>
          <w:tcPr>
            <w:tcW w:w="1276" w:type="dxa"/>
            <w:tcMar>
              <w:left w:w="108" w:type="dxa"/>
              <w:right w:w="108" w:type="dxa"/>
            </w:tcMar>
            <w:vAlign w:val="center"/>
          </w:tcPr>
          <w:p w14:paraId="5A36A76A" w14:textId="77777777" w:rsidR="006D1C3F" w:rsidRDefault="00000000">
            <w:pPr>
              <w:ind w:firstLine="400"/>
              <w:rPr>
                <w:b w:val="0"/>
                <w:bCs w:val="0"/>
                <w:szCs w:val="20"/>
                <w:lang w:bidi="ar"/>
              </w:rPr>
            </w:pPr>
            <w:r>
              <w:rPr>
                <w:rFonts w:hint="eastAsia"/>
                <w:b w:val="0"/>
                <w:bCs w:val="0"/>
                <w:szCs w:val="20"/>
                <w:lang w:bidi="ar"/>
              </w:rPr>
              <w:t>0.508</w:t>
            </w:r>
          </w:p>
        </w:tc>
        <w:tc>
          <w:tcPr>
            <w:tcW w:w="1134" w:type="dxa"/>
            <w:tcMar>
              <w:left w:w="108" w:type="dxa"/>
              <w:right w:w="108" w:type="dxa"/>
            </w:tcMar>
            <w:vAlign w:val="center"/>
          </w:tcPr>
          <w:p w14:paraId="7DC164DF" w14:textId="77777777" w:rsidR="006D1C3F" w:rsidRDefault="00000000">
            <w:pPr>
              <w:ind w:firstLineChars="100" w:firstLine="200"/>
              <w:jc w:val="left"/>
              <w:rPr>
                <w:b w:val="0"/>
                <w:bCs w:val="0"/>
                <w:szCs w:val="20"/>
                <w:lang w:bidi="ar"/>
              </w:rPr>
            </w:pPr>
            <w:r>
              <w:rPr>
                <w:rFonts w:hint="eastAsia"/>
                <w:b w:val="0"/>
                <w:bCs w:val="0"/>
                <w:szCs w:val="20"/>
                <w:lang w:bidi="ar"/>
              </w:rPr>
              <w:t>&lt;0.001</w:t>
            </w:r>
          </w:p>
        </w:tc>
        <w:tc>
          <w:tcPr>
            <w:tcW w:w="1134" w:type="dxa"/>
            <w:vAlign w:val="center"/>
          </w:tcPr>
          <w:p w14:paraId="7F47B745" w14:textId="77777777" w:rsidR="006D1C3F" w:rsidRDefault="006D1C3F">
            <w:pPr>
              <w:ind w:firstLineChars="0" w:firstLine="0"/>
              <w:jc w:val="center"/>
              <w:rPr>
                <w:b w:val="0"/>
                <w:bCs w:val="0"/>
                <w:szCs w:val="20"/>
                <w:lang w:bidi="ar"/>
              </w:rPr>
            </w:pPr>
          </w:p>
        </w:tc>
        <w:tc>
          <w:tcPr>
            <w:tcW w:w="1134" w:type="dxa"/>
            <w:vAlign w:val="center"/>
          </w:tcPr>
          <w:p w14:paraId="7D4EC06F" w14:textId="77777777" w:rsidR="006D1C3F" w:rsidRDefault="006D1C3F">
            <w:pPr>
              <w:ind w:firstLineChars="100" w:firstLine="200"/>
              <w:rPr>
                <w:b w:val="0"/>
                <w:bCs w:val="0"/>
                <w:szCs w:val="20"/>
              </w:rPr>
            </w:pPr>
          </w:p>
        </w:tc>
      </w:tr>
      <w:tr w:rsidR="006D1C3F" w14:paraId="3F85DBD5" w14:textId="77777777">
        <w:trPr>
          <w:trHeight w:val="471"/>
          <w:jc w:val="center"/>
        </w:trPr>
        <w:tc>
          <w:tcPr>
            <w:tcW w:w="1844" w:type="dxa"/>
            <w:vMerge w:val="restart"/>
            <w:vAlign w:val="center"/>
          </w:tcPr>
          <w:p w14:paraId="1EFC0405" w14:textId="77777777" w:rsidR="006D1C3F" w:rsidRDefault="00000000">
            <w:pPr>
              <w:ind w:firstLineChars="100" w:firstLine="201"/>
              <w:jc w:val="center"/>
              <w:rPr>
                <w:szCs w:val="20"/>
                <w:lang w:bidi="ar"/>
              </w:rPr>
            </w:pPr>
            <w:r>
              <w:rPr>
                <w:szCs w:val="20"/>
                <w:lang w:bidi="ar"/>
              </w:rPr>
              <w:t>Route</w:t>
            </w:r>
          </w:p>
          <w:p w14:paraId="4532F873" w14:textId="77777777" w:rsidR="006D1C3F" w:rsidRDefault="00000000">
            <w:pPr>
              <w:ind w:firstLineChars="0" w:firstLine="0"/>
              <w:jc w:val="center"/>
              <w:rPr>
                <w:szCs w:val="20"/>
                <w:lang w:bidi="ar"/>
              </w:rPr>
            </w:pPr>
            <w:r>
              <w:rPr>
                <w:szCs w:val="20"/>
                <w:lang w:bidi="ar"/>
              </w:rPr>
              <w:t>of administration</w:t>
            </w:r>
          </w:p>
        </w:tc>
        <w:tc>
          <w:tcPr>
            <w:tcW w:w="1559" w:type="dxa"/>
            <w:tcMar>
              <w:left w:w="108" w:type="dxa"/>
              <w:right w:w="108" w:type="dxa"/>
            </w:tcMar>
            <w:vAlign w:val="center"/>
          </w:tcPr>
          <w:p w14:paraId="4F723C4D" w14:textId="77777777" w:rsidR="006D1C3F" w:rsidRDefault="00000000">
            <w:pPr>
              <w:ind w:firstLine="400"/>
              <w:rPr>
                <w:b w:val="0"/>
                <w:bCs w:val="0"/>
                <w:szCs w:val="20"/>
                <w:lang w:bidi="ar"/>
              </w:rPr>
            </w:pPr>
            <w:r>
              <w:rPr>
                <w:b w:val="0"/>
                <w:bCs w:val="0"/>
                <w:szCs w:val="20"/>
                <w:lang w:bidi="ar"/>
              </w:rPr>
              <w:t>Infusion</w:t>
            </w:r>
          </w:p>
        </w:tc>
        <w:tc>
          <w:tcPr>
            <w:tcW w:w="1276" w:type="dxa"/>
            <w:tcMar>
              <w:left w:w="108" w:type="dxa"/>
              <w:right w:w="108" w:type="dxa"/>
            </w:tcMar>
            <w:vAlign w:val="center"/>
          </w:tcPr>
          <w:p w14:paraId="6C803EB8" w14:textId="77777777" w:rsidR="006D1C3F" w:rsidRDefault="00000000">
            <w:pPr>
              <w:ind w:firstLine="400"/>
              <w:rPr>
                <w:b w:val="0"/>
                <w:bCs w:val="0"/>
                <w:szCs w:val="20"/>
                <w:lang w:bidi="ar"/>
              </w:rPr>
            </w:pPr>
            <w:r>
              <w:rPr>
                <w:rFonts w:hint="eastAsia"/>
                <w:b w:val="0"/>
                <w:bCs w:val="0"/>
                <w:szCs w:val="20"/>
                <w:lang w:bidi="ar"/>
              </w:rPr>
              <w:t>-0.109</w:t>
            </w:r>
          </w:p>
        </w:tc>
        <w:tc>
          <w:tcPr>
            <w:tcW w:w="1134" w:type="dxa"/>
            <w:tcMar>
              <w:left w:w="108" w:type="dxa"/>
              <w:right w:w="108" w:type="dxa"/>
            </w:tcMar>
            <w:vAlign w:val="center"/>
          </w:tcPr>
          <w:p w14:paraId="0EF31680" w14:textId="77777777" w:rsidR="006D1C3F" w:rsidRDefault="00000000">
            <w:pPr>
              <w:ind w:firstLineChars="100" w:firstLine="200"/>
              <w:jc w:val="left"/>
              <w:rPr>
                <w:b w:val="0"/>
                <w:bCs w:val="0"/>
                <w:szCs w:val="20"/>
                <w:lang w:bidi="ar"/>
              </w:rPr>
            </w:pPr>
            <w:r>
              <w:rPr>
                <w:rFonts w:hint="eastAsia"/>
                <w:b w:val="0"/>
                <w:bCs w:val="0"/>
                <w:szCs w:val="20"/>
                <w:lang w:bidi="ar"/>
              </w:rPr>
              <w:t>&lt;0.001</w:t>
            </w:r>
          </w:p>
        </w:tc>
        <w:tc>
          <w:tcPr>
            <w:tcW w:w="1134" w:type="dxa"/>
            <w:vAlign w:val="center"/>
          </w:tcPr>
          <w:p w14:paraId="1EB2F781" w14:textId="77777777" w:rsidR="006D1C3F" w:rsidRDefault="00000000">
            <w:pPr>
              <w:ind w:firstLineChars="0" w:firstLine="0"/>
              <w:jc w:val="center"/>
              <w:rPr>
                <w:b w:val="0"/>
                <w:bCs w:val="0"/>
                <w:szCs w:val="20"/>
                <w:lang w:bidi="ar"/>
              </w:rPr>
            </w:pPr>
            <w:r>
              <w:rPr>
                <w:b w:val="0"/>
                <w:bCs w:val="0"/>
                <w:szCs w:val="20"/>
                <w:lang w:bidi="ar"/>
              </w:rPr>
              <w:t>0.218</w:t>
            </w:r>
          </w:p>
        </w:tc>
        <w:tc>
          <w:tcPr>
            <w:tcW w:w="1134" w:type="dxa"/>
            <w:vAlign w:val="center"/>
          </w:tcPr>
          <w:p w14:paraId="52CDE2E2" w14:textId="77777777" w:rsidR="006D1C3F" w:rsidRDefault="00000000">
            <w:pPr>
              <w:ind w:firstLineChars="100" w:firstLine="200"/>
              <w:rPr>
                <w:b w:val="0"/>
                <w:bCs w:val="0"/>
                <w:szCs w:val="20"/>
              </w:rPr>
            </w:pPr>
            <w:r>
              <w:rPr>
                <w:b w:val="0"/>
                <w:bCs w:val="0"/>
                <w:szCs w:val="20"/>
              </w:rPr>
              <w:t>0.03</w:t>
            </w:r>
            <w:r>
              <w:rPr>
                <w:rFonts w:hint="eastAsia"/>
                <w:b w:val="0"/>
                <w:bCs w:val="0"/>
                <w:szCs w:val="20"/>
              </w:rPr>
              <w:t>4</w:t>
            </w:r>
          </w:p>
        </w:tc>
      </w:tr>
      <w:tr w:rsidR="006D1C3F" w14:paraId="2148EF07" w14:textId="77777777">
        <w:trPr>
          <w:trHeight w:val="471"/>
          <w:jc w:val="center"/>
        </w:trPr>
        <w:tc>
          <w:tcPr>
            <w:tcW w:w="1844" w:type="dxa"/>
            <w:vMerge/>
            <w:vAlign w:val="center"/>
          </w:tcPr>
          <w:p w14:paraId="0D4F4B28" w14:textId="77777777" w:rsidR="006D1C3F" w:rsidRDefault="006D1C3F">
            <w:pPr>
              <w:ind w:firstLine="400"/>
              <w:jc w:val="center"/>
              <w:rPr>
                <w:b w:val="0"/>
                <w:bCs w:val="0"/>
                <w:szCs w:val="20"/>
                <w:lang w:bidi="ar"/>
              </w:rPr>
            </w:pPr>
          </w:p>
        </w:tc>
        <w:tc>
          <w:tcPr>
            <w:tcW w:w="1559" w:type="dxa"/>
            <w:tcMar>
              <w:left w:w="108" w:type="dxa"/>
              <w:right w:w="108" w:type="dxa"/>
            </w:tcMar>
            <w:vAlign w:val="center"/>
          </w:tcPr>
          <w:p w14:paraId="3602E9AA" w14:textId="77777777" w:rsidR="006D1C3F" w:rsidRDefault="00000000">
            <w:pPr>
              <w:ind w:firstLine="400"/>
              <w:rPr>
                <w:b w:val="0"/>
                <w:bCs w:val="0"/>
                <w:szCs w:val="20"/>
                <w:lang w:bidi="ar"/>
              </w:rPr>
            </w:pPr>
            <w:r>
              <w:rPr>
                <w:b w:val="0"/>
                <w:bCs w:val="0"/>
                <w:szCs w:val="20"/>
                <w:lang w:bidi="ar"/>
              </w:rPr>
              <w:t>Oral</w:t>
            </w:r>
          </w:p>
        </w:tc>
        <w:tc>
          <w:tcPr>
            <w:tcW w:w="1276" w:type="dxa"/>
            <w:tcMar>
              <w:left w:w="108" w:type="dxa"/>
              <w:right w:w="108" w:type="dxa"/>
            </w:tcMar>
            <w:vAlign w:val="center"/>
          </w:tcPr>
          <w:p w14:paraId="28CAF813" w14:textId="77777777" w:rsidR="006D1C3F" w:rsidRDefault="00000000">
            <w:pPr>
              <w:ind w:firstLine="400"/>
              <w:rPr>
                <w:b w:val="0"/>
                <w:bCs w:val="0"/>
                <w:szCs w:val="20"/>
                <w:lang w:bidi="ar"/>
              </w:rPr>
            </w:pPr>
            <w:r>
              <w:rPr>
                <w:rFonts w:hint="eastAsia"/>
                <w:b w:val="0"/>
                <w:bCs w:val="0"/>
                <w:szCs w:val="20"/>
                <w:lang w:bidi="ar"/>
              </w:rPr>
              <w:t>0.109</w:t>
            </w:r>
          </w:p>
        </w:tc>
        <w:tc>
          <w:tcPr>
            <w:tcW w:w="1134" w:type="dxa"/>
            <w:tcMar>
              <w:left w:w="108" w:type="dxa"/>
              <w:right w:w="108" w:type="dxa"/>
            </w:tcMar>
            <w:vAlign w:val="center"/>
          </w:tcPr>
          <w:p w14:paraId="0D9BB82A" w14:textId="77777777" w:rsidR="006D1C3F" w:rsidRDefault="00000000">
            <w:pPr>
              <w:ind w:firstLineChars="100" w:firstLine="200"/>
              <w:jc w:val="left"/>
              <w:rPr>
                <w:b w:val="0"/>
                <w:bCs w:val="0"/>
                <w:szCs w:val="20"/>
                <w:lang w:bidi="ar"/>
              </w:rPr>
            </w:pPr>
            <w:r>
              <w:rPr>
                <w:rFonts w:hint="eastAsia"/>
                <w:b w:val="0"/>
                <w:bCs w:val="0"/>
                <w:szCs w:val="20"/>
                <w:lang w:bidi="ar"/>
              </w:rPr>
              <w:t>&lt;0.001</w:t>
            </w:r>
          </w:p>
        </w:tc>
        <w:tc>
          <w:tcPr>
            <w:tcW w:w="1134" w:type="dxa"/>
            <w:vAlign w:val="center"/>
          </w:tcPr>
          <w:p w14:paraId="29F4CCC5" w14:textId="77777777" w:rsidR="006D1C3F" w:rsidRDefault="006D1C3F">
            <w:pPr>
              <w:ind w:firstLineChars="0" w:firstLine="0"/>
              <w:jc w:val="center"/>
              <w:rPr>
                <w:b w:val="0"/>
                <w:bCs w:val="0"/>
                <w:szCs w:val="20"/>
                <w:lang w:bidi="ar"/>
              </w:rPr>
            </w:pPr>
          </w:p>
        </w:tc>
        <w:tc>
          <w:tcPr>
            <w:tcW w:w="1134" w:type="dxa"/>
            <w:vAlign w:val="center"/>
          </w:tcPr>
          <w:p w14:paraId="2F606D2C" w14:textId="77777777" w:rsidR="006D1C3F" w:rsidRDefault="006D1C3F">
            <w:pPr>
              <w:ind w:firstLineChars="100" w:firstLine="200"/>
              <w:rPr>
                <w:b w:val="0"/>
                <w:bCs w:val="0"/>
                <w:szCs w:val="20"/>
              </w:rPr>
            </w:pPr>
          </w:p>
        </w:tc>
      </w:tr>
      <w:tr w:rsidR="006D1C3F" w14:paraId="0C0D933F" w14:textId="77777777">
        <w:trPr>
          <w:trHeight w:val="499"/>
          <w:jc w:val="center"/>
        </w:trPr>
        <w:tc>
          <w:tcPr>
            <w:tcW w:w="1844" w:type="dxa"/>
            <w:vMerge w:val="restart"/>
            <w:tcBorders>
              <w:top w:val="nil"/>
              <w:left w:val="nil"/>
              <w:right w:val="nil"/>
            </w:tcBorders>
            <w:vAlign w:val="center"/>
          </w:tcPr>
          <w:p w14:paraId="0606A24F" w14:textId="77777777" w:rsidR="006D1C3F" w:rsidRDefault="00000000">
            <w:pPr>
              <w:ind w:firstLineChars="0" w:firstLine="0"/>
              <w:jc w:val="center"/>
              <w:rPr>
                <w:szCs w:val="20"/>
                <w:lang w:bidi="ar"/>
              </w:rPr>
            </w:pPr>
            <w:r>
              <w:rPr>
                <w:szCs w:val="20"/>
                <w:lang w:bidi="ar"/>
              </w:rPr>
              <w:t>Treatment cost</w:t>
            </w:r>
            <w:r>
              <w:rPr>
                <w:rFonts w:hint="eastAsia"/>
                <w:szCs w:val="20"/>
                <w:lang w:bidi="ar"/>
              </w:rPr>
              <w:t>*</w:t>
            </w:r>
          </w:p>
        </w:tc>
        <w:tc>
          <w:tcPr>
            <w:tcW w:w="1559" w:type="dxa"/>
            <w:tcBorders>
              <w:top w:val="nil"/>
              <w:left w:val="nil"/>
              <w:bottom w:val="nil"/>
              <w:right w:val="nil"/>
            </w:tcBorders>
            <w:tcMar>
              <w:left w:w="108" w:type="dxa"/>
              <w:right w:w="108" w:type="dxa"/>
            </w:tcMar>
            <w:vAlign w:val="center"/>
          </w:tcPr>
          <w:p w14:paraId="478D5E1B" w14:textId="77777777" w:rsidR="006D1C3F" w:rsidRDefault="00000000">
            <w:pPr>
              <w:ind w:firstLine="400"/>
              <w:rPr>
                <w:b w:val="0"/>
                <w:bCs w:val="0"/>
                <w:szCs w:val="20"/>
                <w:lang w:bidi="ar"/>
              </w:rPr>
            </w:pPr>
            <w:r>
              <w:rPr>
                <w:rFonts w:hint="eastAsia"/>
                <w:b w:val="0"/>
                <w:bCs w:val="0"/>
                <w:szCs w:val="20"/>
                <w:lang w:bidi="ar"/>
              </w:rPr>
              <w:t>50</w:t>
            </w:r>
          </w:p>
        </w:tc>
        <w:tc>
          <w:tcPr>
            <w:tcW w:w="1276" w:type="dxa"/>
            <w:tcBorders>
              <w:top w:val="nil"/>
              <w:left w:val="nil"/>
              <w:bottom w:val="nil"/>
              <w:right w:val="nil"/>
            </w:tcBorders>
            <w:tcMar>
              <w:left w:w="108" w:type="dxa"/>
              <w:right w:w="108" w:type="dxa"/>
            </w:tcMar>
            <w:vAlign w:val="center"/>
          </w:tcPr>
          <w:p w14:paraId="15600E7F" w14:textId="77777777" w:rsidR="006D1C3F" w:rsidRDefault="00000000">
            <w:pPr>
              <w:ind w:firstLine="400"/>
              <w:rPr>
                <w:b w:val="0"/>
                <w:bCs w:val="0"/>
                <w:szCs w:val="20"/>
                <w:lang w:bidi="ar"/>
              </w:rPr>
            </w:pPr>
            <w:r>
              <w:rPr>
                <w:rFonts w:hint="eastAsia"/>
                <w:b w:val="0"/>
                <w:bCs w:val="0"/>
                <w:szCs w:val="20"/>
                <w:lang w:bidi="ar"/>
              </w:rPr>
              <w:t>-0.56</w:t>
            </w:r>
          </w:p>
        </w:tc>
        <w:tc>
          <w:tcPr>
            <w:tcW w:w="1134" w:type="dxa"/>
            <w:tcBorders>
              <w:top w:val="nil"/>
              <w:left w:val="nil"/>
              <w:bottom w:val="nil"/>
              <w:right w:val="nil"/>
            </w:tcBorders>
            <w:tcMar>
              <w:left w:w="108" w:type="dxa"/>
              <w:right w:w="108" w:type="dxa"/>
            </w:tcMar>
            <w:vAlign w:val="center"/>
          </w:tcPr>
          <w:p w14:paraId="2118EC10" w14:textId="77777777" w:rsidR="006D1C3F" w:rsidRDefault="00000000">
            <w:pPr>
              <w:ind w:firstLineChars="100" w:firstLine="200"/>
              <w:jc w:val="left"/>
              <w:rPr>
                <w:b w:val="0"/>
                <w:bCs w:val="0"/>
                <w:szCs w:val="20"/>
              </w:rPr>
            </w:pPr>
            <w:r>
              <w:rPr>
                <w:rFonts w:hint="eastAsia"/>
                <w:b w:val="0"/>
                <w:bCs w:val="0"/>
                <w:szCs w:val="20"/>
                <w:lang w:bidi="ar"/>
              </w:rPr>
              <w:t>&lt;0.001</w:t>
            </w:r>
          </w:p>
        </w:tc>
        <w:tc>
          <w:tcPr>
            <w:tcW w:w="1134" w:type="dxa"/>
            <w:tcBorders>
              <w:top w:val="nil"/>
              <w:left w:val="nil"/>
              <w:bottom w:val="nil"/>
              <w:right w:val="nil"/>
            </w:tcBorders>
            <w:vAlign w:val="center"/>
          </w:tcPr>
          <w:p w14:paraId="5424F80E" w14:textId="77777777" w:rsidR="006D1C3F" w:rsidRDefault="00000000">
            <w:pPr>
              <w:ind w:firstLineChars="0" w:firstLine="0"/>
              <w:jc w:val="center"/>
              <w:rPr>
                <w:b w:val="0"/>
                <w:bCs w:val="0"/>
                <w:szCs w:val="20"/>
                <w:lang w:bidi="ar"/>
              </w:rPr>
            </w:pPr>
            <w:r>
              <w:rPr>
                <w:b w:val="0"/>
                <w:bCs w:val="0"/>
                <w:szCs w:val="20"/>
                <w:lang w:bidi="ar"/>
              </w:rPr>
              <w:t>1.56</w:t>
            </w:r>
          </w:p>
        </w:tc>
        <w:tc>
          <w:tcPr>
            <w:tcW w:w="1134" w:type="dxa"/>
            <w:tcBorders>
              <w:top w:val="nil"/>
              <w:left w:val="nil"/>
              <w:bottom w:val="nil"/>
              <w:right w:val="nil"/>
            </w:tcBorders>
            <w:vAlign w:val="center"/>
          </w:tcPr>
          <w:p w14:paraId="294D0D8D" w14:textId="77777777" w:rsidR="006D1C3F" w:rsidRDefault="00000000">
            <w:pPr>
              <w:ind w:firstLineChars="100" w:firstLine="200"/>
              <w:rPr>
                <w:b w:val="0"/>
                <w:bCs w:val="0"/>
                <w:szCs w:val="20"/>
              </w:rPr>
            </w:pPr>
            <w:r>
              <w:rPr>
                <w:b w:val="0"/>
                <w:bCs w:val="0"/>
                <w:szCs w:val="20"/>
              </w:rPr>
              <w:t>0.24</w:t>
            </w:r>
            <w:r>
              <w:rPr>
                <w:rFonts w:hint="eastAsia"/>
                <w:b w:val="0"/>
                <w:bCs w:val="0"/>
                <w:szCs w:val="20"/>
              </w:rPr>
              <w:t>3</w:t>
            </w:r>
          </w:p>
        </w:tc>
      </w:tr>
      <w:tr w:rsidR="006D1C3F" w14:paraId="436FDDC5" w14:textId="77777777">
        <w:trPr>
          <w:trHeight w:val="499"/>
          <w:jc w:val="center"/>
        </w:trPr>
        <w:tc>
          <w:tcPr>
            <w:tcW w:w="1844" w:type="dxa"/>
            <w:vMerge/>
            <w:tcBorders>
              <w:left w:val="nil"/>
              <w:bottom w:val="single" w:sz="12" w:space="0" w:color="auto"/>
              <w:right w:val="nil"/>
            </w:tcBorders>
            <w:vAlign w:val="center"/>
          </w:tcPr>
          <w:p w14:paraId="7FD69420" w14:textId="77777777" w:rsidR="006D1C3F" w:rsidRDefault="006D1C3F">
            <w:pPr>
              <w:ind w:firstLineChars="0" w:firstLine="0"/>
              <w:jc w:val="center"/>
              <w:rPr>
                <w:szCs w:val="20"/>
                <w:lang w:bidi="ar"/>
              </w:rPr>
            </w:pPr>
          </w:p>
        </w:tc>
        <w:tc>
          <w:tcPr>
            <w:tcW w:w="1559" w:type="dxa"/>
            <w:tcBorders>
              <w:top w:val="nil"/>
              <w:left w:val="nil"/>
              <w:bottom w:val="single" w:sz="12" w:space="0" w:color="auto"/>
              <w:right w:val="nil"/>
            </w:tcBorders>
            <w:tcMar>
              <w:left w:w="108" w:type="dxa"/>
              <w:right w:w="108" w:type="dxa"/>
            </w:tcMar>
            <w:vAlign w:val="center"/>
          </w:tcPr>
          <w:p w14:paraId="65FD9153" w14:textId="77777777" w:rsidR="006D1C3F" w:rsidRDefault="00000000">
            <w:pPr>
              <w:ind w:firstLine="400"/>
              <w:rPr>
                <w:b w:val="0"/>
                <w:bCs w:val="0"/>
                <w:szCs w:val="20"/>
                <w:lang w:bidi="ar"/>
              </w:rPr>
            </w:pPr>
            <w:r>
              <w:rPr>
                <w:rFonts w:hint="eastAsia"/>
                <w:b w:val="0"/>
                <w:bCs w:val="0"/>
                <w:szCs w:val="20"/>
                <w:lang w:bidi="ar"/>
              </w:rPr>
              <w:t>10</w:t>
            </w:r>
          </w:p>
        </w:tc>
        <w:tc>
          <w:tcPr>
            <w:tcW w:w="1276" w:type="dxa"/>
            <w:tcBorders>
              <w:top w:val="nil"/>
              <w:left w:val="nil"/>
              <w:bottom w:val="single" w:sz="12" w:space="0" w:color="auto"/>
              <w:right w:val="nil"/>
            </w:tcBorders>
            <w:tcMar>
              <w:left w:w="108" w:type="dxa"/>
              <w:right w:w="108" w:type="dxa"/>
            </w:tcMar>
            <w:vAlign w:val="center"/>
          </w:tcPr>
          <w:p w14:paraId="4BBD072D" w14:textId="77777777" w:rsidR="006D1C3F" w:rsidRDefault="00000000">
            <w:pPr>
              <w:ind w:firstLine="400"/>
              <w:rPr>
                <w:b w:val="0"/>
                <w:bCs w:val="0"/>
                <w:szCs w:val="20"/>
                <w:lang w:bidi="ar"/>
              </w:rPr>
            </w:pPr>
            <w:r>
              <w:rPr>
                <w:rFonts w:hint="eastAsia"/>
                <w:b w:val="0"/>
                <w:bCs w:val="0"/>
                <w:szCs w:val="20"/>
                <w:lang w:bidi="ar"/>
              </w:rPr>
              <w:t>1</w:t>
            </w:r>
          </w:p>
        </w:tc>
        <w:tc>
          <w:tcPr>
            <w:tcW w:w="1134" w:type="dxa"/>
            <w:tcBorders>
              <w:top w:val="nil"/>
              <w:left w:val="nil"/>
              <w:bottom w:val="single" w:sz="12" w:space="0" w:color="auto"/>
              <w:right w:val="nil"/>
            </w:tcBorders>
            <w:tcMar>
              <w:left w:w="108" w:type="dxa"/>
              <w:right w:w="108" w:type="dxa"/>
            </w:tcMar>
            <w:vAlign w:val="center"/>
          </w:tcPr>
          <w:p w14:paraId="2DC92403" w14:textId="77777777" w:rsidR="006D1C3F" w:rsidRDefault="006D1C3F">
            <w:pPr>
              <w:ind w:firstLine="400"/>
              <w:jc w:val="left"/>
              <w:rPr>
                <w:b w:val="0"/>
                <w:bCs w:val="0"/>
                <w:szCs w:val="20"/>
              </w:rPr>
            </w:pPr>
          </w:p>
        </w:tc>
        <w:tc>
          <w:tcPr>
            <w:tcW w:w="1134" w:type="dxa"/>
            <w:tcBorders>
              <w:top w:val="nil"/>
              <w:left w:val="nil"/>
              <w:bottom w:val="single" w:sz="12" w:space="0" w:color="auto"/>
              <w:right w:val="nil"/>
            </w:tcBorders>
            <w:vAlign w:val="center"/>
          </w:tcPr>
          <w:p w14:paraId="187758B1" w14:textId="77777777" w:rsidR="006D1C3F" w:rsidRDefault="006D1C3F">
            <w:pPr>
              <w:ind w:firstLineChars="0" w:firstLine="0"/>
              <w:jc w:val="center"/>
              <w:rPr>
                <w:b w:val="0"/>
                <w:bCs w:val="0"/>
                <w:szCs w:val="20"/>
                <w:lang w:bidi="ar"/>
              </w:rPr>
            </w:pPr>
          </w:p>
        </w:tc>
        <w:tc>
          <w:tcPr>
            <w:tcW w:w="1134" w:type="dxa"/>
            <w:tcBorders>
              <w:top w:val="nil"/>
              <w:left w:val="nil"/>
              <w:bottom w:val="single" w:sz="12" w:space="0" w:color="auto"/>
              <w:right w:val="nil"/>
            </w:tcBorders>
            <w:vAlign w:val="center"/>
          </w:tcPr>
          <w:p w14:paraId="35922A5C" w14:textId="77777777" w:rsidR="006D1C3F" w:rsidRDefault="006D1C3F">
            <w:pPr>
              <w:ind w:firstLineChars="100" w:firstLine="200"/>
              <w:rPr>
                <w:b w:val="0"/>
                <w:bCs w:val="0"/>
                <w:szCs w:val="20"/>
              </w:rPr>
            </w:pPr>
          </w:p>
        </w:tc>
      </w:tr>
    </w:tbl>
    <w:p w14:paraId="359B99F2" w14:textId="77777777" w:rsidR="006D1C3F" w:rsidRDefault="00000000">
      <w:pPr>
        <w:ind w:firstLineChars="0" w:firstLine="0"/>
        <w:rPr>
          <w:b w:val="0"/>
          <w:bCs w:val="0"/>
          <w:color w:val="000000"/>
          <w:kern w:val="0"/>
          <w:sz w:val="16"/>
          <w:szCs w:val="16"/>
          <w:lang w:bidi="ar"/>
        </w:rPr>
        <w:sectPr w:rsidR="006D1C3F">
          <w:type w:val="continuous"/>
          <w:pgSz w:w="11906" w:h="16838"/>
          <w:pgMar w:top="1440" w:right="1800" w:bottom="1440" w:left="1800" w:header="851" w:footer="992" w:gutter="0"/>
          <w:cols w:space="425"/>
          <w:docGrid w:type="lines" w:linePitch="312"/>
        </w:sectPr>
      </w:pPr>
      <w:r>
        <w:rPr>
          <w:rFonts w:hint="eastAsia"/>
          <w:b w:val="0"/>
          <w:bCs w:val="0"/>
          <w:color w:val="000000"/>
          <w:kern w:val="0"/>
          <w:sz w:val="16"/>
          <w:szCs w:val="16"/>
          <w:lang w:bidi="ar"/>
        </w:rPr>
        <w:t>*</w:t>
      </w:r>
      <w:r>
        <w:rPr>
          <w:b w:val="0"/>
          <w:bCs w:val="0"/>
          <w:color w:val="000000"/>
          <w:kern w:val="0"/>
          <w:sz w:val="16"/>
          <w:szCs w:val="16"/>
          <w:lang w:bidi="ar"/>
        </w:rPr>
        <w:t xml:space="preserve">The unit of cost is expressed in thousands (e.g., 10 represents </w:t>
      </w:r>
      <w:r>
        <w:rPr>
          <w:rFonts w:hint="eastAsia"/>
          <w:b w:val="0"/>
          <w:bCs w:val="0"/>
          <w:color w:val="000000"/>
          <w:kern w:val="0"/>
          <w:sz w:val="16"/>
          <w:szCs w:val="16"/>
          <w:lang w:bidi="ar"/>
        </w:rPr>
        <w:t>￥</w:t>
      </w:r>
      <w:proofErr w:type="gramStart"/>
      <w:r>
        <w:rPr>
          <w:b w:val="0"/>
          <w:bCs w:val="0"/>
          <w:color w:val="000000"/>
          <w:kern w:val="0"/>
          <w:sz w:val="16"/>
          <w:szCs w:val="16"/>
          <w:lang w:bidi="ar"/>
        </w:rPr>
        <w:t xml:space="preserve">10,000 </w:t>
      </w:r>
      <w:r>
        <w:rPr>
          <w:rFonts w:hint="eastAsia"/>
          <w:b w:val="0"/>
          <w:bCs w:val="0"/>
          <w:color w:val="000000"/>
          <w:kern w:val="0"/>
          <w:sz w:val="16"/>
          <w:szCs w:val="16"/>
          <w:lang w:bidi="ar"/>
        </w:rPr>
        <w:t>)</w:t>
      </w:r>
      <w:proofErr w:type="gramEnd"/>
    </w:p>
    <w:p w14:paraId="2D6DA86A" w14:textId="77777777" w:rsidR="006D1C3F" w:rsidRDefault="00000000">
      <w:pPr>
        <w:keepNext/>
        <w:keepLines/>
        <w:pageBreakBefore/>
        <w:spacing w:line="240" w:lineRule="auto"/>
        <w:ind w:firstLineChars="0" w:firstLine="0"/>
        <w:outlineLvl w:val="0"/>
        <w:rPr>
          <w:b w:val="0"/>
          <w:bCs w:val="0"/>
          <w:color w:val="000000"/>
          <w:kern w:val="0"/>
          <w:sz w:val="16"/>
          <w:szCs w:val="16"/>
          <w:lang w:bidi="ar"/>
        </w:rPr>
      </w:pPr>
      <w:bookmarkStart w:id="26" w:name="_Toc225844814"/>
      <w:r>
        <w:rPr>
          <w:rFonts w:eastAsia="Times New Roman" w:cstheme="minorBidi"/>
          <w:b w:val="0"/>
          <w:bCs w:val="0"/>
          <w:kern w:val="44"/>
        </w:rPr>
        <w:lastRenderedPageBreak/>
        <w:t>Table S</w:t>
      </w:r>
      <w:r>
        <w:rPr>
          <w:rFonts w:eastAsiaTheme="minorEastAsia" w:cstheme="minorBidi" w:hint="eastAsia"/>
          <w:b w:val="0"/>
          <w:bCs w:val="0"/>
          <w:kern w:val="44"/>
        </w:rPr>
        <w:t>10</w:t>
      </w:r>
      <w:r>
        <w:rPr>
          <w:rFonts w:eastAsia="Times New Roman" w:cstheme="minorBidi"/>
          <w:b w:val="0"/>
          <w:bCs w:val="0"/>
          <w:kern w:val="44"/>
        </w:rPr>
        <w:t xml:space="preserve"> Normalized Performance Metrics and Selection Probabilities Under Physician Preferences</w:t>
      </w:r>
      <w:bookmarkEnd w:id="26"/>
    </w:p>
    <w:tbl>
      <w:tblPr>
        <w:tblStyle w:val="LightList1"/>
        <w:tblW w:w="14742"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38"/>
        <w:gridCol w:w="983"/>
        <w:gridCol w:w="666"/>
        <w:gridCol w:w="666"/>
        <w:gridCol w:w="766"/>
        <w:gridCol w:w="666"/>
        <w:gridCol w:w="583"/>
        <w:gridCol w:w="666"/>
        <w:gridCol w:w="628"/>
        <w:gridCol w:w="666"/>
        <w:gridCol w:w="805"/>
        <w:gridCol w:w="666"/>
        <w:gridCol w:w="916"/>
        <w:gridCol w:w="666"/>
        <w:gridCol w:w="1083"/>
        <w:gridCol w:w="1105"/>
        <w:gridCol w:w="1323"/>
        <w:gridCol w:w="850"/>
      </w:tblGrid>
      <w:tr w:rsidR="005C1A79" w14:paraId="18E67C82" w14:textId="77777777" w:rsidTr="005C1A79">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38" w:type="dxa"/>
            <w:tcBorders>
              <w:top w:val="single" w:sz="12" w:space="0" w:color="auto"/>
              <w:bottom w:val="single" w:sz="6" w:space="0" w:color="auto"/>
            </w:tcBorders>
            <w:shd w:val="clear" w:color="auto" w:fill="auto"/>
            <w:noWrap/>
            <w:vAlign w:val="center"/>
          </w:tcPr>
          <w:p w14:paraId="62E2B9A1" w14:textId="77777777" w:rsidR="006D1C3F" w:rsidRDefault="00000000">
            <w:pPr>
              <w:widowControl/>
              <w:snapToGrid w:val="0"/>
              <w:spacing w:line="240" w:lineRule="auto"/>
              <w:ind w:firstLineChars="0" w:firstLine="0"/>
              <w:jc w:val="center"/>
              <w:textAlignment w:val="center"/>
              <w:rPr>
                <w:rFonts w:eastAsia="等线"/>
                <w:color w:val="000000"/>
                <w:sz w:val="20"/>
                <w:szCs w:val="20"/>
              </w:rPr>
            </w:pPr>
            <w:bookmarkStart w:id="27" w:name="_Hlk225428966"/>
            <w:r>
              <w:rPr>
                <w:rFonts w:eastAsia="等线"/>
                <w:color w:val="000000"/>
                <w:kern w:val="0"/>
                <w:sz w:val="20"/>
                <w:szCs w:val="20"/>
                <w:lang w:bidi="ar"/>
              </w:rPr>
              <w:t>Treatment Line</w:t>
            </w:r>
          </w:p>
        </w:tc>
        <w:tc>
          <w:tcPr>
            <w:tcW w:w="0" w:type="auto"/>
            <w:tcBorders>
              <w:top w:val="single" w:sz="12" w:space="0" w:color="auto"/>
              <w:bottom w:val="single" w:sz="6" w:space="0" w:color="auto"/>
            </w:tcBorders>
            <w:shd w:val="clear" w:color="auto" w:fill="auto"/>
            <w:noWrap/>
            <w:vAlign w:val="center"/>
          </w:tcPr>
          <w:p w14:paraId="2EF84E80"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Sequence</w:t>
            </w:r>
          </w:p>
        </w:tc>
        <w:tc>
          <w:tcPr>
            <w:tcW w:w="0" w:type="auto"/>
            <w:tcBorders>
              <w:top w:val="single" w:sz="12" w:space="0" w:color="auto"/>
              <w:bottom w:val="single" w:sz="6" w:space="0" w:color="auto"/>
            </w:tcBorders>
            <w:shd w:val="clear" w:color="auto" w:fill="auto"/>
            <w:noWrap/>
            <w:vAlign w:val="center"/>
          </w:tcPr>
          <w:p w14:paraId="06E84564"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PFS</w:t>
            </w:r>
          </w:p>
        </w:tc>
        <w:tc>
          <w:tcPr>
            <w:tcW w:w="0" w:type="auto"/>
            <w:tcBorders>
              <w:top w:val="single" w:sz="12" w:space="0" w:color="auto"/>
              <w:bottom w:val="single" w:sz="6" w:space="0" w:color="auto"/>
            </w:tcBorders>
            <w:shd w:val="clear" w:color="auto" w:fill="auto"/>
            <w:noWrap/>
            <w:vAlign w:val="center"/>
          </w:tcPr>
          <w:p w14:paraId="17BACC58"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X1</w:t>
            </w:r>
          </w:p>
        </w:tc>
        <w:tc>
          <w:tcPr>
            <w:tcW w:w="0" w:type="auto"/>
            <w:tcBorders>
              <w:top w:val="single" w:sz="12" w:space="0" w:color="auto"/>
              <w:bottom w:val="single" w:sz="6" w:space="0" w:color="auto"/>
            </w:tcBorders>
            <w:shd w:val="clear" w:color="auto" w:fill="auto"/>
            <w:noWrap/>
            <w:vAlign w:val="center"/>
          </w:tcPr>
          <w:p w14:paraId="743E1C97"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AE3</w:t>
            </w:r>
          </w:p>
        </w:tc>
        <w:tc>
          <w:tcPr>
            <w:tcW w:w="0" w:type="auto"/>
            <w:tcBorders>
              <w:top w:val="single" w:sz="12" w:space="0" w:color="auto"/>
              <w:bottom w:val="single" w:sz="6" w:space="0" w:color="auto"/>
            </w:tcBorders>
            <w:shd w:val="clear" w:color="auto" w:fill="auto"/>
            <w:noWrap/>
            <w:vAlign w:val="center"/>
          </w:tcPr>
          <w:p w14:paraId="0DDBB7C8"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X2</w:t>
            </w:r>
          </w:p>
        </w:tc>
        <w:tc>
          <w:tcPr>
            <w:tcW w:w="0" w:type="auto"/>
            <w:tcBorders>
              <w:top w:val="single" w:sz="12" w:space="0" w:color="auto"/>
              <w:bottom w:val="single" w:sz="6" w:space="0" w:color="auto"/>
            </w:tcBorders>
            <w:shd w:val="clear" w:color="auto" w:fill="auto"/>
            <w:noWrap/>
            <w:vAlign w:val="center"/>
          </w:tcPr>
          <w:p w14:paraId="41262EED"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AE1</w:t>
            </w:r>
          </w:p>
        </w:tc>
        <w:tc>
          <w:tcPr>
            <w:tcW w:w="0" w:type="auto"/>
            <w:tcBorders>
              <w:top w:val="single" w:sz="12" w:space="0" w:color="auto"/>
              <w:bottom w:val="single" w:sz="6" w:space="0" w:color="auto"/>
            </w:tcBorders>
            <w:shd w:val="clear" w:color="auto" w:fill="auto"/>
            <w:noWrap/>
            <w:vAlign w:val="center"/>
          </w:tcPr>
          <w:p w14:paraId="70E30792"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X3</w:t>
            </w:r>
          </w:p>
        </w:tc>
        <w:tc>
          <w:tcPr>
            <w:tcW w:w="0" w:type="auto"/>
            <w:tcBorders>
              <w:top w:val="single" w:sz="12" w:space="0" w:color="auto"/>
              <w:bottom w:val="single" w:sz="6" w:space="0" w:color="auto"/>
            </w:tcBorders>
            <w:shd w:val="clear" w:color="auto" w:fill="auto"/>
            <w:noWrap/>
            <w:vAlign w:val="center"/>
          </w:tcPr>
          <w:p w14:paraId="50A66533"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DCR</w:t>
            </w:r>
          </w:p>
        </w:tc>
        <w:tc>
          <w:tcPr>
            <w:tcW w:w="0" w:type="auto"/>
            <w:tcBorders>
              <w:top w:val="single" w:sz="12" w:space="0" w:color="auto"/>
              <w:bottom w:val="single" w:sz="6" w:space="0" w:color="auto"/>
            </w:tcBorders>
            <w:shd w:val="clear" w:color="auto" w:fill="auto"/>
            <w:noWrap/>
            <w:vAlign w:val="center"/>
          </w:tcPr>
          <w:p w14:paraId="1A85246E"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X4</w:t>
            </w:r>
          </w:p>
        </w:tc>
        <w:tc>
          <w:tcPr>
            <w:tcW w:w="0" w:type="auto"/>
            <w:tcBorders>
              <w:top w:val="single" w:sz="12" w:space="0" w:color="auto"/>
              <w:bottom w:val="single" w:sz="6" w:space="0" w:color="auto"/>
            </w:tcBorders>
            <w:shd w:val="clear" w:color="auto" w:fill="auto"/>
            <w:noWrap/>
            <w:vAlign w:val="center"/>
          </w:tcPr>
          <w:p w14:paraId="00D34DB5"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MODE</w:t>
            </w:r>
          </w:p>
        </w:tc>
        <w:tc>
          <w:tcPr>
            <w:tcW w:w="0" w:type="auto"/>
            <w:tcBorders>
              <w:top w:val="single" w:sz="12" w:space="0" w:color="auto"/>
              <w:bottom w:val="single" w:sz="6" w:space="0" w:color="auto"/>
            </w:tcBorders>
            <w:shd w:val="clear" w:color="auto" w:fill="auto"/>
            <w:noWrap/>
            <w:vAlign w:val="center"/>
          </w:tcPr>
          <w:p w14:paraId="4558BFA4"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X5</w:t>
            </w:r>
          </w:p>
        </w:tc>
        <w:tc>
          <w:tcPr>
            <w:tcW w:w="0" w:type="auto"/>
            <w:tcBorders>
              <w:top w:val="single" w:sz="12" w:space="0" w:color="auto"/>
              <w:bottom w:val="single" w:sz="6" w:space="0" w:color="auto"/>
            </w:tcBorders>
            <w:shd w:val="clear" w:color="auto" w:fill="auto"/>
            <w:noWrap/>
            <w:vAlign w:val="center"/>
          </w:tcPr>
          <w:p w14:paraId="78BCDAD5"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COST</w:t>
            </w:r>
          </w:p>
        </w:tc>
        <w:tc>
          <w:tcPr>
            <w:tcW w:w="0" w:type="auto"/>
            <w:tcBorders>
              <w:top w:val="single" w:sz="12" w:space="0" w:color="auto"/>
              <w:bottom w:val="single" w:sz="6" w:space="0" w:color="auto"/>
            </w:tcBorders>
            <w:shd w:val="clear" w:color="auto" w:fill="auto"/>
            <w:noWrap/>
            <w:vAlign w:val="center"/>
          </w:tcPr>
          <w:p w14:paraId="00240409"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X6</w:t>
            </w:r>
          </w:p>
        </w:tc>
        <w:tc>
          <w:tcPr>
            <w:tcW w:w="0" w:type="auto"/>
            <w:tcBorders>
              <w:top w:val="single" w:sz="12" w:space="0" w:color="auto"/>
              <w:bottom w:val="single" w:sz="6" w:space="0" w:color="auto"/>
            </w:tcBorders>
            <w:shd w:val="clear" w:color="auto" w:fill="auto"/>
            <w:noWrap/>
            <w:vAlign w:val="center"/>
          </w:tcPr>
          <w:p w14:paraId="00BB7B0E"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kern w:val="0"/>
                <w:sz w:val="20"/>
                <w:szCs w:val="20"/>
                <w:lang w:bidi="ar"/>
              </w:rPr>
            </w:pPr>
            <w:r>
              <w:rPr>
                <w:rFonts w:eastAsia="等线"/>
                <w:color w:val="000000"/>
                <w:kern w:val="0"/>
                <w:sz w:val="20"/>
                <w:szCs w:val="20"/>
                <w:lang w:bidi="ar"/>
              </w:rPr>
              <w:t xml:space="preserve">Composite </w:t>
            </w:r>
          </w:p>
          <w:p w14:paraId="336C7AE4"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Score</w:t>
            </w:r>
          </w:p>
        </w:tc>
        <w:tc>
          <w:tcPr>
            <w:tcW w:w="0" w:type="auto"/>
            <w:tcBorders>
              <w:top w:val="single" w:sz="12" w:space="0" w:color="auto"/>
              <w:bottom w:val="single" w:sz="6" w:space="0" w:color="auto"/>
            </w:tcBorders>
            <w:shd w:val="clear" w:color="auto" w:fill="auto"/>
            <w:noWrap/>
            <w:vAlign w:val="center"/>
          </w:tcPr>
          <w:p w14:paraId="63B34485"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hint="eastAsia"/>
                <w:color w:val="000000"/>
                <w:kern w:val="0"/>
                <w:sz w:val="20"/>
                <w:szCs w:val="20"/>
                <w:lang w:bidi="ar"/>
              </w:rPr>
              <w:t>S</w:t>
            </w:r>
            <w:r>
              <w:rPr>
                <w:rFonts w:eastAsia="等线"/>
                <w:color w:val="000000"/>
                <w:kern w:val="0"/>
                <w:sz w:val="20"/>
                <w:szCs w:val="20"/>
                <w:lang w:bidi="ar"/>
              </w:rPr>
              <w:t>oft</w:t>
            </w:r>
            <w:r>
              <w:rPr>
                <w:rFonts w:eastAsia="等线"/>
                <w:color w:val="000000"/>
                <w:kern w:val="0"/>
                <w:sz w:val="20"/>
                <w:szCs w:val="20"/>
                <w:lang w:bidi="ar"/>
              </w:rPr>
              <w:br/>
              <w:t>Probability</w:t>
            </w:r>
          </w:p>
        </w:tc>
        <w:tc>
          <w:tcPr>
            <w:tcW w:w="1323" w:type="dxa"/>
            <w:tcBorders>
              <w:top w:val="single" w:sz="12" w:space="0" w:color="auto"/>
              <w:bottom w:val="single" w:sz="6" w:space="0" w:color="auto"/>
            </w:tcBorders>
            <w:shd w:val="clear" w:color="auto" w:fill="auto"/>
            <w:noWrap/>
            <w:vAlign w:val="center"/>
          </w:tcPr>
          <w:p w14:paraId="6F58909C"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Sequence Probability</w:t>
            </w:r>
          </w:p>
        </w:tc>
        <w:tc>
          <w:tcPr>
            <w:tcW w:w="850" w:type="dxa"/>
            <w:tcBorders>
              <w:top w:val="single" w:sz="12" w:space="0" w:color="auto"/>
              <w:bottom w:val="single" w:sz="6" w:space="0" w:color="auto"/>
            </w:tcBorders>
            <w:shd w:val="clear" w:color="auto" w:fill="auto"/>
            <w:noWrap/>
            <w:vAlign w:val="center"/>
          </w:tcPr>
          <w:p w14:paraId="33B098E6"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color w:val="000000"/>
                <w:sz w:val="20"/>
                <w:szCs w:val="20"/>
              </w:rPr>
            </w:pPr>
            <w:r>
              <w:rPr>
                <w:rFonts w:eastAsia="等线"/>
                <w:color w:val="000000"/>
                <w:kern w:val="0"/>
                <w:sz w:val="20"/>
                <w:szCs w:val="20"/>
                <w:lang w:bidi="ar"/>
              </w:rPr>
              <w:t>Rank</w:t>
            </w:r>
          </w:p>
        </w:tc>
      </w:tr>
      <w:tr w:rsidR="006D1C3F" w14:paraId="7BE7156E"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val="restart"/>
            <w:tcBorders>
              <w:top w:val="single" w:sz="6" w:space="0" w:color="auto"/>
            </w:tcBorders>
            <w:noWrap/>
            <w:vAlign w:val="center"/>
          </w:tcPr>
          <w:p w14:paraId="5D434F9B" w14:textId="77777777" w:rsidR="006D1C3F" w:rsidRDefault="00000000">
            <w:pPr>
              <w:widowControl/>
              <w:snapToGrid w:val="0"/>
              <w:spacing w:line="240" w:lineRule="auto"/>
              <w:ind w:firstLineChars="0" w:firstLine="0"/>
              <w:jc w:val="center"/>
              <w:textAlignment w:val="center"/>
              <w:rPr>
                <w:rFonts w:eastAsia="等线"/>
                <w:color w:val="000000"/>
                <w:sz w:val="20"/>
                <w:szCs w:val="20"/>
              </w:rPr>
            </w:pPr>
            <w:r>
              <w:rPr>
                <w:rFonts w:eastAsia="等线"/>
                <w:color w:val="000000"/>
                <w:kern w:val="0"/>
                <w:sz w:val="20"/>
                <w:szCs w:val="20"/>
                <w:lang w:bidi="ar"/>
              </w:rPr>
              <w:t>First-line</w:t>
            </w:r>
          </w:p>
        </w:tc>
        <w:tc>
          <w:tcPr>
            <w:tcW w:w="0" w:type="auto"/>
            <w:tcBorders>
              <w:top w:val="single" w:sz="6" w:space="0" w:color="auto"/>
            </w:tcBorders>
            <w:noWrap/>
            <w:vAlign w:val="center"/>
          </w:tcPr>
          <w:p w14:paraId="7A51D8F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proofErr w:type="spellStart"/>
            <w:r>
              <w:rPr>
                <w:rFonts w:eastAsia="等线"/>
                <w:b w:val="0"/>
                <w:bCs w:val="0"/>
                <w:color w:val="000000"/>
                <w:kern w:val="0"/>
                <w:sz w:val="20"/>
                <w:szCs w:val="20"/>
                <w:lang w:bidi="ar"/>
              </w:rPr>
              <w:t>Crz</w:t>
            </w:r>
            <w:proofErr w:type="spellEnd"/>
          </w:p>
        </w:tc>
        <w:tc>
          <w:tcPr>
            <w:tcW w:w="0" w:type="auto"/>
            <w:tcBorders>
              <w:top w:val="single" w:sz="6" w:space="0" w:color="auto"/>
            </w:tcBorders>
            <w:noWrap/>
            <w:vAlign w:val="center"/>
          </w:tcPr>
          <w:p w14:paraId="30FDEFB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27.21</w:t>
            </w:r>
          </w:p>
        </w:tc>
        <w:tc>
          <w:tcPr>
            <w:tcW w:w="0" w:type="auto"/>
            <w:tcBorders>
              <w:top w:val="single" w:sz="6" w:space="0" w:color="auto"/>
            </w:tcBorders>
            <w:noWrap/>
            <w:vAlign w:val="center"/>
          </w:tcPr>
          <w:p w14:paraId="18E169B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0.255</w:t>
            </w:r>
          </w:p>
        </w:tc>
        <w:tc>
          <w:tcPr>
            <w:tcW w:w="0" w:type="auto"/>
            <w:tcBorders>
              <w:top w:val="single" w:sz="6" w:space="0" w:color="auto"/>
            </w:tcBorders>
            <w:noWrap/>
            <w:vAlign w:val="center"/>
          </w:tcPr>
          <w:p w14:paraId="1AA05F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0.55</w:t>
            </w:r>
          </w:p>
        </w:tc>
        <w:tc>
          <w:tcPr>
            <w:tcW w:w="0" w:type="auto"/>
            <w:tcBorders>
              <w:top w:val="single" w:sz="6" w:space="0" w:color="auto"/>
            </w:tcBorders>
            <w:noWrap/>
            <w:vAlign w:val="center"/>
          </w:tcPr>
          <w:p w14:paraId="1580688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0.703</w:t>
            </w:r>
          </w:p>
        </w:tc>
        <w:tc>
          <w:tcPr>
            <w:tcW w:w="0" w:type="auto"/>
            <w:tcBorders>
              <w:top w:val="single" w:sz="6" w:space="0" w:color="auto"/>
            </w:tcBorders>
            <w:noWrap/>
            <w:vAlign w:val="center"/>
          </w:tcPr>
          <w:p w14:paraId="7A376EE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0.87</w:t>
            </w:r>
          </w:p>
        </w:tc>
        <w:tc>
          <w:tcPr>
            <w:tcW w:w="0" w:type="auto"/>
            <w:tcBorders>
              <w:top w:val="single" w:sz="6" w:space="0" w:color="auto"/>
            </w:tcBorders>
            <w:noWrap/>
            <w:vAlign w:val="center"/>
          </w:tcPr>
          <w:p w14:paraId="3BA6FFB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0.899</w:t>
            </w:r>
          </w:p>
        </w:tc>
        <w:tc>
          <w:tcPr>
            <w:tcW w:w="0" w:type="auto"/>
            <w:tcBorders>
              <w:top w:val="single" w:sz="6" w:space="0" w:color="auto"/>
            </w:tcBorders>
            <w:noWrap/>
            <w:vAlign w:val="center"/>
          </w:tcPr>
          <w:p w14:paraId="10AD014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0.87</w:t>
            </w:r>
          </w:p>
        </w:tc>
        <w:tc>
          <w:tcPr>
            <w:tcW w:w="0" w:type="auto"/>
            <w:tcBorders>
              <w:top w:val="single" w:sz="6" w:space="0" w:color="auto"/>
            </w:tcBorders>
            <w:noWrap/>
            <w:vAlign w:val="center"/>
          </w:tcPr>
          <w:p w14:paraId="5817971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0.615</w:t>
            </w:r>
          </w:p>
        </w:tc>
        <w:tc>
          <w:tcPr>
            <w:tcW w:w="0" w:type="auto"/>
            <w:tcBorders>
              <w:top w:val="single" w:sz="6" w:space="0" w:color="auto"/>
            </w:tcBorders>
            <w:noWrap/>
            <w:vAlign w:val="center"/>
          </w:tcPr>
          <w:p w14:paraId="1C0BA54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w:t>
            </w:r>
          </w:p>
        </w:tc>
        <w:tc>
          <w:tcPr>
            <w:tcW w:w="0" w:type="auto"/>
            <w:tcBorders>
              <w:top w:val="single" w:sz="6" w:space="0" w:color="auto"/>
            </w:tcBorders>
            <w:noWrap/>
            <w:vAlign w:val="center"/>
          </w:tcPr>
          <w:p w14:paraId="05D01B1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tcBorders>
              <w:top w:val="single" w:sz="6" w:space="0" w:color="auto"/>
            </w:tcBorders>
            <w:noWrap/>
            <w:vAlign w:val="center"/>
          </w:tcPr>
          <w:p w14:paraId="1BABFEB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280154</w:t>
            </w:r>
          </w:p>
        </w:tc>
        <w:tc>
          <w:tcPr>
            <w:tcW w:w="0" w:type="auto"/>
            <w:tcBorders>
              <w:top w:val="single" w:sz="6" w:space="0" w:color="auto"/>
            </w:tcBorders>
            <w:noWrap/>
            <w:vAlign w:val="center"/>
          </w:tcPr>
          <w:p w14:paraId="3057CFF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0.778</w:t>
            </w:r>
          </w:p>
        </w:tc>
        <w:tc>
          <w:tcPr>
            <w:tcW w:w="0" w:type="auto"/>
            <w:tcBorders>
              <w:top w:val="single" w:sz="6" w:space="0" w:color="auto"/>
            </w:tcBorders>
            <w:noWrap/>
            <w:vAlign w:val="center"/>
          </w:tcPr>
          <w:p w14:paraId="33D2A2A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0.57</w:t>
            </w:r>
          </w:p>
        </w:tc>
        <w:tc>
          <w:tcPr>
            <w:tcW w:w="0" w:type="auto"/>
            <w:tcBorders>
              <w:top w:val="single" w:sz="6" w:space="0" w:color="auto"/>
            </w:tcBorders>
            <w:noWrap/>
            <w:vAlign w:val="center"/>
          </w:tcPr>
          <w:p w14:paraId="32B7C68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13.33%</w:t>
            </w:r>
          </w:p>
        </w:tc>
        <w:tc>
          <w:tcPr>
            <w:tcW w:w="1323" w:type="dxa"/>
            <w:tcBorders>
              <w:top w:val="single" w:sz="6" w:space="0" w:color="auto"/>
            </w:tcBorders>
            <w:noWrap/>
            <w:vAlign w:val="center"/>
          </w:tcPr>
          <w:p w14:paraId="4F47F04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c>
          <w:tcPr>
            <w:tcW w:w="850" w:type="dxa"/>
            <w:tcBorders>
              <w:top w:val="single" w:sz="6" w:space="0" w:color="auto"/>
            </w:tcBorders>
            <w:noWrap/>
            <w:vAlign w:val="center"/>
          </w:tcPr>
          <w:p w14:paraId="15DA89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r>
      <w:tr w:rsidR="006D1C3F" w14:paraId="696A78A0"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B2E27BA"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64B6F3B1"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Ale</w:t>
            </w:r>
          </w:p>
        </w:tc>
        <w:tc>
          <w:tcPr>
            <w:tcW w:w="0" w:type="auto"/>
            <w:noWrap/>
            <w:vAlign w:val="center"/>
          </w:tcPr>
          <w:p w14:paraId="59AFC78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53.9</w:t>
            </w:r>
          </w:p>
        </w:tc>
        <w:tc>
          <w:tcPr>
            <w:tcW w:w="0" w:type="auto"/>
            <w:noWrap/>
            <w:vAlign w:val="center"/>
          </w:tcPr>
          <w:p w14:paraId="4785A9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0.646</w:t>
            </w:r>
          </w:p>
        </w:tc>
        <w:tc>
          <w:tcPr>
            <w:tcW w:w="0" w:type="auto"/>
            <w:noWrap/>
            <w:vAlign w:val="center"/>
          </w:tcPr>
          <w:p w14:paraId="6DD30CE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0.42</w:t>
            </w:r>
          </w:p>
        </w:tc>
        <w:tc>
          <w:tcPr>
            <w:tcW w:w="0" w:type="auto"/>
            <w:noWrap/>
            <w:vAlign w:val="center"/>
          </w:tcPr>
          <w:p w14:paraId="54A2F6E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0AE6AE8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0.98</w:t>
            </w:r>
          </w:p>
        </w:tc>
        <w:tc>
          <w:tcPr>
            <w:tcW w:w="0" w:type="auto"/>
            <w:noWrap/>
            <w:vAlign w:val="center"/>
          </w:tcPr>
          <w:p w14:paraId="4EC108E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0.131</w:t>
            </w:r>
          </w:p>
        </w:tc>
        <w:tc>
          <w:tcPr>
            <w:tcW w:w="0" w:type="auto"/>
            <w:noWrap/>
            <w:vAlign w:val="center"/>
          </w:tcPr>
          <w:p w14:paraId="5E7FDD7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0.97</w:t>
            </w:r>
          </w:p>
        </w:tc>
        <w:tc>
          <w:tcPr>
            <w:tcW w:w="0" w:type="auto"/>
            <w:noWrap/>
            <w:vAlign w:val="center"/>
          </w:tcPr>
          <w:p w14:paraId="6A60CE2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1ED10A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w:t>
            </w:r>
          </w:p>
        </w:tc>
        <w:tc>
          <w:tcPr>
            <w:tcW w:w="0" w:type="auto"/>
            <w:noWrap/>
            <w:vAlign w:val="center"/>
          </w:tcPr>
          <w:p w14:paraId="54955EA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015C374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735376</w:t>
            </w:r>
          </w:p>
        </w:tc>
        <w:tc>
          <w:tcPr>
            <w:tcW w:w="0" w:type="auto"/>
            <w:noWrap/>
            <w:vAlign w:val="center"/>
          </w:tcPr>
          <w:p w14:paraId="49C0A09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0.406</w:t>
            </w:r>
          </w:p>
        </w:tc>
        <w:tc>
          <w:tcPr>
            <w:tcW w:w="0" w:type="auto"/>
            <w:noWrap/>
            <w:vAlign w:val="center"/>
          </w:tcPr>
          <w:p w14:paraId="7DDE855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0.61</w:t>
            </w:r>
          </w:p>
        </w:tc>
        <w:tc>
          <w:tcPr>
            <w:tcW w:w="0" w:type="auto"/>
            <w:noWrap/>
            <w:vAlign w:val="center"/>
          </w:tcPr>
          <w:p w14:paraId="5CAF66C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13.90%</w:t>
            </w:r>
          </w:p>
        </w:tc>
        <w:tc>
          <w:tcPr>
            <w:tcW w:w="1323" w:type="dxa"/>
            <w:noWrap/>
            <w:vAlign w:val="center"/>
          </w:tcPr>
          <w:p w14:paraId="5005BA7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c>
          <w:tcPr>
            <w:tcW w:w="850" w:type="dxa"/>
            <w:noWrap/>
            <w:vAlign w:val="center"/>
          </w:tcPr>
          <w:p w14:paraId="06CFB54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r>
      <w:tr w:rsidR="006D1C3F" w14:paraId="028B39B7"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4A27A6D"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583F7B71"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Bri</w:t>
            </w:r>
          </w:p>
        </w:tc>
        <w:tc>
          <w:tcPr>
            <w:tcW w:w="0" w:type="auto"/>
            <w:noWrap/>
            <w:vAlign w:val="center"/>
          </w:tcPr>
          <w:p w14:paraId="166F81B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47.13</w:t>
            </w:r>
          </w:p>
        </w:tc>
        <w:tc>
          <w:tcPr>
            <w:tcW w:w="0" w:type="auto"/>
            <w:noWrap/>
            <w:vAlign w:val="center"/>
          </w:tcPr>
          <w:p w14:paraId="4ECFC68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0.548</w:t>
            </w:r>
          </w:p>
        </w:tc>
        <w:tc>
          <w:tcPr>
            <w:tcW w:w="0" w:type="auto"/>
            <w:noWrap/>
            <w:vAlign w:val="center"/>
          </w:tcPr>
          <w:p w14:paraId="1401329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0.73</w:t>
            </w:r>
          </w:p>
        </w:tc>
        <w:tc>
          <w:tcPr>
            <w:tcW w:w="0" w:type="auto"/>
            <w:noWrap/>
            <w:vAlign w:val="center"/>
          </w:tcPr>
          <w:p w14:paraId="0CFDBD9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0.291</w:t>
            </w:r>
          </w:p>
        </w:tc>
        <w:tc>
          <w:tcPr>
            <w:tcW w:w="0" w:type="auto"/>
            <w:noWrap/>
            <w:vAlign w:val="center"/>
          </w:tcPr>
          <w:p w14:paraId="7D60212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0.99</w:t>
            </w:r>
          </w:p>
        </w:tc>
        <w:tc>
          <w:tcPr>
            <w:tcW w:w="0" w:type="auto"/>
            <w:noWrap/>
            <w:vAlign w:val="center"/>
          </w:tcPr>
          <w:p w14:paraId="6BE59FD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0.071</w:t>
            </w:r>
          </w:p>
        </w:tc>
        <w:tc>
          <w:tcPr>
            <w:tcW w:w="0" w:type="auto"/>
            <w:noWrap/>
            <w:vAlign w:val="center"/>
          </w:tcPr>
          <w:p w14:paraId="633151D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0.73</w:t>
            </w:r>
          </w:p>
        </w:tc>
        <w:tc>
          <w:tcPr>
            <w:tcW w:w="0" w:type="auto"/>
            <w:noWrap/>
            <w:vAlign w:val="center"/>
          </w:tcPr>
          <w:p w14:paraId="761CBBF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0.000</w:t>
            </w:r>
          </w:p>
        </w:tc>
        <w:tc>
          <w:tcPr>
            <w:tcW w:w="0" w:type="auto"/>
            <w:noWrap/>
            <w:vAlign w:val="center"/>
          </w:tcPr>
          <w:p w14:paraId="47646C1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w:t>
            </w:r>
          </w:p>
        </w:tc>
        <w:tc>
          <w:tcPr>
            <w:tcW w:w="0" w:type="auto"/>
            <w:noWrap/>
            <w:vAlign w:val="center"/>
          </w:tcPr>
          <w:p w14:paraId="72939B6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23BC96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413523</w:t>
            </w:r>
          </w:p>
        </w:tc>
        <w:tc>
          <w:tcPr>
            <w:tcW w:w="0" w:type="auto"/>
            <w:noWrap/>
            <w:vAlign w:val="center"/>
          </w:tcPr>
          <w:p w14:paraId="14EF4A4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0.669</w:t>
            </w:r>
          </w:p>
        </w:tc>
        <w:tc>
          <w:tcPr>
            <w:tcW w:w="0" w:type="auto"/>
            <w:noWrap/>
            <w:vAlign w:val="center"/>
          </w:tcPr>
          <w:p w14:paraId="3B01E83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0.45</w:t>
            </w:r>
          </w:p>
        </w:tc>
        <w:tc>
          <w:tcPr>
            <w:tcW w:w="0" w:type="auto"/>
            <w:noWrap/>
            <w:vAlign w:val="center"/>
          </w:tcPr>
          <w:p w14:paraId="5336CFC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11.82%</w:t>
            </w:r>
          </w:p>
        </w:tc>
        <w:tc>
          <w:tcPr>
            <w:tcW w:w="1323" w:type="dxa"/>
            <w:noWrap/>
            <w:vAlign w:val="center"/>
          </w:tcPr>
          <w:p w14:paraId="78CD4BB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c>
          <w:tcPr>
            <w:tcW w:w="850" w:type="dxa"/>
            <w:noWrap/>
            <w:vAlign w:val="center"/>
          </w:tcPr>
          <w:p w14:paraId="76DFCB6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r>
      <w:tr w:rsidR="006D1C3F" w14:paraId="4E1633CC"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231C85F"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3AE0A268"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Cer</w:t>
            </w:r>
          </w:p>
        </w:tc>
        <w:tc>
          <w:tcPr>
            <w:tcW w:w="0" w:type="auto"/>
            <w:noWrap/>
            <w:vAlign w:val="center"/>
          </w:tcPr>
          <w:p w14:paraId="56C33B9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25.33</w:t>
            </w:r>
          </w:p>
        </w:tc>
        <w:tc>
          <w:tcPr>
            <w:tcW w:w="0" w:type="auto"/>
            <w:noWrap/>
            <w:vAlign w:val="center"/>
          </w:tcPr>
          <w:p w14:paraId="1AD2A29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0.228</w:t>
            </w:r>
          </w:p>
        </w:tc>
        <w:tc>
          <w:tcPr>
            <w:tcW w:w="0" w:type="auto"/>
            <w:noWrap/>
            <w:vAlign w:val="center"/>
          </w:tcPr>
          <w:p w14:paraId="1DB5642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0.86</w:t>
            </w:r>
          </w:p>
        </w:tc>
        <w:tc>
          <w:tcPr>
            <w:tcW w:w="0" w:type="auto"/>
            <w:noWrap/>
            <w:vAlign w:val="center"/>
          </w:tcPr>
          <w:p w14:paraId="52D04D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0.000</w:t>
            </w:r>
          </w:p>
        </w:tc>
        <w:tc>
          <w:tcPr>
            <w:tcW w:w="0" w:type="auto"/>
            <w:noWrap/>
            <w:vAlign w:val="center"/>
          </w:tcPr>
          <w:p w14:paraId="1C45108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0.86</w:t>
            </w:r>
          </w:p>
        </w:tc>
        <w:tc>
          <w:tcPr>
            <w:tcW w:w="0" w:type="auto"/>
            <w:noWrap/>
            <w:vAlign w:val="center"/>
          </w:tcPr>
          <w:p w14:paraId="209701B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5C290B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0.91</w:t>
            </w:r>
          </w:p>
        </w:tc>
        <w:tc>
          <w:tcPr>
            <w:tcW w:w="0" w:type="auto"/>
            <w:noWrap/>
            <w:vAlign w:val="center"/>
          </w:tcPr>
          <w:p w14:paraId="2DB9F7D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0.743</w:t>
            </w:r>
          </w:p>
        </w:tc>
        <w:tc>
          <w:tcPr>
            <w:tcW w:w="0" w:type="auto"/>
            <w:noWrap/>
            <w:vAlign w:val="center"/>
          </w:tcPr>
          <w:p w14:paraId="52655D3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w:t>
            </w:r>
          </w:p>
        </w:tc>
        <w:tc>
          <w:tcPr>
            <w:tcW w:w="0" w:type="auto"/>
            <w:noWrap/>
            <w:vAlign w:val="center"/>
          </w:tcPr>
          <w:p w14:paraId="15B6526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0E8465E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246664</w:t>
            </w:r>
          </w:p>
        </w:tc>
        <w:tc>
          <w:tcPr>
            <w:tcW w:w="0" w:type="auto"/>
            <w:noWrap/>
            <w:vAlign w:val="center"/>
          </w:tcPr>
          <w:p w14:paraId="08462E0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0.805</w:t>
            </w:r>
          </w:p>
        </w:tc>
        <w:tc>
          <w:tcPr>
            <w:tcW w:w="0" w:type="auto"/>
            <w:noWrap/>
            <w:vAlign w:val="center"/>
          </w:tcPr>
          <w:p w14:paraId="075FA31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0.51</w:t>
            </w:r>
          </w:p>
        </w:tc>
        <w:tc>
          <w:tcPr>
            <w:tcW w:w="0" w:type="auto"/>
            <w:noWrap/>
            <w:vAlign w:val="center"/>
          </w:tcPr>
          <w:p w14:paraId="7B00BB8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12.56%</w:t>
            </w:r>
          </w:p>
        </w:tc>
        <w:tc>
          <w:tcPr>
            <w:tcW w:w="1323" w:type="dxa"/>
            <w:noWrap/>
            <w:vAlign w:val="center"/>
          </w:tcPr>
          <w:p w14:paraId="6627859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c>
          <w:tcPr>
            <w:tcW w:w="850" w:type="dxa"/>
            <w:noWrap/>
            <w:vAlign w:val="center"/>
          </w:tcPr>
          <w:p w14:paraId="153C871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r>
      <w:tr w:rsidR="006D1C3F" w14:paraId="2108E98A"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4CE01C9"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2E274C58"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Ens</w:t>
            </w:r>
          </w:p>
        </w:tc>
        <w:tc>
          <w:tcPr>
            <w:tcW w:w="0" w:type="auto"/>
            <w:noWrap/>
            <w:vAlign w:val="center"/>
          </w:tcPr>
          <w:p w14:paraId="34A89B0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51.19</w:t>
            </w:r>
          </w:p>
        </w:tc>
        <w:tc>
          <w:tcPr>
            <w:tcW w:w="0" w:type="auto"/>
            <w:noWrap/>
            <w:vAlign w:val="center"/>
          </w:tcPr>
          <w:p w14:paraId="434FDA7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0.607</w:t>
            </w:r>
          </w:p>
        </w:tc>
        <w:tc>
          <w:tcPr>
            <w:tcW w:w="0" w:type="auto"/>
            <w:noWrap/>
            <w:vAlign w:val="center"/>
          </w:tcPr>
          <w:p w14:paraId="697DFF2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0.71</w:t>
            </w:r>
          </w:p>
        </w:tc>
        <w:tc>
          <w:tcPr>
            <w:tcW w:w="0" w:type="auto"/>
            <w:noWrap/>
            <w:vAlign w:val="center"/>
          </w:tcPr>
          <w:p w14:paraId="21B2137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0.337</w:t>
            </w:r>
          </w:p>
        </w:tc>
        <w:tc>
          <w:tcPr>
            <w:tcW w:w="0" w:type="auto"/>
            <w:noWrap/>
            <w:vAlign w:val="center"/>
          </w:tcPr>
          <w:p w14:paraId="47A0D08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0.99</w:t>
            </w:r>
          </w:p>
        </w:tc>
        <w:tc>
          <w:tcPr>
            <w:tcW w:w="0" w:type="auto"/>
            <w:noWrap/>
            <w:vAlign w:val="center"/>
          </w:tcPr>
          <w:p w14:paraId="7F6DD71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0.100</w:t>
            </w:r>
          </w:p>
        </w:tc>
        <w:tc>
          <w:tcPr>
            <w:tcW w:w="0" w:type="auto"/>
            <w:noWrap/>
            <w:vAlign w:val="center"/>
          </w:tcPr>
          <w:p w14:paraId="33E2533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0.93</w:t>
            </w:r>
          </w:p>
        </w:tc>
        <w:tc>
          <w:tcPr>
            <w:tcW w:w="0" w:type="auto"/>
            <w:noWrap/>
            <w:vAlign w:val="center"/>
          </w:tcPr>
          <w:p w14:paraId="0C9F638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0.849</w:t>
            </w:r>
          </w:p>
        </w:tc>
        <w:tc>
          <w:tcPr>
            <w:tcW w:w="0" w:type="auto"/>
            <w:noWrap/>
            <w:vAlign w:val="center"/>
          </w:tcPr>
          <w:p w14:paraId="59BA509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w:t>
            </w:r>
          </w:p>
        </w:tc>
        <w:tc>
          <w:tcPr>
            <w:tcW w:w="0" w:type="auto"/>
            <w:noWrap/>
            <w:vAlign w:val="center"/>
          </w:tcPr>
          <w:p w14:paraId="5BB2982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6D85090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511588</w:t>
            </w:r>
          </w:p>
        </w:tc>
        <w:tc>
          <w:tcPr>
            <w:tcW w:w="0" w:type="auto"/>
            <w:noWrap/>
            <w:vAlign w:val="center"/>
          </w:tcPr>
          <w:p w14:paraId="23B950F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0.589</w:t>
            </w:r>
          </w:p>
        </w:tc>
        <w:tc>
          <w:tcPr>
            <w:tcW w:w="0" w:type="auto"/>
            <w:noWrap/>
            <w:vAlign w:val="center"/>
          </w:tcPr>
          <w:p w14:paraId="176365A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0.55</w:t>
            </w:r>
          </w:p>
        </w:tc>
        <w:tc>
          <w:tcPr>
            <w:tcW w:w="0" w:type="auto"/>
            <w:noWrap/>
            <w:vAlign w:val="center"/>
          </w:tcPr>
          <w:p w14:paraId="5B3F76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13.02%</w:t>
            </w:r>
          </w:p>
        </w:tc>
        <w:tc>
          <w:tcPr>
            <w:tcW w:w="1323" w:type="dxa"/>
            <w:noWrap/>
            <w:vAlign w:val="center"/>
          </w:tcPr>
          <w:p w14:paraId="2CAA88D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c>
          <w:tcPr>
            <w:tcW w:w="850" w:type="dxa"/>
            <w:noWrap/>
            <w:vAlign w:val="center"/>
          </w:tcPr>
          <w:p w14:paraId="25509FA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r>
      <w:tr w:rsidR="006D1C3F" w14:paraId="28A34641"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DF404E2"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456C4351"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Env</w:t>
            </w:r>
          </w:p>
        </w:tc>
        <w:tc>
          <w:tcPr>
            <w:tcW w:w="0" w:type="auto"/>
            <w:noWrap/>
            <w:vAlign w:val="center"/>
          </w:tcPr>
          <w:p w14:paraId="655F65F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32.85</w:t>
            </w:r>
          </w:p>
        </w:tc>
        <w:tc>
          <w:tcPr>
            <w:tcW w:w="0" w:type="auto"/>
            <w:noWrap/>
            <w:vAlign w:val="center"/>
          </w:tcPr>
          <w:p w14:paraId="17D6E7D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0.338</w:t>
            </w:r>
          </w:p>
        </w:tc>
        <w:tc>
          <w:tcPr>
            <w:tcW w:w="0" w:type="auto"/>
            <w:noWrap/>
            <w:vAlign w:val="center"/>
          </w:tcPr>
          <w:p w14:paraId="2A89887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0.63</w:t>
            </w:r>
          </w:p>
        </w:tc>
        <w:tc>
          <w:tcPr>
            <w:tcW w:w="0" w:type="auto"/>
            <w:noWrap/>
            <w:vAlign w:val="center"/>
          </w:tcPr>
          <w:p w14:paraId="7944F0C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0.519</w:t>
            </w:r>
          </w:p>
        </w:tc>
        <w:tc>
          <w:tcPr>
            <w:tcW w:w="0" w:type="auto"/>
            <w:noWrap/>
            <w:vAlign w:val="center"/>
          </w:tcPr>
          <w:p w14:paraId="64D6014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0.99</w:t>
            </w:r>
          </w:p>
        </w:tc>
        <w:tc>
          <w:tcPr>
            <w:tcW w:w="0" w:type="auto"/>
            <w:noWrap/>
            <w:vAlign w:val="center"/>
          </w:tcPr>
          <w:p w14:paraId="00FC95F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0.054</w:t>
            </w:r>
          </w:p>
        </w:tc>
        <w:tc>
          <w:tcPr>
            <w:tcW w:w="0" w:type="auto"/>
            <w:noWrap/>
            <w:vAlign w:val="center"/>
          </w:tcPr>
          <w:p w14:paraId="7511873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0.92</w:t>
            </w:r>
          </w:p>
        </w:tc>
        <w:tc>
          <w:tcPr>
            <w:tcW w:w="0" w:type="auto"/>
            <w:noWrap/>
            <w:vAlign w:val="center"/>
          </w:tcPr>
          <w:p w14:paraId="3C7CE6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0.790</w:t>
            </w:r>
          </w:p>
        </w:tc>
        <w:tc>
          <w:tcPr>
            <w:tcW w:w="0" w:type="auto"/>
            <w:noWrap/>
            <w:vAlign w:val="center"/>
          </w:tcPr>
          <w:p w14:paraId="1EAC574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w:t>
            </w:r>
          </w:p>
        </w:tc>
        <w:tc>
          <w:tcPr>
            <w:tcW w:w="0" w:type="auto"/>
            <w:noWrap/>
            <w:vAlign w:val="center"/>
          </w:tcPr>
          <w:p w14:paraId="549DBD6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4277D42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324032</w:t>
            </w:r>
          </w:p>
        </w:tc>
        <w:tc>
          <w:tcPr>
            <w:tcW w:w="0" w:type="auto"/>
            <w:noWrap/>
            <w:vAlign w:val="center"/>
          </w:tcPr>
          <w:p w14:paraId="0A1213A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0.742</w:t>
            </w:r>
          </w:p>
        </w:tc>
        <w:tc>
          <w:tcPr>
            <w:tcW w:w="0" w:type="auto"/>
            <w:noWrap/>
            <w:vAlign w:val="center"/>
          </w:tcPr>
          <w:p w14:paraId="728834A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0.49</w:t>
            </w:r>
          </w:p>
        </w:tc>
        <w:tc>
          <w:tcPr>
            <w:tcW w:w="0" w:type="auto"/>
            <w:noWrap/>
            <w:vAlign w:val="center"/>
          </w:tcPr>
          <w:p w14:paraId="6E58956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12.29%</w:t>
            </w:r>
          </w:p>
        </w:tc>
        <w:tc>
          <w:tcPr>
            <w:tcW w:w="1323" w:type="dxa"/>
            <w:noWrap/>
            <w:vAlign w:val="center"/>
          </w:tcPr>
          <w:p w14:paraId="5767726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c>
          <w:tcPr>
            <w:tcW w:w="850" w:type="dxa"/>
            <w:noWrap/>
            <w:vAlign w:val="center"/>
          </w:tcPr>
          <w:p w14:paraId="369C638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r>
      <w:tr w:rsidR="006D1C3F" w14:paraId="157CA9BC"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1ACAEA08"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7580F425"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Che</w:t>
            </w:r>
          </w:p>
        </w:tc>
        <w:tc>
          <w:tcPr>
            <w:tcW w:w="0" w:type="auto"/>
            <w:noWrap/>
            <w:vAlign w:val="center"/>
          </w:tcPr>
          <w:p w14:paraId="6F2314F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9.81</w:t>
            </w:r>
          </w:p>
        </w:tc>
        <w:tc>
          <w:tcPr>
            <w:tcW w:w="0" w:type="auto"/>
            <w:noWrap/>
            <w:vAlign w:val="center"/>
          </w:tcPr>
          <w:p w14:paraId="2FE84C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0.000</w:t>
            </w:r>
          </w:p>
        </w:tc>
        <w:tc>
          <w:tcPr>
            <w:tcW w:w="0" w:type="auto"/>
            <w:noWrap/>
            <w:vAlign w:val="center"/>
          </w:tcPr>
          <w:p w14:paraId="7DD4654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0.58</w:t>
            </w:r>
          </w:p>
        </w:tc>
        <w:tc>
          <w:tcPr>
            <w:tcW w:w="0" w:type="auto"/>
            <w:noWrap/>
            <w:vAlign w:val="center"/>
          </w:tcPr>
          <w:p w14:paraId="583ED36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0.637</w:t>
            </w:r>
          </w:p>
        </w:tc>
        <w:tc>
          <w:tcPr>
            <w:tcW w:w="0" w:type="auto"/>
            <w:noWrap/>
            <w:vAlign w:val="center"/>
          </w:tcPr>
          <w:p w14:paraId="7D40D24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0.98</w:t>
            </w:r>
          </w:p>
        </w:tc>
        <w:tc>
          <w:tcPr>
            <w:tcW w:w="0" w:type="auto"/>
            <w:noWrap/>
            <w:vAlign w:val="center"/>
          </w:tcPr>
          <w:p w14:paraId="3AD0196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0.132</w:t>
            </w:r>
          </w:p>
        </w:tc>
        <w:tc>
          <w:tcPr>
            <w:tcW w:w="0" w:type="auto"/>
            <w:noWrap/>
            <w:vAlign w:val="center"/>
          </w:tcPr>
          <w:p w14:paraId="5C6A769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0.74</w:t>
            </w:r>
          </w:p>
        </w:tc>
        <w:tc>
          <w:tcPr>
            <w:tcW w:w="0" w:type="auto"/>
            <w:noWrap/>
            <w:vAlign w:val="center"/>
          </w:tcPr>
          <w:p w14:paraId="7B53EB8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0.034</w:t>
            </w:r>
          </w:p>
        </w:tc>
        <w:tc>
          <w:tcPr>
            <w:tcW w:w="0" w:type="auto"/>
            <w:noWrap/>
            <w:vAlign w:val="center"/>
          </w:tcPr>
          <w:p w14:paraId="5D7F52C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w:t>
            </w:r>
          </w:p>
        </w:tc>
        <w:tc>
          <w:tcPr>
            <w:tcW w:w="0" w:type="auto"/>
            <w:noWrap/>
            <w:vAlign w:val="center"/>
          </w:tcPr>
          <w:p w14:paraId="7896F00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0.000</w:t>
            </w:r>
          </w:p>
        </w:tc>
        <w:tc>
          <w:tcPr>
            <w:tcW w:w="0" w:type="auto"/>
            <w:noWrap/>
            <w:vAlign w:val="center"/>
          </w:tcPr>
          <w:p w14:paraId="51826F8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8133</w:t>
            </w:r>
          </w:p>
        </w:tc>
        <w:tc>
          <w:tcPr>
            <w:tcW w:w="0" w:type="auto"/>
            <w:noWrap/>
            <w:vAlign w:val="center"/>
          </w:tcPr>
          <w:p w14:paraId="13FCFF4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6BDA4F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0.33</w:t>
            </w:r>
          </w:p>
        </w:tc>
        <w:tc>
          <w:tcPr>
            <w:tcW w:w="0" w:type="auto"/>
            <w:noWrap/>
            <w:vAlign w:val="center"/>
          </w:tcPr>
          <w:p w14:paraId="312187F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10.52%</w:t>
            </w:r>
          </w:p>
        </w:tc>
        <w:tc>
          <w:tcPr>
            <w:tcW w:w="1323" w:type="dxa"/>
            <w:noWrap/>
            <w:vAlign w:val="center"/>
          </w:tcPr>
          <w:p w14:paraId="6E69780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c>
          <w:tcPr>
            <w:tcW w:w="850" w:type="dxa"/>
            <w:noWrap/>
            <w:vAlign w:val="center"/>
          </w:tcPr>
          <w:p w14:paraId="5F2E7CF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r>
      <w:tr w:rsidR="006D1C3F" w14:paraId="325290E7"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A8845E5"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08EE4FAA"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Lor</w:t>
            </w:r>
          </w:p>
        </w:tc>
        <w:tc>
          <w:tcPr>
            <w:tcW w:w="0" w:type="auto"/>
            <w:noWrap/>
            <w:vAlign w:val="center"/>
          </w:tcPr>
          <w:p w14:paraId="3972EEB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77.97</w:t>
            </w:r>
          </w:p>
        </w:tc>
        <w:tc>
          <w:tcPr>
            <w:tcW w:w="0" w:type="auto"/>
            <w:noWrap/>
            <w:vAlign w:val="center"/>
          </w:tcPr>
          <w:p w14:paraId="093BF68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5C6CBCE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0.76</w:t>
            </w:r>
          </w:p>
        </w:tc>
        <w:tc>
          <w:tcPr>
            <w:tcW w:w="0" w:type="auto"/>
            <w:noWrap/>
            <w:vAlign w:val="center"/>
          </w:tcPr>
          <w:p w14:paraId="5296F3E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0.223</w:t>
            </w:r>
          </w:p>
        </w:tc>
        <w:tc>
          <w:tcPr>
            <w:tcW w:w="0" w:type="auto"/>
            <w:noWrap/>
            <w:vAlign w:val="center"/>
          </w:tcPr>
          <w:p w14:paraId="0417E1E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w:t>
            </w:r>
          </w:p>
        </w:tc>
        <w:tc>
          <w:tcPr>
            <w:tcW w:w="0" w:type="auto"/>
            <w:noWrap/>
            <w:vAlign w:val="center"/>
          </w:tcPr>
          <w:p w14:paraId="23420D7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0.000</w:t>
            </w:r>
          </w:p>
        </w:tc>
        <w:tc>
          <w:tcPr>
            <w:tcW w:w="0" w:type="auto"/>
            <w:noWrap/>
            <w:vAlign w:val="center"/>
          </w:tcPr>
          <w:p w14:paraId="380C8BE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0.88</w:t>
            </w:r>
          </w:p>
        </w:tc>
        <w:tc>
          <w:tcPr>
            <w:tcW w:w="0" w:type="auto"/>
            <w:noWrap/>
            <w:vAlign w:val="center"/>
          </w:tcPr>
          <w:p w14:paraId="5460747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0.637</w:t>
            </w:r>
          </w:p>
        </w:tc>
        <w:tc>
          <w:tcPr>
            <w:tcW w:w="0" w:type="auto"/>
            <w:noWrap/>
            <w:vAlign w:val="center"/>
          </w:tcPr>
          <w:p w14:paraId="1361A92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w:t>
            </w:r>
          </w:p>
        </w:tc>
        <w:tc>
          <w:tcPr>
            <w:tcW w:w="0" w:type="auto"/>
            <w:noWrap/>
            <w:vAlign w:val="center"/>
          </w:tcPr>
          <w:p w14:paraId="24A299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1.000</w:t>
            </w:r>
          </w:p>
        </w:tc>
        <w:tc>
          <w:tcPr>
            <w:tcW w:w="0" w:type="auto"/>
            <w:noWrap/>
            <w:vAlign w:val="center"/>
          </w:tcPr>
          <w:p w14:paraId="0CF051A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1232238</w:t>
            </w:r>
          </w:p>
        </w:tc>
        <w:tc>
          <w:tcPr>
            <w:tcW w:w="0" w:type="auto"/>
            <w:noWrap/>
            <w:vAlign w:val="center"/>
          </w:tcPr>
          <w:p w14:paraId="7A787E4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0.000</w:t>
            </w:r>
          </w:p>
        </w:tc>
        <w:tc>
          <w:tcPr>
            <w:tcW w:w="0" w:type="auto"/>
            <w:noWrap/>
            <w:vAlign w:val="center"/>
          </w:tcPr>
          <w:p w14:paraId="7B906B9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0.51</w:t>
            </w:r>
          </w:p>
        </w:tc>
        <w:tc>
          <w:tcPr>
            <w:tcW w:w="0" w:type="auto"/>
            <w:noWrap/>
            <w:vAlign w:val="center"/>
          </w:tcPr>
          <w:p w14:paraId="6E7D445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12.56%</w:t>
            </w:r>
          </w:p>
        </w:tc>
        <w:tc>
          <w:tcPr>
            <w:tcW w:w="1323" w:type="dxa"/>
            <w:noWrap/>
            <w:vAlign w:val="center"/>
          </w:tcPr>
          <w:p w14:paraId="56B4BE5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c>
          <w:tcPr>
            <w:tcW w:w="850" w:type="dxa"/>
            <w:noWrap/>
            <w:vAlign w:val="center"/>
          </w:tcPr>
          <w:p w14:paraId="6EF7C52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w:t>
            </w:r>
          </w:p>
        </w:tc>
      </w:tr>
      <w:tr w:rsidR="006D1C3F" w14:paraId="11EBF941" w14:textId="77777777" w:rsidTr="006D1C3F">
        <w:trPr>
          <w:trHeight w:val="90"/>
          <w:jc w:val="center"/>
        </w:trPr>
        <w:tc>
          <w:tcPr>
            <w:cnfStyle w:val="001000000000" w:firstRow="0" w:lastRow="0" w:firstColumn="1" w:lastColumn="0" w:oddVBand="0" w:evenVBand="0" w:oddHBand="0" w:evenHBand="0" w:firstRowFirstColumn="0" w:firstRowLastColumn="0" w:lastRowFirstColumn="0" w:lastRowLastColumn="0"/>
            <w:tcW w:w="1038" w:type="dxa"/>
            <w:vMerge w:val="restart"/>
            <w:noWrap/>
            <w:vAlign w:val="center"/>
          </w:tcPr>
          <w:p w14:paraId="248DC8F5" w14:textId="77777777" w:rsidR="006D1C3F" w:rsidRDefault="00000000">
            <w:pPr>
              <w:widowControl/>
              <w:snapToGrid w:val="0"/>
              <w:spacing w:line="240" w:lineRule="auto"/>
              <w:ind w:firstLineChars="0" w:firstLine="0"/>
              <w:jc w:val="center"/>
              <w:textAlignment w:val="center"/>
              <w:rPr>
                <w:rFonts w:eastAsia="等线"/>
                <w:color w:val="000000"/>
                <w:sz w:val="20"/>
                <w:szCs w:val="20"/>
              </w:rPr>
            </w:pPr>
            <w:r>
              <w:rPr>
                <w:rFonts w:eastAsia="等线"/>
                <w:color w:val="000000"/>
                <w:kern w:val="0"/>
                <w:sz w:val="20"/>
                <w:szCs w:val="20"/>
                <w:lang w:bidi="ar"/>
              </w:rPr>
              <w:t>Second-line</w:t>
            </w:r>
          </w:p>
        </w:tc>
        <w:tc>
          <w:tcPr>
            <w:tcW w:w="0" w:type="auto"/>
            <w:noWrap/>
            <w:vAlign w:val="center"/>
          </w:tcPr>
          <w:p w14:paraId="6E632D14"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rFonts w:eastAsia="等线"/>
                <w:b w:val="0"/>
                <w:bCs w:val="0"/>
                <w:kern w:val="0"/>
                <w:sz w:val="20"/>
                <w:szCs w:val="20"/>
                <w:lang w:bidi="ar"/>
              </w:rPr>
              <w:t>Crz</w:t>
            </w:r>
            <w:proofErr w:type="spellEnd"/>
            <w:r>
              <w:rPr>
                <w:rFonts w:eastAsia="等线"/>
                <w:b w:val="0"/>
                <w:bCs w:val="0"/>
                <w:kern w:val="0"/>
                <w:sz w:val="20"/>
                <w:szCs w:val="20"/>
                <w:lang w:bidi="ar"/>
              </w:rPr>
              <w:t>-Ale</w:t>
            </w:r>
          </w:p>
        </w:tc>
        <w:tc>
          <w:tcPr>
            <w:tcW w:w="0" w:type="auto"/>
            <w:noWrap/>
            <w:vAlign w:val="center"/>
          </w:tcPr>
          <w:p w14:paraId="6DC53C7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25.8</w:t>
            </w:r>
          </w:p>
        </w:tc>
        <w:tc>
          <w:tcPr>
            <w:tcW w:w="0" w:type="auto"/>
            <w:noWrap/>
            <w:vAlign w:val="center"/>
          </w:tcPr>
          <w:p w14:paraId="42ACB5B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0.985</w:t>
            </w:r>
          </w:p>
        </w:tc>
        <w:tc>
          <w:tcPr>
            <w:tcW w:w="0" w:type="auto"/>
            <w:noWrap/>
            <w:vAlign w:val="center"/>
          </w:tcPr>
          <w:p w14:paraId="76C3C7E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0.2527</w:t>
            </w:r>
          </w:p>
        </w:tc>
        <w:tc>
          <w:tcPr>
            <w:tcW w:w="0" w:type="auto"/>
            <w:noWrap/>
            <w:vAlign w:val="center"/>
          </w:tcPr>
          <w:p w14:paraId="4FD9D3D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2A1E6C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0.89</w:t>
            </w:r>
          </w:p>
        </w:tc>
        <w:tc>
          <w:tcPr>
            <w:tcW w:w="0" w:type="auto"/>
            <w:noWrap/>
            <w:vAlign w:val="center"/>
          </w:tcPr>
          <w:p w14:paraId="481E64A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0.547</w:t>
            </w:r>
          </w:p>
        </w:tc>
        <w:tc>
          <w:tcPr>
            <w:tcW w:w="0" w:type="auto"/>
            <w:noWrap/>
            <w:vAlign w:val="center"/>
          </w:tcPr>
          <w:p w14:paraId="51088C9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0.82</w:t>
            </w:r>
          </w:p>
        </w:tc>
        <w:tc>
          <w:tcPr>
            <w:tcW w:w="0" w:type="auto"/>
            <w:noWrap/>
            <w:vAlign w:val="center"/>
          </w:tcPr>
          <w:p w14:paraId="500798C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0.764</w:t>
            </w:r>
          </w:p>
        </w:tc>
        <w:tc>
          <w:tcPr>
            <w:tcW w:w="0" w:type="auto"/>
            <w:noWrap/>
            <w:vAlign w:val="center"/>
          </w:tcPr>
          <w:p w14:paraId="4E7E305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5A12409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0944D4C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351779</w:t>
            </w:r>
          </w:p>
        </w:tc>
        <w:tc>
          <w:tcPr>
            <w:tcW w:w="0" w:type="auto"/>
            <w:noWrap/>
            <w:vAlign w:val="center"/>
          </w:tcPr>
          <w:p w14:paraId="30A3635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0.147</w:t>
            </w:r>
          </w:p>
        </w:tc>
        <w:tc>
          <w:tcPr>
            <w:tcW w:w="0" w:type="auto"/>
            <w:noWrap/>
            <w:vAlign w:val="center"/>
          </w:tcPr>
          <w:p w14:paraId="07267E9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0.71</w:t>
            </w:r>
          </w:p>
        </w:tc>
        <w:tc>
          <w:tcPr>
            <w:tcW w:w="0" w:type="auto"/>
            <w:noWrap/>
            <w:vAlign w:val="center"/>
          </w:tcPr>
          <w:p w14:paraId="6AD2F7A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16.02%</w:t>
            </w:r>
          </w:p>
        </w:tc>
        <w:tc>
          <w:tcPr>
            <w:tcW w:w="1323" w:type="dxa"/>
            <w:noWrap/>
            <w:vAlign w:val="center"/>
          </w:tcPr>
          <w:p w14:paraId="3A731C6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2.136%</w:t>
            </w:r>
          </w:p>
        </w:tc>
        <w:tc>
          <w:tcPr>
            <w:tcW w:w="850" w:type="dxa"/>
            <w:noWrap/>
            <w:vAlign w:val="center"/>
          </w:tcPr>
          <w:p w14:paraId="6D1677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29</w:t>
            </w:r>
          </w:p>
        </w:tc>
      </w:tr>
      <w:tr w:rsidR="006D1C3F" w14:paraId="6974FD67"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4C5E74A"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5746CFF5"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rFonts w:eastAsia="等线"/>
                <w:b w:val="0"/>
                <w:bCs w:val="0"/>
                <w:kern w:val="0"/>
                <w:sz w:val="20"/>
                <w:szCs w:val="20"/>
                <w:lang w:bidi="ar"/>
              </w:rPr>
              <w:t>Crz</w:t>
            </w:r>
            <w:proofErr w:type="spellEnd"/>
            <w:r>
              <w:rPr>
                <w:rFonts w:eastAsia="等线"/>
                <w:b w:val="0"/>
                <w:bCs w:val="0"/>
                <w:kern w:val="0"/>
                <w:sz w:val="20"/>
                <w:szCs w:val="20"/>
                <w:lang w:bidi="ar"/>
              </w:rPr>
              <w:t>-Bri</w:t>
            </w:r>
          </w:p>
        </w:tc>
        <w:tc>
          <w:tcPr>
            <w:tcW w:w="0" w:type="auto"/>
            <w:noWrap/>
            <w:vAlign w:val="center"/>
          </w:tcPr>
          <w:p w14:paraId="52A4CE2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24.0</w:t>
            </w:r>
          </w:p>
        </w:tc>
        <w:tc>
          <w:tcPr>
            <w:tcW w:w="0" w:type="auto"/>
            <w:noWrap/>
            <w:vAlign w:val="center"/>
          </w:tcPr>
          <w:p w14:paraId="1786B54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0.903</w:t>
            </w:r>
          </w:p>
        </w:tc>
        <w:tc>
          <w:tcPr>
            <w:tcW w:w="0" w:type="auto"/>
            <w:noWrap/>
            <w:vAlign w:val="center"/>
          </w:tcPr>
          <w:p w14:paraId="25E5DE6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0.44</w:t>
            </w:r>
          </w:p>
        </w:tc>
        <w:tc>
          <w:tcPr>
            <w:tcW w:w="0" w:type="auto"/>
            <w:noWrap/>
            <w:vAlign w:val="center"/>
          </w:tcPr>
          <w:p w14:paraId="7E910AC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0.546</w:t>
            </w:r>
          </w:p>
        </w:tc>
        <w:tc>
          <w:tcPr>
            <w:tcW w:w="0" w:type="auto"/>
            <w:noWrap/>
            <w:vAlign w:val="center"/>
          </w:tcPr>
          <w:p w14:paraId="1D5832F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0.92</w:t>
            </w:r>
          </w:p>
        </w:tc>
        <w:tc>
          <w:tcPr>
            <w:tcW w:w="0" w:type="auto"/>
            <w:noWrap/>
            <w:vAlign w:val="center"/>
          </w:tcPr>
          <w:p w14:paraId="5BA7F52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0.387</w:t>
            </w:r>
          </w:p>
        </w:tc>
        <w:tc>
          <w:tcPr>
            <w:tcW w:w="0" w:type="auto"/>
            <w:noWrap/>
            <w:vAlign w:val="center"/>
          </w:tcPr>
          <w:p w14:paraId="55741D8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0.73</w:t>
            </w:r>
          </w:p>
        </w:tc>
        <w:tc>
          <w:tcPr>
            <w:tcW w:w="0" w:type="auto"/>
            <w:noWrap/>
            <w:vAlign w:val="center"/>
          </w:tcPr>
          <w:p w14:paraId="629D876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0.620</w:t>
            </w:r>
          </w:p>
        </w:tc>
        <w:tc>
          <w:tcPr>
            <w:tcW w:w="0" w:type="auto"/>
            <w:noWrap/>
            <w:vAlign w:val="center"/>
          </w:tcPr>
          <w:p w14:paraId="50605F9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1C3F461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4271E42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244182</w:t>
            </w:r>
          </w:p>
        </w:tc>
        <w:tc>
          <w:tcPr>
            <w:tcW w:w="0" w:type="auto"/>
            <w:noWrap/>
            <w:vAlign w:val="center"/>
          </w:tcPr>
          <w:p w14:paraId="264BBF8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0.409</w:t>
            </w:r>
          </w:p>
        </w:tc>
        <w:tc>
          <w:tcPr>
            <w:tcW w:w="0" w:type="auto"/>
            <w:noWrap/>
            <w:vAlign w:val="center"/>
          </w:tcPr>
          <w:p w14:paraId="42FEAF4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0.66</w:t>
            </w:r>
          </w:p>
        </w:tc>
        <w:tc>
          <w:tcPr>
            <w:tcW w:w="0" w:type="auto"/>
            <w:noWrap/>
            <w:vAlign w:val="center"/>
          </w:tcPr>
          <w:p w14:paraId="3F97E4F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15.19%</w:t>
            </w:r>
          </w:p>
        </w:tc>
        <w:tc>
          <w:tcPr>
            <w:tcW w:w="1323" w:type="dxa"/>
            <w:noWrap/>
            <w:vAlign w:val="center"/>
          </w:tcPr>
          <w:p w14:paraId="41383A0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2.024%</w:t>
            </w:r>
          </w:p>
        </w:tc>
        <w:tc>
          <w:tcPr>
            <w:tcW w:w="850" w:type="dxa"/>
            <w:noWrap/>
            <w:vAlign w:val="center"/>
          </w:tcPr>
          <w:p w14:paraId="2516743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32</w:t>
            </w:r>
          </w:p>
        </w:tc>
      </w:tr>
      <w:tr w:rsidR="006D1C3F" w14:paraId="44CB5D7C"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82A44B0"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1899FFD6"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rFonts w:eastAsia="等线"/>
                <w:b w:val="0"/>
                <w:bCs w:val="0"/>
                <w:kern w:val="0"/>
                <w:sz w:val="20"/>
                <w:szCs w:val="20"/>
                <w:lang w:bidi="ar"/>
              </w:rPr>
              <w:t>Crz</w:t>
            </w:r>
            <w:proofErr w:type="spellEnd"/>
            <w:r>
              <w:rPr>
                <w:rFonts w:eastAsia="等线"/>
                <w:b w:val="0"/>
                <w:bCs w:val="0"/>
                <w:kern w:val="0"/>
                <w:sz w:val="20"/>
                <w:szCs w:val="20"/>
                <w:lang w:bidi="ar"/>
              </w:rPr>
              <w:t>-Cer</w:t>
            </w:r>
          </w:p>
        </w:tc>
        <w:tc>
          <w:tcPr>
            <w:tcW w:w="0" w:type="auto"/>
            <w:noWrap/>
            <w:vAlign w:val="center"/>
          </w:tcPr>
          <w:p w14:paraId="66F87DC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12.0</w:t>
            </w:r>
          </w:p>
        </w:tc>
        <w:tc>
          <w:tcPr>
            <w:tcW w:w="0" w:type="auto"/>
            <w:noWrap/>
            <w:vAlign w:val="center"/>
          </w:tcPr>
          <w:p w14:paraId="65FED8C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0.336</w:t>
            </w:r>
          </w:p>
        </w:tc>
        <w:tc>
          <w:tcPr>
            <w:tcW w:w="0" w:type="auto"/>
            <w:noWrap/>
            <w:vAlign w:val="center"/>
          </w:tcPr>
          <w:p w14:paraId="7CCED95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0.6654</w:t>
            </w:r>
          </w:p>
        </w:tc>
        <w:tc>
          <w:tcPr>
            <w:tcW w:w="0" w:type="auto"/>
            <w:noWrap/>
            <w:vAlign w:val="center"/>
          </w:tcPr>
          <w:p w14:paraId="26753F1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7B0236A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0.99</w:t>
            </w:r>
          </w:p>
        </w:tc>
        <w:tc>
          <w:tcPr>
            <w:tcW w:w="0" w:type="auto"/>
            <w:noWrap/>
            <w:vAlign w:val="center"/>
          </w:tcPr>
          <w:p w14:paraId="1EF8D5E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4B32E25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0.77</w:t>
            </w:r>
          </w:p>
        </w:tc>
        <w:tc>
          <w:tcPr>
            <w:tcW w:w="0" w:type="auto"/>
            <w:noWrap/>
            <w:vAlign w:val="center"/>
          </w:tcPr>
          <w:p w14:paraId="7A224B9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0.686</w:t>
            </w:r>
          </w:p>
        </w:tc>
        <w:tc>
          <w:tcPr>
            <w:tcW w:w="0" w:type="auto"/>
            <w:noWrap/>
            <w:vAlign w:val="center"/>
          </w:tcPr>
          <w:p w14:paraId="10BAE9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6D91216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3BBE22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116856</w:t>
            </w:r>
          </w:p>
        </w:tc>
        <w:tc>
          <w:tcPr>
            <w:tcW w:w="0" w:type="auto"/>
            <w:noWrap/>
            <w:vAlign w:val="center"/>
          </w:tcPr>
          <w:p w14:paraId="09E0F68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0.719</w:t>
            </w:r>
          </w:p>
        </w:tc>
        <w:tc>
          <w:tcPr>
            <w:tcW w:w="0" w:type="auto"/>
            <w:noWrap/>
            <w:vAlign w:val="center"/>
          </w:tcPr>
          <w:p w14:paraId="165E373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0.41</w:t>
            </w:r>
          </w:p>
        </w:tc>
        <w:tc>
          <w:tcPr>
            <w:tcW w:w="0" w:type="auto"/>
            <w:noWrap/>
            <w:vAlign w:val="center"/>
          </w:tcPr>
          <w:p w14:paraId="377A00B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11.85%</w:t>
            </w:r>
          </w:p>
        </w:tc>
        <w:tc>
          <w:tcPr>
            <w:tcW w:w="1323" w:type="dxa"/>
            <w:noWrap/>
            <w:vAlign w:val="center"/>
          </w:tcPr>
          <w:p w14:paraId="5E7A595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1.580%</w:t>
            </w:r>
          </w:p>
        </w:tc>
        <w:tc>
          <w:tcPr>
            <w:tcW w:w="850" w:type="dxa"/>
            <w:noWrap/>
            <w:vAlign w:val="center"/>
          </w:tcPr>
          <w:p w14:paraId="16C2A89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35</w:t>
            </w:r>
          </w:p>
        </w:tc>
      </w:tr>
      <w:tr w:rsidR="006D1C3F" w14:paraId="3BEC35C1"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8CE3EB4"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2B48655F"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rFonts w:eastAsia="等线"/>
                <w:b w:val="0"/>
                <w:bCs w:val="0"/>
                <w:kern w:val="0"/>
                <w:sz w:val="20"/>
                <w:szCs w:val="20"/>
                <w:lang w:bidi="ar"/>
              </w:rPr>
              <w:t>Crz-Iru</w:t>
            </w:r>
            <w:proofErr w:type="spellEnd"/>
          </w:p>
        </w:tc>
        <w:tc>
          <w:tcPr>
            <w:tcW w:w="0" w:type="auto"/>
            <w:noWrap/>
            <w:vAlign w:val="center"/>
          </w:tcPr>
          <w:p w14:paraId="1365A92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23.7</w:t>
            </w:r>
          </w:p>
        </w:tc>
        <w:tc>
          <w:tcPr>
            <w:tcW w:w="0" w:type="auto"/>
            <w:noWrap/>
            <w:vAlign w:val="center"/>
          </w:tcPr>
          <w:p w14:paraId="3E172D7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0.886</w:t>
            </w:r>
          </w:p>
        </w:tc>
        <w:tc>
          <w:tcPr>
            <w:tcW w:w="0" w:type="auto"/>
            <w:noWrap/>
            <w:vAlign w:val="center"/>
          </w:tcPr>
          <w:p w14:paraId="1A38D2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0.308</w:t>
            </w:r>
          </w:p>
        </w:tc>
        <w:tc>
          <w:tcPr>
            <w:tcW w:w="0" w:type="auto"/>
            <w:noWrap/>
            <w:vAlign w:val="center"/>
          </w:tcPr>
          <w:p w14:paraId="10F42EA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0.866</w:t>
            </w:r>
          </w:p>
        </w:tc>
        <w:tc>
          <w:tcPr>
            <w:tcW w:w="0" w:type="auto"/>
            <w:noWrap/>
            <w:vAlign w:val="center"/>
          </w:tcPr>
          <w:p w14:paraId="02AE3B7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0.93</w:t>
            </w:r>
          </w:p>
        </w:tc>
        <w:tc>
          <w:tcPr>
            <w:tcW w:w="0" w:type="auto"/>
            <w:noWrap/>
            <w:vAlign w:val="center"/>
          </w:tcPr>
          <w:p w14:paraId="712C480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0.318</w:t>
            </w:r>
          </w:p>
        </w:tc>
        <w:tc>
          <w:tcPr>
            <w:tcW w:w="0" w:type="auto"/>
            <w:noWrap/>
            <w:vAlign w:val="center"/>
          </w:tcPr>
          <w:p w14:paraId="4AD421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0.97</w:t>
            </w:r>
          </w:p>
        </w:tc>
        <w:tc>
          <w:tcPr>
            <w:tcW w:w="0" w:type="auto"/>
            <w:noWrap/>
            <w:vAlign w:val="center"/>
          </w:tcPr>
          <w:p w14:paraId="47212CD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5EC2ABA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6D409E5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307DDB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308763</w:t>
            </w:r>
          </w:p>
        </w:tc>
        <w:tc>
          <w:tcPr>
            <w:tcW w:w="0" w:type="auto"/>
            <w:noWrap/>
            <w:vAlign w:val="center"/>
          </w:tcPr>
          <w:p w14:paraId="3FD20C4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0.252</w:t>
            </w:r>
          </w:p>
        </w:tc>
        <w:tc>
          <w:tcPr>
            <w:tcW w:w="0" w:type="auto"/>
            <w:noWrap/>
            <w:vAlign w:val="center"/>
          </w:tcPr>
          <w:p w14:paraId="782EB6B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0.68</w:t>
            </w:r>
          </w:p>
        </w:tc>
        <w:tc>
          <w:tcPr>
            <w:tcW w:w="0" w:type="auto"/>
            <w:noWrap/>
            <w:vAlign w:val="center"/>
          </w:tcPr>
          <w:p w14:paraId="33258F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15.51%</w:t>
            </w:r>
          </w:p>
        </w:tc>
        <w:tc>
          <w:tcPr>
            <w:tcW w:w="1323" w:type="dxa"/>
            <w:noWrap/>
            <w:vAlign w:val="center"/>
          </w:tcPr>
          <w:p w14:paraId="430DAA7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2.067%</w:t>
            </w:r>
          </w:p>
        </w:tc>
        <w:tc>
          <w:tcPr>
            <w:tcW w:w="850" w:type="dxa"/>
            <w:noWrap/>
            <w:vAlign w:val="center"/>
          </w:tcPr>
          <w:p w14:paraId="7E5271F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31</w:t>
            </w:r>
          </w:p>
        </w:tc>
      </w:tr>
      <w:tr w:rsidR="006D1C3F" w14:paraId="2F5B5D1E"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FD6F92A"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2521A81C"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rFonts w:eastAsia="等线"/>
                <w:b w:val="0"/>
                <w:bCs w:val="0"/>
                <w:kern w:val="0"/>
                <w:sz w:val="20"/>
                <w:szCs w:val="20"/>
                <w:lang w:bidi="ar"/>
              </w:rPr>
              <w:t>Crz</w:t>
            </w:r>
            <w:proofErr w:type="spellEnd"/>
            <w:r>
              <w:rPr>
                <w:rFonts w:eastAsia="等线"/>
                <w:b w:val="0"/>
                <w:bCs w:val="0"/>
                <w:kern w:val="0"/>
                <w:sz w:val="20"/>
                <w:szCs w:val="20"/>
                <w:lang w:bidi="ar"/>
              </w:rPr>
              <w:t>-Ens</w:t>
            </w:r>
          </w:p>
        </w:tc>
        <w:tc>
          <w:tcPr>
            <w:tcW w:w="0" w:type="auto"/>
            <w:noWrap/>
            <w:vAlign w:val="center"/>
          </w:tcPr>
          <w:p w14:paraId="173B0AB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20.0</w:t>
            </w:r>
          </w:p>
        </w:tc>
        <w:tc>
          <w:tcPr>
            <w:tcW w:w="0" w:type="auto"/>
            <w:noWrap/>
            <w:vAlign w:val="center"/>
          </w:tcPr>
          <w:p w14:paraId="4F1718C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0.712</w:t>
            </w:r>
          </w:p>
        </w:tc>
        <w:tc>
          <w:tcPr>
            <w:tcW w:w="0" w:type="auto"/>
            <w:noWrap/>
            <w:vAlign w:val="center"/>
          </w:tcPr>
          <w:p w14:paraId="441F2F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0.26</w:t>
            </w:r>
          </w:p>
        </w:tc>
        <w:tc>
          <w:tcPr>
            <w:tcW w:w="0" w:type="auto"/>
            <w:noWrap/>
            <w:vAlign w:val="center"/>
          </w:tcPr>
          <w:p w14:paraId="7B791E8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0.982</w:t>
            </w:r>
          </w:p>
        </w:tc>
        <w:tc>
          <w:tcPr>
            <w:tcW w:w="0" w:type="auto"/>
            <w:noWrap/>
            <w:vAlign w:val="center"/>
          </w:tcPr>
          <w:p w14:paraId="709488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0.91</w:t>
            </w:r>
          </w:p>
        </w:tc>
        <w:tc>
          <w:tcPr>
            <w:tcW w:w="0" w:type="auto"/>
            <w:noWrap/>
            <w:vAlign w:val="center"/>
          </w:tcPr>
          <w:p w14:paraId="0D41477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0.445</w:t>
            </w:r>
          </w:p>
        </w:tc>
        <w:tc>
          <w:tcPr>
            <w:tcW w:w="0" w:type="auto"/>
            <w:noWrap/>
            <w:vAlign w:val="center"/>
          </w:tcPr>
          <w:p w14:paraId="1C5F395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0.93</w:t>
            </w:r>
          </w:p>
        </w:tc>
        <w:tc>
          <w:tcPr>
            <w:tcW w:w="0" w:type="auto"/>
            <w:noWrap/>
            <w:vAlign w:val="center"/>
          </w:tcPr>
          <w:p w14:paraId="0C2745F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0.942</w:t>
            </w:r>
          </w:p>
        </w:tc>
        <w:tc>
          <w:tcPr>
            <w:tcW w:w="0" w:type="auto"/>
            <w:noWrap/>
            <w:vAlign w:val="center"/>
          </w:tcPr>
          <w:p w14:paraId="59B34D7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4EAFFEC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50CD569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199578</w:t>
            </w:r>
          </w:p>
        </w:tc>
        <w:tc>
          <w:tcPr>
            <w:tcW w:w="0" w:type="auto"/>
            <w:noWrap/>
            <w:vAlign w:val="center"/>
          </w:tcPr>
          <w:p w14:paraId="707F608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0.518</w:t>
            </w:r>
          </w:p>
        </w:tc>
        <w:tc>
          <w:tcPr>
            <w:tcW w:w="0" w:type="auto"/>
            <w:noWrap/>
            <w:vAlign w:val="center"/>
          </w:tcPr>
          <w:p w14:paraId="61A60E8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noWrap/>
            <w:vAlign w:val="center"/>
          </w:tcPr>
          <w:p w14:paraId="3A89216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15.81%</w:t>
            </w:r>
          </w:p>
        </w:tc>
        <w:tc>
          <w:tcPr>
            <w:tcW w:w="1323" w:type="dxa"/>
            <w:noWrap/>
            <w:vAlign w:val="center"/>
          </w:tcPr>
          <w:p w14:paraId="39D3084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2.108%</w:t>
            </w:r>
          </w:p>
        </w:tc>
        <w:tc>
          <w:tcPr>
            <w:tcW w:w="850" w:type="dxa"/>
            <w:noWrap/>
            <w:vAlign w:val="center"/>
          </w:tcPr>
          <w:p w14:paraId="6FF1EE9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30</w:t>
            </w:r>
          </w:p>
        </w:tc>
      </w:tr>
      <w:tr w:rsidR="006D1C3F" w14:paraId="683FFF60"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5F10135A"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06C33A2B"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rFonts w:eastAsia="等线"/>
                <w:b w:val="0"/>
                <w:bCs w:val="0"/>
                <w:kern w:val="0"/>
                <w:sz w:val="20"/>
                <w:szCs w:val="20"/>
                <w:lang w:bidi="ar"/>
              </w:rPr>
              <w:t>Crz</w:t>
            </w:r>
            <w:proofErr w:type="spellEnd"/>
            <w:r>
              <w:rPr>
                <w:rFonts w:eastAsia="等线"/>
                <w:b w:val="0"/>
                <w:bCs w:val="0"/>
                <w:kern w:val="0"/>
                <w:sz w:val="20"/>
                <w:szCs w:val="20"/>
                <w:lang w:bidi="ar"/>
              </w:rPr>
              <w:t>-Che</w:t>
            </w:r>
          </w:p>
        </w:tc>
        <w:tc>
          <w:tcPr>
            <w:tcW w:w="0" w:type="auto"/>
            <w:noWrap/>
            <w:vAlign w:val="center"/>
          </w:tcPr>
          <w:p w14:paraId="0A9B284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4.9</w:t>
            </w:r>
          </w:p>
        </w:tc>
        <w:tc>
          <w:tcPr>
            <w:tcW w:w="0" w:type="auto"/>
            <w:noWrap/>
            <w:vAlign w:val="center"/>
          </w:tcPr>
          <w:p w14:paraId="7D64655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0F915E2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0.3767</w:t>
            </w:r>
          </w:p>
        </w:tc>
        <w:tc>
          <w:tcPr>
            <w:tcW w:w="0" w:type="auto"/>
            <w:noWrap/>
            <w:vAlign w:val="center"/>
          </w:tcPr>
          <w:p w14:paraId="56D5CF0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0.700</w:t>
            </w:r>
          </w:p>
        </w:tc>
        <w:tc>
          <w:tcPr>
            <w:tcW w:w="0" w:type="auto"/>
            <w:noWrap/>
            <w:vAlign w:val="center"/>
          </w:tcPr>
          <w:p w14:paraId="6373A5E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0.81</w:t>
            </w:r>
          </w:p>
        </w:tc>
        <w:tc>
          <w:tcPr>
            <w:tcW w:w="0" w:type="auto"/>
            <w:noWrap/>
            <w:vAlign w:val="center"/>
          </w:tcPr>
          <w:p w14:paraId="66B0FD9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EFC6B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0.34</w:t>
            </w:r>
          </w:p>
        </w:tc>
        <w:tc>
          <w:tcPr>
            <w:tcW w:w="0" w:type="auto"/>
            <w:noWrap/>
            <w:vAlign w:val="center"/>
          </w:tcPr>
          <w:p w14:paraId="24AD820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2F630A1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w:t>
            </w:r>
          </w:p>
        </w:tc>
        <w:tc>
          <w:tcPr>
            <w:tcW w:w="0" w:type="auto"/>
            <w:noWrap/>
            <w:vAlign w:val="center"/>
          </w:tcPr>
          <w:p w14:paraId="0586ADE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1ACA74C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1724</w:t>
            </w:r>
          </w:p>
        </w:tc>
        <w:tc>
          <w:tcPr>
            <w:tcW w:w="0" w:type="auto"/>
            <w:noWrap/>
            <w:vAlign w:val="center"/>
          </w:tcPr>
          <w:p w14:paraId="63EF95F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95824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0.44</w:t>
            </w:r>
          </w:p>
        </w:tc>
        <w:tc>
          <w:tcPr>
            <w:tcW w:w="0" w:type="auto"/>
            <w:noWrap/>
            <w:vAlign w:val="center"/>
          </w:tcPr>
          <w:p w14:paraId="458110E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12.27%</w:t>
            </w:r>
          </w:p>
        </w:tc>
        <w:tc>
          <w:tcPr>
            <w:tcW w:w="1323" w:type="dxa"/>
            <w:noWrap/>
            <w:vAlign w:val="center"/>
          </w:tcPr>
          <w:p w14:paraId="0372F3A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1.636%</w:t>
            </w:r>
          </w:p>
        </w:tc>
        <w:tc>
          <w:tcPr>
            <w:tcW w:w="850" w:type="dxa"/>
            <w:noWrap/>
            <w:vAlign w:val="center"/>
          </w:tcPr>
          <w:p w14:paraId="6BF9C67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34</w:t>
            </w:r>
          </w:p>
        </w:tc>
      </w:tr>
      <w:tr w:rsidR="006D1C3F" w14:paraId="19CF7014"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7A34E39B"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5A0CBA6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rFonts w:eastAsia="等线"/>
                <w:b w:val="0"/>
                <w:bCs w:val="0"/>
                <w:kern w:val="0"/>
                <w:sz w:val="20"/>
                <w:szCs w:val="20"/>
                <w:lang w:bidi="ar"/>
              </w:rPr>
              <w:t>Crz</w:t>
            </w:r>
            <w:proofErr w:type="spellEnd"/>
            <w:r>
              <w:rPr>
                <w:rFonts w:eastAsia="等线"/>
                <w:b w:val="0"/>
                <w:bCs w:val="0"/>
                <w:kern w:val="0"/>
                <w:sz w:val="20"/>
                <w:szCs w:val="20"/>
                <w:lang w:bidi="ar"/>
              </w:rPr>
              <w:t>-Lor</w:t>
            </w:r>
          </w:p>
        </w:tc>
        <w:tc>
          <w:tcPr>
            <w:tcW w:w="0" w:type="auto"/>
            <w:noWrap/>
            <w:vAlign w:val="center"/>
          </w:tcPr>
          <w:p w14:paraId="3558D10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26.1</w:t>
            </w:r>
          </w:p>
        </w:tc>
        <w:tc>
          <w:tcPr>
            <w:tcW w:w="0" w:type="auto"/>
            <w:noWrap/>
            <w:vAlign w:val="center"/>
          </w:tcPr>
          <w:p w14:paraId="2B579C7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5B1A271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0.597</w:t>
            </w:r>
          </w:p>
        </w:tc>
        <w:tc>
          <w:tcPr>
            <w:tcW w:w="0" w:type="auto"/>
            <w:noWrap/>
            <w:vAlign w:val="center"/>
          </w:tcPr>
          <w:p w14:paraId="1559ACF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0.166</w:t>
            </w:r>
          </w:p>
        </w:tc>
        <w:tc>
          <w:tcPr>
            <w:tcW w:w="0" w:type="auto"/>
            <w:noWrap/>
            <w:vAlign w:val="center"/>
          </w:tcPr>
          <w:p w14:paraId="2C4D47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w:t>
            </w:r>
          </w:p>
        </w:tc>
        <w:tc>
          <w:tcPr>
            <w:tcW w:w="0" w:type="auto"/>
            <w:noWrap/>
            <w:vAlign w:val="center"/>
          </w:tcPr>
          <w:p w14:paraId="2BCBA6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0.030</w:t>
            </w:r>
          </w:p>
        </w:tc>
        <w:tc>
          <w:tcPr>
            <w:tcW w:w="0" w:type="auto"/>
            <w:noWrap/>
            <w:vAlign w:val="center"/>
          </w:tcPr>
          <w:p w14:paraId="3EB50C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0.84</w:t>
            </w:r>
          </w:p>
        </w:tc>
        <w:tc>
          <w:tcPr>
            <w:tcW w:w="0" w:type="auto"/>
            <w:noWrap/>
            <w:vAlign w:val="center"/>
          </w:tcPr>
          <w:p w14:paraId="42A61B9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0.803</w:t>
            </w:r>
          </w:p>
        </w:tc>
        <w:tc>
          <w:tcPr>
            <w:tcW w:w="0" w:type="auto"/>
            <w:noWrap/>
            <w:vAlign w:val="center"/>
          </w:tcPr>
          <w:p w14:paraId="797DA1C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63B56B3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41E043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412010</w:t>
            </w:r>
          </w:p>
        </w:tc>
        <w:tc>
          <w:tcPr>
            <w:tcW w:w="0" w:type="auto"/>
            <w:noWrap/>
            <w:vAlign w:val="center"/>
          </w:tcPr>
          <w:p w14:paraId="537EEA4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46EE44B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0.53</w:t>
            </w:r>
          </w:p>
        </w:tc>
        <w:tc>
          <w:tcPr>
            <w:tcW w:w="0" w:type="auto"/>
            <w:noWrap/>
            <w:vAlign w:val="center"/>
          </w:tcPr>
          <w:p w14:paraId="3DCFE12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13.34%</w:t>
            </w:r>
          </w:p>
        </w:tc>
        <w:tc>
          <w:tcPr>
            <w:tcW w:w="1323" w:type="dxa"/>
            <w:noWrap/>
            <w:vAlign w:val="center"/>
          </w:tcPr>
          <w:p w14:paraId="6AFE3F0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1.778%</w:t>
            </w:r>
          </w:p>
        </w:tc>
        <w:tc>
          <w:tcPr>
            <w:tcW w:w="850" w:type="dxa"/>
            <w:noWrap/>
            <w:vAlign w:val="center"/>
          </w:tcPr>
          <w:p w14:paraId="36C40A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33</w:t>
            </w:r>
          </w:p>
        </w:tc>
      </w:tr>
      <w:tr w:rsidR="006D1C3F" w14:paraId="5AD2E329"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60B6943"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3ED1F972"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Ale-Bri</w:t>
            </w:r>
          </w:p>
        </w:tc>
        <w:tc>
          <w:tcPr>
            <w:tcW w:w="0" w:type="auto"/>
            <w:noWrap/>
            <w:vAlign w:val="center"/>
          </w:tcPr>
          <w:p w14:paraId="185B568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17.63</w:t>
            </w:r>
          </w:p>
        </w:tc>
        <w:tc>
          <w:tcPr>
            <w:tcW w:w="0" w:type="auto"/>
            <w:noWrap/>
            <w:vAlign w:val="center"/>
          </w:tcPr>
          <w:p w14:paraId="0313DAF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0.836</w:t>
            </w:r>
          </w:p>
        </w:tc>
        <w:tc>
          <w:tcPr>
            <w:tcW w:w="0" w:type="auto"/>
            <w:noWrap/>
            <w:vAlign w:val="center"/>
          </w:tcPr>
          <w:p w14:paraId="2BC38EE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0.64</w:t>
            </w:r>
          </w:p>
        </w:tc>
        <w:tc>
          <w:tcPr>
            <w:tcW w:w="0" w:type="auto"/>
            <w:noWrap/>
            <w:vAlign w:val="center"/>
          </w:tcPr>
          <w:p w14:paraId="084EA3C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0.136</w:t>
            </w:r>
          </w:p>
        </w:tc>
        <w:tc>
          <w:tcPr>
            <w:tcW w:w="0" w:type="auto"/>
            <w:noWrap/>
            <w:vAlign w:val="center"/>
          </w:tcPr>
          <w:p w14:paraId="4BED713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6F1E259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729542C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0.79</w:t>
            </w:r>
          </w:p>
        </w:tc>
        <w:tc>
          <w:tcPr>
            <w:tcW w:w="0" w:type="auto"/>
            <w:noWrap/>
            <w:vAlign w:val="center"/>
          </w:tcPr>
          <w:p w14:paraId="632F072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0.504</w:t>
            </w:r>
          </w:p>
        </w:tc>
        <w:tc>
          <w:tcPr>
            <w:tcW w:w="0" w:type="auto"/>
            <w:noWrap/>
            <w:vAlign w:val="center"/>
          </w:tcPr>
          <w:p w14:paraId="1E318A8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6D9C3B7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1DA1A5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179297</w:t>
            </w:r>
          </w:p>
        </w:tc>
        <w:tc>
          <w:tcPr>
            <w:tcW w:w="0" w:type="auto"/>
            <w:noWrap/>
            <w:vAlign w:val="center"/>
          </w:tcPr>
          <w:p w14:paraId="5D65B9B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0.141</w:t>
            </w:r>
          </w:p>
        </w:tc>
        <w:tc>
          <w:tcPr>
            <w:tcW w:w="0" w:type="auto"/>
            <w:noWrap/>
            <w:vAlign w:val="center"/>
          </w:tcPr>
          <w:p w14:paraId="2292DA4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0.46</w:t>
            </w:r>
          </w:p>
        </w:tc>
        <w:tc>
          <w:tcPr>
            <w:tcW w:w="0" w:type="auto"/>
            <w:noWrap/>
            <w:vAlign w:val="center"/>
          </w:tcPr>
          <w:p w14:paraId="76CBC6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24.90%</w:t>
            </w:r>
          </w:p>
        </w:tc>
        <w:tc>
          <w:tcPr>
            <w:tcW w:w="1323" w:type="dxa"/>
            <w:noWrap/>
            <w:vAlign w:val="center"/>
          </w:tcPr>
          <w:p w14:paraId="028EFD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3.460%</w:t>
            </w:r>
          </w:p>
        </w:tc>
        <w:tc>
          <w:tcPr>
            <w:tcW w:w="850" w:type="dxa"/>
            <w:noWrap/>
            <w:vAlign w:val="center"/>
          </w:tcPr>
          <w:p w14:paraId="42A8A51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9</w:t>
            </w:r>
          </w:p>
        </w:tc>
      </w:tr>
      <w:tr w:rsidR="006D1C3F" w14:paraId="07D86B80"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7619161"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25132F40"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Ale-Lor</w:t>
            </w:r>
          </w:p>
        </w:tc>
        <w:tc>
          <w:tcPr>
            <w:tcW w:w="0" w:type="auto"/>
            <w:noWrap/>
            <w:vAlign w:val="center"/>
          </w:tcPr>
          <w:p w14:paraId="6C086B2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10.79</w:t>
            </w:r>
          </w:p>
        </w:tc>
        <w:tc>
          <w:tcPr>
            <w:tcW w:w="0" w:type="auto"/>
            <w:noWrap/>
            <w:vAlign w:val="center"/>
          </w:tcPr>
          <w:p w14:paraId="1A03031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0.355</w:t>
            </w:r>
          </w:p>
        </w:tc>
        <w:tc>
          <w:tcPr>
            <w:tcW w:w="0" w:type="auto"/>
            <w:noWrap/>
            <w:vAlign w:val="center"/>
          </w:tcPr>
          <w:p w14:paraId="009A806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0.63</w:t>
            </w:r>
          </w:p>
        </w:tc>
        <w:tc>
          <w:tcPr>
            <w:tcW w:w="0" w:type="auto"/>
            <w:noWrap/>
            <w:vAlign w:val="center"/>
          </w:tcPr>
          <w:p w14:paraId="423D546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0.155</w:t>
            </w:r>
          </w:p>
        </w:tc>
        <w:tc>
          <w:tcPr>
            <w:tcW w:w="0" w:type="auto"/>
            <w:noWrap/>
            <w:vAlign w:val="center"/>
          </w:tcPr>
          <w:p w14:paraId="45DBAA7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w:t>
            </w:r>
          </w:p>
        </w:tc>
        <w:tc>
          <w:tcPr>
            <w:tcW w:w="0" w:type="auto"/>
            <w:noWrap/>
            <w:vAlign w:val="center"/>
          </w:tcPr>
          <w:p w14:paraId="1728761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0.200</w:t>
            </w:r>
          </w:p>
        </w:tc>
        <w:tc>
          <w:tcPr>
            <w:tcW w:w="0" w:type="auto"/>
            <w:noWrap/>
            <w:vAlign w:val="center"/>
          </w:tcPr>
          <w:p w14:paraId="06484EA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0.65</w:t>
            </w:r>
          </w:p>
        </w:tc>
        <w:tc>
          <w:tcPr>
            <w:tcW w:w="0" w:type="auto"/>
            <w:noWrap/>
            <w:vAlign w:val="center"/>
          </w:tcPr>
          <w:p w14:paraId="1EFDB91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06B2036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7638E5F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FDB68B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170525</w:t>
            </w:r>
          </w:p>
        </w:tc>
        <w:tc>
          <w:tcPr>
            <w:tcW w:w="0" w:type="auto"/>
            <w:noWrap/>
            <w:vAlign w:val="center"/>
          </w:tcPr>
          <w:p w14:paraId="1F4CCD4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0.202</w:t>
            </w:r>
          </w:p>
        </w:tc>
        <w:tc>
          <w:tcPr>
            <w:tcW w:w="0" w:type="auto"/>
            <w:noWrap/>
            <w:vAlign w:val="center"/>
          </w:tcPr>
          <w:p w14:paraId="606C21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0.26</w:t>
            </w:r>
          </w:p>
        </w:tc>
        <w:tc>
          <w:tcPr>
            <w:tcW w:w="0" w:type="auto"/>
            <w:noWrap/>
            <w:vAlign w:val="center"/>
          </w:tcPr>
          <w:p w14:paraId="2F592C0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20.46%</w:t>
            </w:r>
          </w:p>
        </w:tc>
        <w:tc>
          <w:tcPr>
            <w:tcW w:w="1323" w:type="dxa"/>
            <w:noWrap/>
            <w:vAlign w:val="center"/>
          </w:tcPr>
          <w:p w14:paraId="0AFB0D1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2.843%</w:t>
            </w:r>
          </w:p>
        </w:tc>
        <w:tc>
          <w:tcPr>
            <w:tcW w:w="850" w:type="dxa"/>
            <w:noWrap/>
            <w:vAlign w:val="center"/>
          </w:tcPr>
          <w:p w14:paraId="5C32118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16</w:t>
            </w:r>
          </w:p>
        </w:tc>
      </w:tr>
      <w:tr w:rsidR="006D1C3F" w14:paraId="3BECF4C0"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14A0CB18"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779C1708"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Ale-Cer</w:t>
            </w:r>
          </w:p>
        </w:tc>
        <w:tc>
          <w:tcPr>
            <w:tcW w:w="0" w:type="auto"/>
            <w:noWrap/>
            <w:vAlign w:val="center"/>
          </w:tcPr>
          <w:p w14:paraId="3A2C7A6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5.73</w:t>
            </w:r>
          </w:p>
        </w:tc>
        <w:tc>
          <w:tcPr>
            <w:tcW w:w="0" w:type="auto"/>
            <w:noWrap/>
            <w:vAlign w:val="center"/>
          </w:tcPr>
          <w:p w14:paraId="57609BD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3048039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noWrap/>
            <w:vAlign w:val="center"/>
          </w:tcPr>
          <w:p w14:paraId="55BF7CD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2E24558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42F1588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3FDE405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noWrap/>
            <w:vAlign w:val="center"/>
          </w:tcPr>
          <w:p w14:paraId="4C57D2E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0.184</w:t>
            </w:r>
          </w:p>
        </w:tc>
        <w:tc>
          <w:tcPr>
            <w:tcW w:w="0" w:type="auto"/>
            <w:noWrap/>
            <w:vAlign w:val="center"/>
          </w:tcPr>
          <w:p w14:paraId="6043AF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1FA5475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2ADB7B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55799</w:t>
            </w:r>
          </w:p>
        </w:tc>
        <w:tc>
          <w:tcPr>
            <w:tcW w:w="0" w:type="auto"/>
            <w:noWrap/>
            <w:vAlign w:val="center"/>
          </w:tcPr>
          <w:p w14:paraId="7D6D66F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913946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0.30</w:t>
            </w:r>
          </w:p>
        </w:tc>
        <w:tc>
          <w:tcPr>
            <w:tcW w:w="0" w:type="auto"/>
            <w:noWrap/>
            <w:vAlign w:val="center"/>
          </w:tcPr>
          <w:p w14:paraId="2F32081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21.12%</w:t>
            </w:r>
          </w:p>
        </w:tc>
        <w:tc>
          <w:tcPr>
            <w:tcW w:w="1323" w:type="dxa"/>
            <w:noWrap/>
            <w:vAlign w:val="center"/>
          </w:tcPr>
          <w:p w14:paraId="2D6E3DA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2.936%</w:t>
            </w:r>
          </w:p>
        </w:tc>
        <w:tc>
          <w:tcPr>
            <w:tcW w:w="850" w:type="dxa"/>
            <w:noWrap/>
            <w:vAlign w:val="center"/>
          </w:tcPr>
          <w:p w14:paraId="794089A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15</w:t>
            </w:r>
          </w:p>
        </w:tc>
      </w:tr>
      <w:tr w:rsidR="006D1C3F" w14:paraId="1FDF984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0C764EFB"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31C0B5DF"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Ale-Ens</w:t>
            </w:r>
          </w:p>
        </w:tc>
        <w:tc>
          <w:tcPr>
            <w:tcW w:w="0" w:type="auto"/>
            <w:noWrap/>
            <w:vAlign w:val="center"/>
          </w:tcPr>
          <w:p w14:paraId="490DF8D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20.0</w:t>
            </w:r>
          </w:p>
        </w:tc>
        <w:tc>
          <w:tcPr>
            <w:tcW w:w="0" w:type="auto"/>
            <w:noWrap/>
            <w:vAlign w:val="center"/>
          </w:tcPr>
          <w:p w14:paraId="380F245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37F31E1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0.26</w:t>
            </w:r>
          </w:p>
        </w:tc>
        <w:tc>
          <w:tcPr>
            <w:tcW w:w="0" w:type="auto"/>
            <w:noWrap/>
            <w:vAlign w:val="center"/>
          </w:tcPr>
          <w:p w14:paraId="04D5259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000F697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0.91</w:t>
            </w:r>
          </w:p>
        </w:tc>
        <w:tc>
          <w:tcPr>
            <w:tcW w:w="0" w:type="auto"/>
            <w:noWrap/>
            <w:vAlign w:val="center"/>
          </w:tcPr>
          <w:p w14:paraId="6A4DFE1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4D1A1FA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0.93</w:t>
            </w:r>
          </w:p>
        </w:tc>
        <w:tc>
          <w:tcPr>
            <w:tcW w:w="0" w:type="auto"/>
            <w:noWrap/>
            <w:vAlign w:val="center"/>
          </w:tcPr>
          <w:p w14:paraId="7E3D734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167D5A2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61F8ED9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5BF04F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199578</w:t>
            </w:r>
          </w:p>
        </w:tc>
        <w:tc>
          <w:tcPr>
            <w:tcW w:w="0" w:type="auto"/>
            <w:noWrap/>
            <w:vAlign w:val="center"/>
          </w:tcPr>
          <w:p w14:paraId="2C2DFBB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7B1DF3E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0.76</w:t>
            </w:r>
          </w:p>
        </w:tc>
        <w:tc>
          <w:tcPr>
            <w:tcW w:w="0" w:type="auto"/>
            <w:noWrap/>
            <w:vAlign w:val="center"/>
          </w:tcPr>
          <w:p w14:paraId="47235BC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33.52%</w:t>
            </w:r>
          </w:p>
        </w:tc>
        <w:tc>
          <w:tcPr>
            <w:tcW w:w="1323" w:type="dxa"/>
            <w:noWrap/>
            <w:vAlign w:val="center"/>
          </w:tcPr>
          <w:p w14:paraId="3285DB2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4.659%</w:t>
            </w:r>
          </w:p>
        </w:tc>
        <w:tc>
          <w:tcPr>
            <w:tcW w:w="850" w:type="dxa"/>
            <w:noWrap/>
            <w:vAlign w:val="center"/>
          </w:tcPr>
          <w:p w14:paraId="543567E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w:t>
            </w:r>
          </w:p>
        </w:tc>
      </w:tr>
      <w:tr w:rsidR="006D1C3F" w14:paraId="1AFC952E"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5FE1BEB2"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725DA9DF"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Bri-Lor</w:t>
            </w:r>
          </w:p>
        </w:tc>
        <w:tc>
          <w:tcPr>
            <w:tcW w:w="0" w:type="auto"/>
            <w:noWrap/>
            <w:vAlign w:val="center"/>
          </w:tcPr>
          <w:p w14:paraId="0E4ACFD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10.79</w:t>
            </w:r>
          </w:p>
        </w:tc>
        <w:tc>
          <w:tcPr>
            <w:tcW w:w="0" w:type="auto"/>
            <w:noWrap/>
            <w:vAlign w:val="center"/>
          </w:tcPr>
          <w:p w14:paraId="6714407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0.253</w:t>
            </w:r>
          </w:p>
        </w:tc>
        <w:tc>
          <w:tcPr>
            <w:tcW w:w="0" w:type="auto"/>
            <w:noWrap/>
            <w:vAlign w:val="center"/>
          </w:tcPr>
          <w:p w14:paraId="0EF9515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0.63</w:t>
            </w:r>
          </w:p>
        </w:tc>
        <w:tc>
          <w:tcPr>
            <w:tcW w:w="0" w:type="auto"/>
            <w:noWrap/>
            <w:vAlign w:val="center"/>
          </w:tcPr>
          <w:p w14:paraId="0DB2877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0.152</w:t>
            </w:r>
          </w:p>
        </w:tc>
        <w:tc>
          <w:tcPr>
            <w:tcW w:w="0" w:type="auto"/>
            <w:noWrap/>
            <w:vAlign w:val="center"/>
          </w:tcPr>
          <w:p w14:paraId="1502D82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w:t>
            </w:r>
          </w:p>
        </w:tc>
        <w:tc>
          <w:tcPr>
            <w:tcW w:w="0" w:type="auto"/>
            <w:noWrap/>
            <w:vAlign w:val="center"/>
          </w:tcPr>
          <w:p w14:paraId="292B7C2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0.167</w:t>
            </w:r>
          </w:p>
        </w:tc>
        <w:tc>
          <w:tcPr>
            <w:tcW w:w="0" w:type="auto"/>
            <w:noWrap/>
            <w:vAlign w:val="center"/>
          </w:tcPr>
          <w:p w14:paraId="0445D2A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0.65</w:t>
            </w:r>
          </w:p>
        </w:tc>
        <w:tc>
          <w:tcPr>
            <w:tcW w:w="0" w:type="auto"/>
            <w:noWrap/>
            <w:vAlign w:val="center"/>
          </w:tcPr>
          <w:p w14:paraId="05AF5A9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3333FBD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6C5274B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3255C25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170525</w:t>
            </w:r>
          </w:p>
        </w:tc>
        <w:tc>
          <w:tcPr>
            <w:tcW w:w="0" w:type="auto"/>
            <w:noWrap/>
            <w:vAlign w:val="center"/>
          </w:tcPr>
          <w:p w14:paraId="1F0C6BE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0.612</w:t>
            </w:r>
          </w:p>
        </w:tc>
        <w:tc>
          <w:tcPr>
            <w:tcW w:w="0" w:type="auto"/>
            <w:noWrap/>
            <w:vAlign w:val="center"/>
          </w:tcPr>
          <w:p w14:paraId="3A93510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0.32</w:t>
            </w:r>
          </w:p>
        </w:tc>
        <w:tc>
          <w:tcPr>
            <w:tcW w:w="0" w:type="auto"/>
            <w:noWrap/>
            <w:vAlign w:val="center"/>
          </w:tcPr>
          <w:p w14:paraId="409885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19.99%</w:t>
            </w:r>
          </w:p>
        </w:tc>
        <w:tc>
          <w:tcPr>
            <w:tcW w:w="1323" w:type="dxa"/>
            <w:noWrap/>
            <w:vAlign w:val="center"/>
          </w:tcPr>
          <w:p w14:paraId="3655111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2.363%</w:t>
            </w:r>
          </w:p>
        </w:tc>
        <w:tc>
          <w:tcPr>
            <w:tcW w:w="850" w:type="dxa"/>
            <w:noWrap/>
            <w:vAlign w:val="center"/>
          </w:tcPr>
          <w:p w14:paraId="787E291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w:t>
            </w:r>
          </w:p>
        </w:tc>
      </w:tr>
      <w:tr w:rsidR="006D1C3F" w14:paraId="7D165215"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6F3D68E"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337B056A"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Bri-Ale</w:t>
            </w:r>
          </w:p>
        </w:tc>
        <w:tc>
          <w:tcPr>
            <w:tcW w:w="0" w:type="auto"/>
            <w:noWrap/>
            <w:vAlign w:val="center"/>
          </w:tcPr>
          <w:p w14:paraId="118B88B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25.8</w:t>
            </w:r>
          </w:p>
        </w:tc>
        <w:tc>
          <w:tcPr>
            <w:tcW w:w="0" w:type="auto"/>
            <w:noWrap/>
            <w:vAlign w:val="center"/>
          </w:tcPr>
          <w:p w14:paraId="3108290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11A978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0.2527</w:t>
            </w:r>
          </w:p>
        </w:tc>
        <w:tc>
          <w:tcPr>
            <w:tcW w:w="0" w:type="auto"/>
            <w:noWrap/>
            <w:vAlign w:val="center"/>
          </w:tcPr>
          <w:p w14:paraId="143419C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DCD5A7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0.89</w:t>
            </w:r>
          </w:p>
        </w:tc>
        <w:tc>
          <w:tcPr>
            <w:tcW w:w="0" w:type="auto"/>
            <w:noWrap/>
            <w:vAlign w:val="center"/>
          </w:tcPr>
          <w:p w14:paraId="3A14F83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51829C5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0.82</w:t>
            </w:r>
          </w:p>
        </w:tc>
        <w:tc>
          <w:tcPr>
            <w:tcW w:w="0" w:type="auto"/>
            <w:noWrap/>
            <w:vAlign w:val="center"/>
          </w:tcPr>
          <w:p w14:paraId="1AB55B7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0.607</w:t>
            </w:r>
          </w:p>
        </w:tc>
        <w:tc>
          <w:tcPr>
            <w:tcW w:w="0" w:type="auto"/>
            <w:noWrap/>
            <w:vAlign w:val="center"/>
          </w:tcPr>
          <w:p w14:paraId="3A8319E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5286ABA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137430F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351779</w:t>
            </w:r>
          </w:p>
        </w:tc>
        <w:tc>
          <w:tcPr>
            <w:tcW w:w="0" w:type="auto"/>
            <w:noWrap/>
            <w:vAlign w:val="center"/>
          </w:tcPr>
          <w:p w14:paraId="6B871A8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391223C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0.72</w:t>
            </w:r>
          </w:p>
        </w:tc>
        <w:tc>
          <w:tcPr>
            <w:tcW w:w="0" w:type="auto"/>
            <w:noWrap/>
            <w:vAlign w:val="center"/>
          </w:tcPr>
          <w:p w14:paraId="07F38F0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29.80%</w:t>
            </w:r>
          </w:p>
        </w:tc>
        <w:tc>
          <w:tcPr>
            <w:tcW w:w="1323" w:type="dxa"/>
            <w:noWrap/>
            <w:vAlign w:val="center"/>
          </w:tcPr>
          <w:p w14:paraId="25C3553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3.524%</w:t>
            </w:r>
          </w:p>
        </w:tc>
        <w:tc>
          <w:tcPr>
            <w:tcW w:w="850" w:type="dxa"/>
            <w:noWrap/>
            <w:vAlign w:val="center"/>
          </w:tcPr>
          <w:p w14:paraId="51A9E07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8</w:t>
            </w:r>
          </w:p>
        </w:tc>
      </w:tr>
      <w:tr w:rsidR="006D1C3F" w14:paraId="352B71A3"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5C57E9B0"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33ACDABB"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Bri-Cer</w:t>
            </w:r>
          </w:p>
        </w:tc>
        <w:tc>
          <w:tcPr>
            <w:tcW w:w="0" w:type="auto"/>
            <w:noWrap/>
            <w:vAlign w:val="center"/>
          </w:tcPr>
          <w:p w14:paraId="095010F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5.73</w:t>
            </w:r>
          </w:p>
        </w:tc>
        <w:tc>
          <w:tcPr>
            <w:tcW w:w="0" w:type="auto"/>
            <w:noWrap/>
            <w:vAlign w:val="center"/>
          </w:tcPr>
          <w:p w14:paraId="5FA70C0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2685228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noWrap/>
            <w:vAlign w:val="center"/>
          </w:tcPr>
          <w:p w14:paraId="5C8AD2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54B03A4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07B8F15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5D0F62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noWrap/>
            <w:vAlign w:val="center"/>
          </w:tcPr>
          <w:p w14:paraId="32514E7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0.184</w:t>
            </w:r>
          </w:p>
        </w:tc>
        <w:tc>
          <w:tcPr>
            <w:tcW w:w="0" w:type="auto"/>
            <w:noWrap/>
            <w:vAlign w:val="center"/>
          </w:tcPr>
          <w:p w14:paraId="743D222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6854C92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17B4B40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55799</w:t>
            </w:r>
          </w:p>
        </w:tc>
        <w:tc>
          <w:tcPr>
            <w:tcW w:w="0" w:type="auto"/>
            <w:noWrap/>
            <w:vAlign w:val="center"/>
          </w:tcPr>
          <w:p w14:paraId="0A6C585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98631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0.30</w:t>
            </w:r>
          </w:p>
        </w:tc>
        <w:tc>
          <w:tcPr>
            <w:tcW w:w="0" w:type="auto"/>
            <w:noWrap/>
            <w:vAlign w:val="center"/>
          </w:tcPr>
          <w:p w14:paraId="2C1EA1E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19.52%</w:t>
            </w:r>
          </w:p>
        </w:tc>
        <w:tc>
          <w:tcPr>
            <w:tcW w:w="1323" w:type="dxa"/>
            <w:noWrap/>
            <w:vAlign w:val="center"/>
          </w:tcPr>
          <w:p w14:paraId="2E350A1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2.309%</w:t>
            </w:r>
          </w:p>
        </w:tc>
        <w:tc>
          <w:tcPr>
            <w:tcW w:w="850" w:type="dxa"/>
            <w:noWrap/>
            <w:vAlign w:val="center"/>
          </w:tcPr>
          <w:p w14:paraId="43D09D3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27</w:t>
            </w:r>
          </w:p>
        </w:tc>
      </w:tr>
      <w:tr w:rsidR="006D1C3F" w14:paraId="22643C30"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5EB35853"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21504763"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Bri-Ens</w:t>
            </w:r>
          </w:p>
        </w:tc>
        <w:tc>
          <w:tcPr>
            <w:tcW w:w="0" w:type="auto"/>
            <w:noWrap/>
            <w:vAlign w:val="center"/>
          </w:tcPr>
          <w:p w14:paraId="1FCF75A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20.0</w:t>
            </w:r>
          </w:p>
        </w:tc>
        <w:tc>
          <w:tcPr>
            <w:tcW w:w="0" w:type="auto"/>
            <w:noWrap/>
            <w:vAlign w:val="center"/>
          </w:tcPr>
          <w:p w14:paraId="74E0AB6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0.711</w:t>
            </w:r>
          </w:p>
        </w:tc>
        <w:tc>
          <w:tcPr>
            <w:tcW w:w="0" w:type="auto"/>
            <w:noWrap/>
            <w:vAlign w:val="center"/>
          </w:tcPr>
          <w:p w14:paraId="6A1D842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0.26</w:t>
            </w:r>
          </w:p>
        </w:tc>
        <w:tc>
          <w:tcPr>
            <w:tcW w:w="0" w:type="auto"/>
            <w:noWrap/>
            <w:vAlign w:val="center"/>
          </w:tcPr>
          <w:p w14:paraId="0963F3A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0.984</w:t>
            </w:r>
          </w:p>
        </w:tc>
        <w:tc>
          <w:tcPr>
            <w:tcW w:w="0" w:type="auto"/>
            <w:noWrap/>
            <w:vAlign w:val="center"/>
          </w:tcPr>
          <w:p w14:paraId="5A86666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0.91</w:t>
            </w:r>
          </w:p>
        </w:tc>
        <w:tc>
          <w:tcPr>
            <w:tcW w:w="0" w:type="auto"/>
            <w:noWrap/>
            <w:vAlign w:val="center"/>
          </w:tcPr>
          <w:p w14:paraId="7113E52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0.835</w:t>
            </w:r>
          </w:p>
        </w:tc>
        <w:tc>
          <w:tcPr>
            <w:tcW w:w="0" w:type="auto"/>
            <w:noWrap/>
            <w:vAlign w:val="center"/>
          </w:tcPr>
          <w:p w14:paraId="234B9BB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0.93</w:t>
            </w:r>
          </w:p>
        </w:tc>
        <w:tc>
          <w:tcPr>
            <w:tcW w:w="0" w:type="auto"/>
            <w:noWrap/>
            <w:vAlign w:val="center"/>
          </w:tcPr>
          <w:p w14:paraId="26A1369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11B8DFE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7C737E7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5C735E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199578</w:t>
            </w:r>
          </w:p>
        </w:tc>
        <w:tc>
          <w:tcPr>
            <w:tcW w:w="0" w:type="auto"/>
            <w:noWrap/>
            <w:vAlign w:val="center"/>
          </w:tcPr>
          <w:p w14:paraId="766BD23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0.514</w:t>
            </w:r>
          </w:p>
        </w:tc>
        <w:tc>
          <w:tcPr>
            <w:tcW w:w="0" w:type="auto"/>
            <w:noWrap/>
            <w:vAlign w:val="center"/>
          </w:tcPr>
          <w:p w14:paraId="216D104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0.75</w:t>
            </w:r>
          </w:p>
        </w:tc>
        <w:tc>
          <w:tcPr>
            <w:tcW w:w="0" w:type="auto"/>
            <w:noWrap/>
            <w:vAlign w:val="center"/>
          </w:tcPr>
          <w:p w14:paraId="701559F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30.69%</w:t>
            </w:r>
          </w:p>
        </w:tc>
        <w:tc>
          <w:tcPr>
            <w:tcW w:w="1323" w:type="dxa"/>
            <w:noWrap/>
            <w:vAlign w:val="center"/>
          </w:tcPr>
          <w:p w14:paraId="7E29361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3.629%</w:t>
            </w:r>
          </w:p>
        </w:tc>
        <w:tc>
          <w:tcPr>
            <w:tcW w:w="850" w:type="dxa"/>
            <w:noWrap/>
            <w:vAlign w:val="center"/>
          </w:tcPr>
          <w:p w14:paraId="0E0CF6C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6</w:t>
            </w:r>
          </w:p>
        </w:tc>
      </w:tr>
      <w:tr w:rsidR="006D1C3F" w14:paraId="1745BC8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7A65B5A1"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2AF5EA89"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Cer-Lor</w:t>
            </w:r>
          </w:p>
        </w:tc>
        <w:tc>
          <w:tcPr>
            <w:tcW w:w="0" w:type="auto"/>
            <w:noWrap/>
            <w:vAlign w:val="center"/>
          </w:tcPr>
          <w:p w14:paraId="373345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10.79</w:t>
            </w:r>
          </w:p>
        </w:tc>
        <w:tc>
          <w:tcPr>
            <w:tcW w:w="0" w:type="auto"/>
            <w:noWrap/>
            <w:vAlign w:val="center"/>
          </w:tcPr>
          <w:p w14:paraId="45091CD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09A34DE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0.63</w:t>
            </w:r>
          </w:p>
        </w:tc>
        <w:tc>
          <w:tcPr>
            <w:tcW w:w="0" w:type="auto"/>
            <w:noWrap/>
            <w:vAlign w:val="center"/>
          </w:tcPr>
          <w:p w14:paraId="58EF5CF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0.021</w:t>
            </w:r>
          </w:p>
        </w:tc>
        <w:tc>
          <w:tcPr>
            <w:tcW w:w="0" w:type="auto"/>
            <w:noWrap/>
            <w:vAlign w:val="center"/>
          </w:tcPr>
          <w:p w14:paraId="71CD903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w:t>
            </w:r>
          </w:p>
        </w:tc>
        <w:tc>
          <w:tcPr>
            <w:tcW w:w="0" w:type="auto"/>
            <w:noWrap/>
            <w:vAlign w:val="center"/>
          </w:tcPr>
          <w:p w14:paraId="7621B7A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0.167</w:t>
            </w:r>
          </w:p>
        </w:tc>
        <w:tc>
          <w:tcPr>
            <w:tcW w:w="0" w:type="auto"/>
            <w:noWrap/>
            <w:vAlign w:val="center"/>
          </w:tcPr>
          <w:p w14:paraId="068FC50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0.65</w:t>
            </w:r>
          </w:p>
        </w:tc>
        <w:tc>
          <w:tcPr>
            <w:tcW w:w="0" w:type="auto"/>
            <w:noWrap/>
            <w:vAlign w:val="center"/>
          </w:tcPr>
          <w:p w14:paraId="5485A5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2639A5D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0C9D1C8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025C299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170525</w:t>
            </w:r>
          </w:p>
        </w:tc>
        <w:tc>
          <w:tcPr>
            <w:tcW w:w="0" w:type="auto"/>
            <w:noWrap/>
            <w:vAlign w:val="center"/>
          </w:tcPr>
          <w:p w14:paraId="24B3F7F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73DB45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0.30</w:t>
            </w:r>
          </w:p>
        </w:tc>
        <w:tc>
          <w:tcPr>
            <w:tcW w:w="0" w:type="auto"/>
            <w:noWrap/>
            <w:vAlign w:val="center"/>
          </w:tcPr>
          <w:p w14:paraId="053BB7F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18.64%</w:t>
            </w:r>
          </w:p>
        </w:tc>
        <w:tc>
          <w:tcPr>
            <w:tcW w:w="1323" w:type="dxa"/>
            <w:noWrap/>
            <w:vAlign w:val="center"/>
          </w:tcPr>
          <w:p w14:paraId="5F0D09B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2.341%</w:t>
            </w:r>
          </w:p>
        </w:tc>
        <w:tc>
          <w:tcPr>
            <w:tcW w:w="850" w:type="dxa"/>
            <w:noWrap/>
            <w:vAlign w:val="center"/>
          </w:tcPr>
          <w:p w14:paraId="123BB2C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26</w:t>
            </w:r>
          </w:p>
        </w:tc>
      </w:tr>
      <w:tr w:rsidR="006D1C3F" w14:paraId="4318A3E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95E7124"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672753B5"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Cer-Ale</w:t>
            </w:r>
          </w:p>
        </w:tc>
        <w:tc>
          <w:tcPr>
            <w:tcW w:w="0" w:type="auto"/>
            <w:noWrap/>
            <w:vAlign w:val="center"/>
          </w:tcPr>
          <w:p w14:paraId="6AC33A9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25.76</w:t>
            </w:r>
          </w:p>
        </w:tc>
        <w:tc>
          <w:tcPr>
            <w:tcW w:w="0" w:type="auto"/>
            <w:noWrap/>
            <w:vAlign w:val="center"/>
          </w:tcPr>
          <w:p w14:paraId="5EABAC0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AF2E44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0.25</w:t>
            </w:r>
          </w:p>
        </w:tc>
        <w:tc>
          <w:tcPr>
            <w:tcW w:w="0" w:type="auto"/>
            <w:noWrap/>
            <w:vAlign w:val="center"/>
          </w:tcPr>
          <w:p w14:paraId="532C54E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6C2FFE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0.89</w:t>
            </w:r>
          </w:p>
        </w:tc>
        <w:tc>
          <w:tcPr>
            <w:tcW w:w="0" w:type="auto"/>
            <w:noWrap/>
            <w:vAlign w:val="center"/>
          </w:tcPr>
          <w:p w14:paraId="61E0522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5BB969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0.82</w:t>
            </w:r>
          </w:p>
        </w:tc>
        <w:tc>
          <w:tcPr>
            <w:tcW w:w="0" w:type="auto"/>
            <w:noWrap/>
            <w:vAlign w:val="center"/>
          </w:tcPr>
          <w:p w14:paraId="388C766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0.607</w:t>
            </w:r>
          </w:p>
        </w:tc>
        <w:tc>
          <w:tcPr>
            <w:tcW w:w="0" w:type="auto"/>
            <w:noWrap/>
            <w:vAlign w:val="center"/>
          </w:tcPr>
          <w:p w14:paraId="7FA6D73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3E9BEAC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E8A569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351779</w:t>
            </w:r>
          </w:p>
        </w:tc>
        <w:tc>
          <w:tcPr>
            <w:tcW w:w="0" w:type="auto"/>
            <w:noWrap/>
            <w:vAlign w:val="center"/>
          </w:tcPr>
          <w:p w14:paraId="1C29B71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07613F6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0.72</w:t>
            </w:r>
          </w:p>
        </w:tc>
        <w:tc>
          <w:tcPr>
            <w:tcW w:w="0" w:type="auto"/>
            <w:noWrap/>
            <w:vAlign w:val="center"/>
          </w:tcPr>
          <w:p w14:paraId="38CB052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28.34%</w:t>
            </w:r>
          </w:p>
        </w:tc>
        <w:tc>
          <w:tcPr>
            <w:tcW w:w="1323" w:type="dxa"/>
            <w:noWrap/>
            <w:vAlign w:val="center"/>
          </w:tcPr>
          <w:p w14:paraId="5F925B4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3.559%</w:t>
            </w:r>
          </w:p>
        </w:tc>
        <w:tc>
          <w:tcPr>
            <w:tcW w:w="850" w:type="dxa"/>
            <w:noWrap/>
            <w:vAlign w:val="center"/>
          </w:tcPr>
          <w:p w14:paraId="0CC3802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7</w:t>
            </w:r>
          </w:p>
        </w:tc>
      </w:tr>
      <w:tr w:rsidR="006D1C3F" w14:paraId="6AC376E2"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35483D3"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7C520440"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Cer-Bri</w:t>
            </w:r>
          </w:p>
        </w:tc>
        <w:tc>
          <w:tcPr>
            <w:tcW w:w="0" w:type="auto"/>
            <w:noWrap/>
            <w:vAlign w:val="center"/>
          </w:tcPr>
          <w:p w14:paraId="7179F9D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17.63</w:t>
            </w:r>
          </w:p>
        </w:tc>
        <w:tc>
          <w:tcPr>
            <w:tcW w:w="0" w:type="auto"/>
            <w:noWrap/>
            <w:vAlign w:val="center"/>
          </w:tcPr>
          <w:p w14:paraId="6F72B1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0.457</w:t>
            </w:r>
          </w:p>
        </w:tc>
        <w:tc>
          <w:tcPr>
            <w:tcW w:w="0" w:type="auto"/>
            <w:noWrap/>
            <w:vAlign w:val="center"/>
          </w:tcPr>
          <w:p w14:paraId="1E04FAB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0.64</w:t>
            </w:r>
          </w:p>
        </w:tc>
        <w:tc>
          <w:tcPr>
            <w:tcW w:w="0" w:type="auto"/>
            <w:noWrap/>
            <w:vAlign w:val="center"/>
          </w:tcPr>
          <w:p w14:paraId="4013552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40B6EA7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444D0E7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5B3129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0.79</w:t>
            </w:r>
          </w:p>
        </w:tc>
        <w:tc>
          <w:tcPr>
            <w:tcW w:w="0" w:type="auto"/>
            <w:noWrap/>
            <w:vAlign w:val="center"/>
          </w:tcPr>
          <w:p w14:paraId="081F474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0.504</w:t>
            </w:r>
          </w:p>
        </w:tc>
        <w:tc>
          <w:tcPr>
            <w:tcW w:w="0" w:type="auto"/>
            <w:noWrap/>
            <w:vAlign w:val="center"/>
          </w:tcPr>
          <w:p w14:paraId="32FDE8F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51DE85A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0BAF7B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179297</w:t>
            </w:r>
          </w:p>
        </w:tc>
        <w:tc>
          <w:tcPr>
            <w:tcW w:w="0" w:type="auto"/>
            <w:noWrap/>
            <w:vAlign w:val="center"/>
          </w:tcPr>
          <w:p w14:paraId="7FBD23D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0.952</w:t>
            </w:r>
          </w:p>
        </w:tc>
        <w:tc>
          <w:tcPr>
            <w:tcW w:w="0" w:type="auto"/>
            <w:noWrap/>
            <w:vAlign w:val="center"/>
          </w:tcPr>
          <w:p w14:paraId="161476C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0.49</w:t>
            </w:r>
          </w:p>
        </w:tc>
        <w:tc>
          <w:tcPr>
            <w:tcW w:w="0" w:type="auto"/>
            <w:noWrap/>
            <w:vAlign w:val="center"/>
          </w:tcPr>
          <w:p w14:paraId="2A1C6B9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22.63%</w:t>
            </w:r>
          </w:p>
        </w:tc>
        <w:tc>
          <w:tcPr>
            <w:tcW w:w="1323" w:type="dxa"/>
            <w:noWrap/>
            <w:vAlign w:val="center"/>
          </w:tcPr>
          <w:p w14:paraId="1F58FA9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2.842%</w:t>
            </w:r>
          </w:p>
        </w:tc>
        <w:tc>
          <w:tcPr>
            <w:tcW w:w="850" w:type="dxa"/>
            <w:noWrap/>
            <w:vAlign w:val="center"/>
          </w:tcPr>
          <w:p w14:paraId="33915DA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17</w:t>
            </w:r>
          </w:p>
        </w:tc>
      </w:tr>
      <w:tr w:rsidR="006D1C3F" w14:paraId="770ADC6E"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7B4AF6A"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19BA6441"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Cer-Ens</w:t>
            </w:r>
          </w:p>
        </w:tc>
        <w:tc>
          <w:tcPr>
            <w:tcW w:w="0" w:type="auto"/>
            <w:noWrap/>
            <w:vAlign w:val="center"/>
          </w:tcPr>
          <w:p w14:paraId="1EA4D6E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20.0</w:t>
            </w:r>
          </w:p>
        </w:tc>
        <w:tc>
          <w:tcPr>
            <w:tcW w:w="0" w:type="auto"/>
            <w:noWrap/>
            <w:vAlign w:val="center"/>
          </w:tcPr>
          <w:p w14:paraId="34D5F64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0.613</w:t>
            </w:r>
          </w:p>
        </w:tc>
        <w:tc>
          <w:tcPr>
            <w:tcW w:w="0" w:type="auto"/>
            <w:noWrap/>
            <w:vAlign w:val="center"/>
          </w:tcPr>
          <w:p w14:paraId="0F54B8E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0.26</w:t>
            </w:r>
          </w:p>
        </w:tc>
        <w:tc>
          <w:tcPr>
            <w:tcW w:w="0" w:type="auto"/>
            <w:noWrap/>
            <w:vAlign w:val="center"/>
          </w:tcPr>
          <w:p w14:paraId="40469D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0.981</w:t>
            </w:r>
          </w:p>
        </w:tc>
        <w:tc>
          <w:tcPr>
            <w:tcW w:w="0" w:type="auto"/>
            <w:noWrap/>
            <w:vAlign w:val="center"/>
          </w:tcPr>
          <w:p w14:paraId="700DB14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0.91</w:t>
            </w:r>
          </w:p>
        </w:tc>
        <w:tc>
          <w:tcPr>
            <w:tcW w:w="0" w:type="auto"/>
            <w:noWrap/>
            <w:vAlign w:val="center"/>
          </w:tcPr>
          <w:p w14:paraId="5857830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0.835</w:t>
            </w:r>
          </w:p>
        </w:tc>
        <w:tc>
          <w:tcPr>
            <w:tcW w:w="0" w:type="auto"/>
            <w:noWrap/>
            <w:vAlign w:val="center"/>
          </w:tcPr>
          <w:p w14:paraId="304A9C4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0.93</w:t>
            </w:r>
          </w:p>
        </w:tc>
        <w:tc>
          <w:tcPr>
            <w:tcW w:w="0" w:type="auto"/>
            <w:noWrap/>
            <w:vAlign w:val="center"/>
          </w:tcPr>
          <w:p w14:paraId="395934F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E52C3C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382D520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3DB1B5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199578</w:t>
            </w:r>
          </w:p>
        </w:tc>
        <w:tc>
          <w:tcPr>
            <w:tcW w:w="0" w:type="auto"/>
            <w:noWrap/>
            <w:vAlign w:val="center"/>
          </w:tcPr>
          <w:p w14:paraId="6595AE2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0.840</w:t>
            </w:r>
          </w:p>
        </w:tc>
        <w:tc>
          <w:tcPr>
            <w:tcW w:w="0" w:type="auto"/>
            <w:noWrap/>
            <w:vAlign w:val="center"/>
          </w:tcPr>
          <w:p w14:paraId="3A48267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0.79</w:t>
            </w:r>
          </w:p>
        </w:tc>
        <w:tc>
          <w:tcPr>
            <w:tcW w:w="0" w:type="auto"/>
            <w:noWrap/>
            <w:vAlign w:val="center"/>
          </w:tcPr>
          <w:p w14:paraId="7CF800C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30.39%</w:t>
            </w:r>
          </w:p>
        </w:tc>
        <w:tc>
          <w:tcPr>
            <w:tcW w:w="1323" w:type="dxa"/>
            <w:noWrap/>
            <w:vAlign w:val="center"/>
          </w:tcPr>
          <w:p w14:paraId="514223C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3.817%</w:t>
            </w:r>
          </w:p>
        </w:tc>
        <w:tc>
          <w:tcPr>
            <w:tcW w:w="850" w:type="dxa"/>
            <w:noWrap/>
            <w:vAlign w:val="center"/>
          </w:tcPr>
          <w:p w14:paraId="7162D17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5</w:t>
            </w:r>
          </w:p>
        </w:tc>
      </w:tr>
      <w:tr w:rsidR="006D1C3F" w14:paraId="28FA3334"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76B76144"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741B70E6"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Ens-Lor</w:t>
            </w:r>
          </w:p>
        </w:tc>
        <w:tc>
          <w:tcPr>
            <w:tcW w:w="0" w:type="auto"/>
            <w:noWrap/>
            <w:vAlign w:val="center"/>
          </w:tcPr>
          <w:p w14:paraId="5BC729D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10.79</w:t>
            </w:r>
          </w:p>
        </w:tc>
        <w:tc>
          <w:tcPr>
            <w:tcW w:w="0" w:type="auto"/>
            <w:noWrap/>
            <w:vAlign w:val="center"/>
          </w:tcPr>
          <w:p w14:paraId="029D8B9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0.253</w:t>
            </w:r>
          </w:p>
        </w:tc>
        <w:tc>
          <w:tcPr>
            <w:tcW w:w="0" w:type="auto"/>
            <w:noWrap/>
            <w:vAlign w:val="center"/>
          </w:tcPr>
          <w:p w14:paraId="7101730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0.63</w:t>
            </w:r>
          </w:p>
        </w:tc>
        <w:tc>
          <w:tcPr>
            <w:tcW w:w="0" w:type="auto"/>
            <w:noWrap/>
            <w:vAlign w:val="center"/>
          </w:tcPr>
          <w:p w14:paraId="5FA5C1F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0.152</w:t>
            </w:r>
          </w:p>
        </w:tc>
        <w:tc>
          <w:tcPr>
            <w:tcW w:w="0" w:type="auto"/>
            <w:noWrap/>
            <w:vAlign w:val="center"/>
          </w:tcPr>
          <w:p w14:paraId="750EC79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w:t>
            </w:r>
          </w:p>
        </w:tc>
        <w:tc>
          <w:tcPr>
            <w:tcW w:w="0" w:type="auto"/>
            <w:noWrap/>
            <w:vAlign w:val="center"/>
          </w:tcPr>
          <w:p w14:paraId="530CDCA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0.167</w:t>
            </w:r>
          </w:p>
        </w:tc>
        <w:tc>
          <w:tcPr>
            <w:tcW w:w="0" w:type="auto"/>
            <w:noWrap/>
            <w:vAlign w:val="center"/>
          </w:tcPr>
          <w:p w14:paraId="2F79CE0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0.65</w:t>
            </w:r>
          </w:p>
        </w:tc>
        <w:tc>
          <w:tcPr>
            <w:tcW w:w="0" w:type="auto"/>
            <w:noWrap/>
            <w:vAlign w:val="center"/>
          </w:tcPr>
          <w:p w14:paraId="6EE0E6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44F05EC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54700E4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9E0461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170525</w:t>
            </w:r>
          </w:p>
        </w:tc>
        <w:tc>
          <w:tcPr>
            <w:tcW w:w="0" w:type="auto"/>
            <w:noWrap/>
            <w:vAlign w:val="center"/>
          </w:tcPr>
          <w:p w14:paraId="5BED656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0.612</w:t>
            </w:r>
          </w:p>
        </w:tc>
        <w:tc>
          <w:tcPr>
            <w:tcW w:w="0" w:type="auto"/>
            <w:noWrap/>
            <w:vAlign w:val="center"/>
          </w:tcPr>
          <w:p w14:paraId="3D56F4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0.32</w:t>
            </w:r>
          </w:p>
        </w:tc>
        <w:tc>
          <w:tcPr>
            <w:tcW w:w="0" w:type="auto"/>
            <w:noWrap/>
            <w:vAlign w:val="center"/>
          </w:tcPr>
          <w:p w14:paraId="4BE46BE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21.08%</w:t>
            </w:r>
          </w:p>
        </w:tc>
        <w:tc>
          <w:tcPr>
            <w:tcW w:w="1323" w:type="dxa"/>
            <w:noWrap/>
            <w:vAlign w:val="center"/>
          </w:tcPr>
          <w:p w14:paraId="150C490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2.746%</w:t>
            </w:r>
          </w:p>
        </w:tc>
        <w:tc>
          <w:tcPr>
            <w:tcW w:w="850" w:type="dxa"/>
            <w:noWrap/>
            <w:vAlign w:val="center"/>
          </w:tcPr>
          <w:p w14:paraId="135B19D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18</w:t>
            </w:r>
          </w:p>
        </w:tc>
      </w:tr>
      <w:tr w:rsidR="006D1C3F" w14:paraId="429D33C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18B2849"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72953C8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Ens-Ale</w:t>
            </w:r>
          </w:p>
        </w:tc>
        <w:tc>
          <w:tcPr>
            <w:tcW w:w="0" w:type="auto"/>
            <w:noWrap/>
            <w:vAlign w:val="center"/>
          </w:tcPr>
          <w:p w14:paraId="6240EAB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25.76</w:t>
            </w:r>
          </w:p>
        </w:tc>
        <w:tc>
          <w:tcPr>
            <w:tcW w:w="0" w:type="auto"/>
            <w:noWrap/>
            <w:vAlign w:val="center"/>
          </w:tcPr>
          <w:p w14:paraId="6F79C4F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D876C4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0.25</w:t>
            </w:r>
          </w:p>
        </w:tc>
        <w:tc>
          <w:tcPr>
            <w:tcW w:w="0" w:type="auto"/>
            <w:noWrap/>
            <w:vAlign w:val="center"/>
          </w:tcPr>
          <w:p w14:paraId="3F51297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7B0C65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0.89</w:t>
            </w:r>
          </w:p>
        </w:tc>
        <w:tc>
          <w:tcPr>
            <w:tcW w:w="0" w:type="auto"/>
            <w:noWrap/>
            <w:vAlign w:val="center"/>
          </w:tcPr>
          <w:p w14:paraId="43B6116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3AC7A5A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0.82</w:t>
            </w:r>
          </w:p>
        </w:tc>
        <w:tc>
          <w:tcPr>
            <w:tcW w:w="0" w:type="auto"/>
            <w:noWrap/>
            <w:vAlign w:val="center"/>
          </w:tcPr>
          <w:p w14:paraId="182A680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DE4EFF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42D79FE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51DC5A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351779</w:t>
            </w:r>
          </w:p>
        </w:tc>
        <w:tc>
          <w:tcPr>
            <w:tcW w:w="0" w:type="auto"/>
            <w:noWrap/>
            <w:vAlign w:val="center"/>
          </w:tcPr>
          <w:p w14:paraId="4234204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64C7661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0.76</w:t>
            </w:r>
          </w:p>
        </w:tc>
        <w:tc>
          <w:tcPr>
            <w:tcW w:w="0" w:type="auto"/>
            <w:noWrap/>
            <w:vAlign w:val="center"/>
          </w:tcPr>
          <w:p w14:paraId="50A4447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32.68%</w:t>
            </w:r>
          </w:p>
        </w:tc>
        <w:tc>
          <w:tcPr>
            <w:tcW w:w="1323" w:type="dxa"/>
            <w:noWrap/>
            <w:vAlign w:val="center"/>
          </w:tcPr>
          <w:p w14:paraId="48E3675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4.256%</w:t>
            </w:r>
          </w:p>
        </w:tc>
        <w:tc>
          <w:tcPr>
            <w:tcW w:w="850" w:type="dxa"/>
            <w:noWrap/>
            <w:vAlign w:val="center"/>
          </w:tcPr>
          <w:p w14:paraId="570053D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w:t>
            </w:r>
          </w:p>
        </w:tc>
      </w:tr>
      <w:tr w:rsidR="006D1C3F" w14:paraId="5421A1B4"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3D81683"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33E4626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Ens-Bri</w:t>
            </w:r>
          </w:p>
        </w:tc>
        <w:tc>
          <w:tcPr>
            <w:tcW w:w="0" w:type="auto"/>
            <w:noWrap/>
            <w:vAlign w:val="center"/>
          </w:tcPr>
          <w:p w14:paraId="5BA0CA5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17.63</w:t>
            </w:r>
          </w:p>
        </w:tc>
        <w:tc>
          <w:tcPr>
            <w:tcW w:w="0" w:type="auto"/>
            <w:noWrap/>
            <w:vAlign w:val="center"/>
          </w:tcPr>
          <w:p w14:paraId="427F1DC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0.594</w:t>
            </w:r>
          </w:p>
        </w:tc>
        <w:tc>
          <w:tcPr>
            <w:tcW w:w="0" w:type="auto"/>
            <w:noWrap/>
            <w:vAlign w:val="center"/>
          </w:tcPr>
          <w:p w14:paraId="21A75C8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0.64</w:t>
            </w:r>
          </w:p>
        </w:tc>
        <w:tc>
          <w:tcPr>
            <w:tcW w:w="0" w:type="auto"/>
            <w:noWrap/>
            <w:vAlign w:val="center"/>
          </w:tcPr>
          <w:p w14:paraId="2C946D3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0.134</w:t>
            </w:r>
          </w:p>
        </w:tc>
        <w:tc>
          <w:tcPr>
            <w:tcW w:w="0" w:type="auto"/>
            <w:noWrap/>
            <w:vAlign w:val="center"/>
          </w:tcPr>
          <w:p w14:paraId="552EEB9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040FD49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6E5AB60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0.79</w:t>
            </w:r>
          </w:p>
        </w:tc>
        <w:tc>
          <w:tcPr>
            <w:tcW w:w="0" w:type="auto"/>
            <w:noWrap/>
            <w:vAlign w:val="center"/>
          </w:tcPr>
          <w:p w14:paraId="29065EA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0.829</w:t>
            </w:r>
          </w:p>
        </w:tc>
        <w:tc>
          <w:tcPr>
            <w:tcW w:w="0" w:type="auto"/>
            <w:noWrap/>
            <w:vAlign w:val="center"/>
          </w:tcPr>
          <w:p w14:paraId="746AB96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3D58C61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11B3660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179297</w:t>
            </w:r>
          </w:p>
        </w:tc>
        <w:tc>
          <w:tcPr>
            <w:tcW w:w="0" w:type="auto"/>
            <w:noWrap/>
            <w:vAlign w:val="center"/>
          </w:tcPr>
          <w:p w14:paraId="2A5CD01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0.583</w:t>
            </w:r>
          </w:p>
        </w:tc>
        <w:tc>
          <w:tcPr>
            <w:tcW w:w="0" w:type="auto"/>
            <w:noWrap/>
            <w:vAlign w:val="center"/>
          </w:tcPr>
          <w:p w14:paraId="45A7BDC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0.50</w:t>
            </w:r>
          </w:p>
        </w:tc>
        <w:tc>
          <w:tcPr>
            <w:tcW w:w="0" w:type="auto"/>
            <w:noWrap/>
            <w:vAlign w:val="center"/>
          </w:tcPr>
          <w:p w14:paraId="4F28305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25.39%</w:t>
            </w:r>
          </w:p>
        </w:tc>
        <w:tc>
          <w:tcPr>
            <w:tcW w:w="1323" w:type="dxa"/>
            <w:noWrap/>
            <w:vAlign w:val="center"/>
          </w:tcPr>
          <w:p w14:paraId="53D36A8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3.307%</w:t>
            </w:r>
          </w:p>
        </w:tc>
        <w:tc>
          <w:tcPr>
            <w:tcW w:w="850" w:type="dxa"/>
            <w:noWrap/>
            <w:vAlign w:val="center"/>
          </w:tcPr>
          <w:p w14:paraId="70AA664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11</w:t>
            </w:r>
          </w:p>
        </w:tc>
      </w:tr>
      <w:tr w:rsidR="006D1C3F" w14:paraId="3634623F"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9456B5B"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67344A4A"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Ens-Cer</w:t>
            </w:r>
          </w:p>
        </w:tc>
        <w:tc>
          <w:tcPr>
            <w:tcW w:w="0" w:type="auto"/>
            <w:noWrap/>
            <w:vAlign w:val="center"/>
          </w:tcPr>
          <w:p w14:paraId="5C12D69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5.73</w:t>
            </w:r>
          </w:p>
        </w:tc>
        <w:tc>
          <w:tcPr>
            <w:tcW w:w="0" w:type="auto"/>
            <w:noWrap/>
            <w:vAlign w:val="center"/>
          </w:tcPr>
          <w:p w14:paraId="59C04E2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4183177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noWrap/>
            <w:vAlign w:val="center"/>
          </w:tcPr>
          <w:p w14:paraId="5D272BC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42C685E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550C7D6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5B33F45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noWrap/>
            <w:vAlign w:val="center"/>
          </w:tcPr>
          <w:p w14:paraId="7331AD9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0.304</w:t>
            </w:r>
          </w:p>
        </w:tc>
        <w:tc>
          <w:tcPr>
            <w:tcW w:w="0" w:type="auto"/>
            <w:noWrap/>
            <w:vAlign w:val="center"/>
          </w:tcPr>
          <w:p w14:paraId="53DD104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62C599C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51AA47E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55799</w:t>
            </w:r>
          </w:p>
        </w:tc>
        <w:tc>
          <w:tcPr>
            <w:tcW w:w="0" w:type="auto"/>
            <w:noWrap/>
            <w:vAlign w:val="center"/>
          </w:tcPr>
          <w:p w14:paraId="0C95617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59C9692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0.31</w:t>
            </w:r>
          </w:p>
        </w:tc>
        <w:tc>
          <w:tcPr>
            <w:tcW w:w="0" w:type="auto"/>
            <w:noWrap/>
            <w:vAlign w:val="center"/>
          </w:tcPr>
          <w:p w14:paraId="1ED2C85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20.84%</w:t>
            </w:r>
          </w:p>
        </w:tc>
        <w:tc>
          <w:tcPr>
            <w:tcW w:w="1323" w:type="dxa"/>
            <w:noWrap/>
            <w:vAlign w:val="center"/>
          </w:tcPr>
          <w:p w14:paraId="175D8C8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2.714%</w:t>
            </w:r>
          </w:p>
        </w:tc>
        <w:tc>
          <w:tcPr>
            <w:tcW w:w="850" w:type="dxa"/>
            <w:noWrap/>
            <w:vAlign w:val="center"/>
          </w:tcPr>
          <w:p w14:paraId="7AE4CA5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19</w:t>
            </w:r>
          </w:p>
        </w:tc>
      </w:tr>
      <w:tr w:rsidR="006D1C3F" w14:paraId="311AF6C2"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12A9EC85"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1BE377CB"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Env-Lor</w:t>
            </w:r>
          </w:p>
        </w:tc>
        <w:tc>
          <w:tcPr>
            <w:tcW w:w="0" w:type="auto"/>
            <w:noWrap/>
            <w:vAlign w:val="center"/>
          </w:tcPr>
          <w:p w14:paraId="0077798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10.79</w:t>
            </w:r>
          </w:p>
        </w:tc>
        <w:tc>
          <w:tcPr>
            <w:tcW w:w="0" w:type="auto"/>
            <w:noWrap/>
            <w:vAlign w:val="center"/>
          </w:tcPr>
          <w:p w14:paraId="027E985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0.355</w:t>
            </w:r>
          </w:p>
        </w:tc>
        <w:tc>
          <w:tcPr>
            <w:tcW w:w="0" w:type="auto"/>
            <w:noWrap/>
            <w:vAlign w:val="center"/>
          </w:tcPr>
          <w:p w14:paraId="4DA65EE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0.63</w:t>
            </w:r>
          </w:p>
        </w:tc>
        <w:tc>
          <w:tcPr>
            <w:tcW w:w="0" w:type="auto"/>
            <w:noWrap/>
            <w:vAlign w:val="center"/>
          </w:tcPr>
          <w:p w14:paraId="029486F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0.155</w:t>
            </w:r>
          </w:p>
        </w:tc>
        <w:tc>
          <w:tcPr>
            <w:tcW w:w="0" w:type="auto"/>
            <w:noWrap/>
            <w:vAlign w:val="center"/>
          </w:tcPr>
          <w:p w14:paraId="170AB3A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0.98</w:t>
            </w:r>
          </w:p>
        </w:tc>
        <w:tc>
          <w:tcPr>
            <w:tcW w:w="0" w:type="auto"/>
            <w:noWrap/>
            <w:vAlign w:val="center"/>
          </w:tcPr>
          <w:p w14:paraId="109B0C8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0.200</w:t>
            </w:r>
          </w:p>
        </w:tc>
        <w:tc>
          <w:tcPr>
            <w:tcW w:w="0" w:type="auto"/>
            <w:noWrap/>
            <w:vAlign w:val="center"/>
          </w:tcPr>
          <w:p w14:paraId="273C4F0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0.65</w:t>
            </w:r>
          </w:p>
        </w:tc>
        <w:tc>
          <w:tcPr>
            <w:tcW w:w="0" w:type="auto"/>
            <w:noWrap/>
            <w:vAlign w:val="center"/>
          </w:tcPr>
          <w:p w14:paraId="4FB01A3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31EB11B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2214645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035B226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170525</w:t>
            </w:r>
          </w:p>
        </w:tc>
        <w:tc>
          <w:tcPr>
            <w:tcW w:w="0" w:type="auto"/>
            <w:noWrap/>
            <w:vAlign w:val="center"/>
          </w:tcPr>
          <w:p w14:paraId="5A444C8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0.202</w:t>
            </w:r>
          </w:p>
        </w:tc>
        <w:tc>
          <w:tcPr>
            <w:tcW w:w="0" w:type="auto"/>
            <w:noWrap/>
            <w:vAlign w:val="center"/>
          </w:tcPr>
          <w:p w14:paraId="0938688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0.26</w:t>
            </w:r>
          </w:p>
        </w:tc>
        <w:tc>
          <w:tcPr>
            <w:tcW w:w="0" w:type="auto"/>
            <w:noWrap/>
            <w:vAlign w:val="center"/>
          </w:tcPr>
          <w:p w14:paraId="540DDCB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20.46%</w:t>
            </w:r>
          </w:p>
        </w:tc>
        <w:tc>
          <w:tcPr>
            <w:tcW w:w="1323" w:type="dxa"/>
            <w:noWrap/>
            <w:vAlign w:val="center"/>
          </w:tcPr>
          <w:p w14:paraId="32D8B5F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2.513%</w:t>
            </w:r>
          </w:p>
        </w:tc>
        <w:tc>
          <w:tcPr>
            <w:tcW w:w="850" w:type="dxa"/>
            <w:noWrap/>
            <w:vAlign w:val="center"/>
          </w:tcPr>
          <w:p w14:paraId="3EC89C2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23</w:t>
            </w:r>
          </w:p>
        </w:tc>
      </w:tr>
      <w:tr w:rsidR="006D1C3F" w14:paraId="0B014CCD"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7279369B"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2F30D91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Env-Bri</w:t>
            </w:r>
          </w:p>
        </w:tc>
        <w:tc>
          <w:tcPr>
            <w:tcW w:w="0" w:type="auto"/>
            <w:noWrap/>
            <w:vAlign w:val="center"/>
          </w:tcPr>
          <w:p w14:paraId="0005EA4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17.63</w:t>
            </w:r>
          </w:p>
        </w:tc>
        <w:tc>
          <w:tcPr>
            <w:tcW w:w="0" w:type="auto"/>
            <w:noWrap/>
            <w:vAlign w:val="center"/>
          </w:tcPr>
          <w:p w14:paraId="7DFA71B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0.836</w:t>
            </w:r>
          </w:p>
        </w:tc>
        <w:tc>
          <w:tcPr>
            <w:tcW w:w="0" w:type="auto"/>
            <w:noWrap/>
            <w:vAlign w:val="center"/>
          </w:tcPr>
          <w:p w14:paraId="0BE9B9A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0.64</w:t>
            </w:r>
          </w:p>
        </w:tc>
        <w:tc>
          <w:tcPr>
            <w:tcW w:w="0" w:type="auto"/>
            <w:noWrap/>
            <w:vAlign w:val="center"/>
          </w:tcPr>
          <w:p w14:paraId="2084DFA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0.136</w:t>
            </w:r>
          </w:p>
        </w:tc>
        <w:tc>
          <w:tcPr>
            <w:tcW w:w="0" w:type="auto"/>
            <w:noWrap/>
            <w:vAlign w:val="center"/>
          </w:tcPr>
          <w:p w14:paraId="248550F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298066F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3DFA7A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0.79</w:t>
            </w:r>
          </w:p>
        </w:tc>
        <w:tc>
          <w:tcPr>
            <w:tcW w:w="0" w:type="auto"/>
            <w:noWrap/>
            <w:vAlign w:val="center"/>
          </w:tcPr>
          <w:p w14:paraId="4D2EF56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0.504</w:t>
            </w:r>
          </w:p>
        </w:tc>
        <w:tc>
          <w:tcPr>
            <w:tcW w:w="0" w:type="auto"/>
            <w:noWrap/>
            <w:vAlign w:val="center"/>
          </w:tcPr>
          <w:p w14:paraId="1D8877F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176DE2A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D9D81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179297</w:t>
            </w:r>
          </w:p>
        </w:tc>
        <w:tc>
          <w:tcPr>
            <w:tcW w:w="0" w:type="auto"/>
            <w:noWrap/>
            <w:vAlign w:val="center"/>
          </w:tcPr>
          <w:p w14:paraId="4E81D5B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0.141</w:t>
            </w:r>
          </w:p>
        </w:tc>
        <w:tc>
          <w:tcPr>
            <w:tcW w:w="0" w:type="auto"/>
            <w:noWrap/>
            <w:vAlign w:val="center"/>
          </w:tcPr>
          <w:p w14:paraId="65F0FF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0.46</w:t>
            </w:r>
          </w:p>
        </w:tc>
        <w:tc>
          <w:tcPr>
            <w:tcW w:w="0" w:type="auto"/>
            <w:noWrap/>
            <w:vAlign w:val="center"/>
          </w:tcPr>
          <w:p w14:paraId="69956D9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24.90%</w:t>
            </w:r>
          </w:p>
        </w:tc>
        <w:tc>
          <w:tcPr>
            <w:tcW w:w="1323" w:type="dxa"/>
            <w:noWrap/>
            <w:vAlign w:val="center"/>
          </w:tcPr>
          <w:p w14:paraId="249A610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3.059%</w:t>
            </w:r>
          </w:p>
        </w:tc>
        <w:tc>
          <w:tcPr>
            <w:tcW w:w="850" w:type="dxa"/>
            <w:noWrap/>
            <w:vAlign w:val="center"/>
          </w:tcPr>
          <w:p w14:paraId="5188DFD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13</w:t>
            </w:r>
          </w:p>
        </w:tc>
      </w:tr>
      <w:tr w:rsidR="006D1C3F" w14:paraId="156107F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BEBFF55"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37AF35D3"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Env-Cer</w:t>
            </w:r>
          </w:p>
        </w:tc>
        <w:tc>
          <w:tcPr>
            <w:tcW w:w="0" w:type="auto"/>
            <w:noWrap/>
            <w:vAlign w:val="center"/>
          </w:tcPr>
          <w:p w14:paraId="57B0A03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5.73</w:t>
            </w:r>
          </w:p>
        </w:tc>
        <w:tc>
          <w:tcPr>
            <w:tcW w:w="0" w:type="auto"/>
            <w:noWrap/>
            <w:vAlign w:val="center"/>
          </w:tcPr>
          <w:p w14:paraId="2E00340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58D8D1A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noWrap/>
            <w:vAlign w:val="center"/>
          </w:tcPr>
          <w:p w14:paraId="10EFB6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5741ED3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1736232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12F0918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noWrap/>
            <w:vAlign w:val="center"/>
          </w:tcPr>
          <w:p w14:paraId="320AA3A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0.184</w:t>
            </w:r>
          </w:p>
        </w:tc>
        <w:tc>
          <w:tcPr>
            <w:tcW w:w="0" w:type="auto"/>
            <w:noWrap/>
            <w:vAlign w:val="center"/>
          </w:tcPr>
          <w:p w14:paraId="5D353AC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5E1D8AF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E69CE7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55799</w:t>
            </w:r>
          </w:p>
        </w:tc>
        <w:tc>
          <w:tcPr>
            <w:tcW w:w="0" w:type="auto"/>
            <w:noWrap/>
            <w:vAlign w:val="center"/>
          </w:tcPr>
          <w:p w14:paraId="2C21D0A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84E0CA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0.30</w:t>
            </w:r>
          </w:p>
        </w:tc>
        <w:tc>
          <w:tcPr>
            <w:tcW w:w="0" w:type="auto"/>
            <w:noWrap/>
            <w:vAlign w:val="center"/>
          </w:tcPr>
          <w:p w14:paraId="5547494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21.12%</w:t>
            </w:r>
          </w:p>
        </w:tc>
        <w:tc>
          <w:tcPr>
            <w:tcW w:w="1323" w:type="dxa"/>
            <w:noWrap/>
            <w:vAlign w:val="center"/>
          </w:tcPr>
          <w:p w14:paraId="2AD37CB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2.595%</w:t>
            </w:r>
          </w:p>
        </w:tc>
        <w:tc>
          <w:tcPr>
            <w:tcW w:w="850" w:type="dxa"/>
            <w:noWrap/>
            <w:vAlign w:val="center"/>
          </w:tcPr>
          <w:p w14:paraId="0E635FD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20</w:t>
            </w:r>
          </w:p>
        </w:tc>
      </w:tr>
      <w:tr w:rsidR="006D1C3F" w14:paraId="498C7127"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67B3312"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7F63170C"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Env-Ens</w:t>
            </w:r>
          </w:p>
        </w:tc>
        <w:tc>
          <w:tcPr>
            <w:tcW w:w="0" w:type="auto"/>
            <w:noWrap/>
            <w:vAlign w:val="center"/>
          </w:tcPr>
          <w:p w14:paraId="17781B9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19.97</w:t>
            </w:r>
          </w:p>
        </w:tc>
        <w:tc>
          <w:tcPr>
            <w:tcW w:w="0" w:type="auto"/>
            <w:noWrap/>
            <w:vAlign w:val="center"/>
          </w:tcPr>
          <w:p w14:paraId="75C6A5C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0D19E4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0.26</w:t>
            </w:r>
          </w:p>
        </w:tc>
        <w:tc>
          <w:tcPr>
            <w:tcW w:w="0" w:type="auto"/>
            <w:noWrap/>
            <w:vAlign w:val="center"/>
          </w:tcPr>
          <w:p w14:paraId="64B2CB0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3A23002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0.91</w:t>
            </w:r>
          </w:p>
        </w:tc>
        <w:tc>
          <w:tcPr>
            <w:tcW w:w="0" w:type="auto"/>
            <w:noWrap/>
            <w:vAlign w:val="center"/>
          </w:tcPr>
          <w:p w14:paraId="6BCA2F6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468AAFE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0.93</w:t>
            </w:r>
          </w:p>
        </w:tc>
        <w:tc>
          <w:tcPr>
            <w:tcW w:w="0" w:type="auto"/>
            <w:noWrap/>
            <w:vAlign w:val="center"/>
          </w:tcPr>
          <w:p w14:paraId="518B376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4D9B91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0F9DC00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31DCBA3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199578</w:t>
            </w:r>
          </w:p>
        </w:tc>
        <w:tc>
          <w:tcPr>
            <w:tcW w:w="0" w:type="auto"/>
            <w:noWrap/>
            <w:vAlign w:val="center"/>
          </w:tcPr>
          <w:p w14:paraId="7BE18D0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16EB26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0.76</w:t>
            </w:r>
          </w:p>
        </w:tc>
        <w:tc>
          <w:tcPr>
            <w:tcW w:w="0" w:type="auto"/>
            <w:noWrap/>
            <w:vAlign w:val="center"/>
          </w:tcPr>
          <w:p w14:paraId="563E116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33.52%</w:t>
            </w:r>
          </w:p>
        </w:tc>
        <w:tc>
          <w:tcPr>
            <w:tcW w:w="1323" w:type="dxa"/>
            <w:noWrap/>
            <w:vAlign w:val="center"/>
          </w:tcPr>
          <w:p w14:paraId="262E43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4.118%</w:t>
            </w:r>
          </w:p>
        </w:tc>
        <w:tc>
          <w:tcPr>
            <w:tcW w:w="850" w:type="dxa"/>
            <w:noWrap/>
            <w:vAlign w:val="center"/>
          </w:tcPr>
          <w:p w14:paraId="57D60BB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3</w:t>
            </w:r>
          </w:p>
        </w:tc>
      </w:tr>
      <w:tr w:rsidR="006D1C3F" w14:paraId="2EE30155"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BDDC0CF"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753A7E4B"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Che-</w:t>
            </w:r>
            <w:proofErr w:type="spellStart"/>
            <w:r>
              <w:rPr>
                <w:rFonts w:eastAsia="等线"/>
                <w:b w:val="0"/>
                <w:bCs w:val="0"/>
                <w:kern w:val="0"/>
                <w:sz w:val="20"/>
                <w:szCs w:val="20"/>
                <w:lang w:bidi="ar"/>
              </w:rPr>
              <w:t>Crz</w:t>
            </w:r>
            <w:proofErr w:type="spellEnd"/>
          </w:p>
        </w:tc>
        <w:tc>
          <w:tcPr>
            <w:tcW w:w="0" w:type="auto"/>
            <w:noWrap/>
            <w:vAlign w:val="center"/>
          </w:tcPr>
          <w:p w14:paraId="600BECD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10.54</w:t>
            </w:r>
          </w:p>
        </w:tc>
        <w:tc>
          <w:tcPr>
            <w:tcW w:w="0" w:type="auto"/>
            <w:noWrap/>
            <w:vAlign w:val="center"/>
          </w:tcPr>
          <w:p w14:paraId="44890B9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0.046</w:t>
            </w:r>
          </w:p>
        </w:tc>
        <w:tc>
          <w:tcPr>
            <w:tcW w:w="0" w:type="auto"/>
            <w:noWrap/>
            <w:vAlign w:val="center"/>
          </w:tcPr>
          <w:p w14:paraId="588E1E0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0.56</w:t>
            </w:r>
          </w:p>
        </w:tc>
        <w:tc>
          <w:tcPr>
            <w:tcW w:w="0" w:type="auto"/>
            <w:noWrap/>
            <w:vAlign w:val="center"/>
          </w:tcPr>
          <w:p w14:paraId="5F23F18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0.529</w:t>
            </w:r>
          </w:p>
        </w:tc>
        <w:tc>
          <w:tcPr>
            <w:tcW w:w="0" w:type="auto"/>
            <w:noWrap/>
            <w:vAlign w:val="center"/>
          </w:tcPr>
          <w:p w14:paraId="00F4A35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442B841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547762B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0.84</w:t>
            </w:r>
          </w:p>
        </w:tc>
        <w:tc>
          <w:tcPr>
            <w:tcW w:w="0" w:type="auto"/>
            <w:noWrap/>
            <w:vAlign w:val="center"/>
          </w:tcPr>
          <w:p w14:paraId="0313BFA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27AD59F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4060435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4803B0A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108520</w:t>
            </w:r>
          </w:p>
        </w:tc>
        <w:tc>
          <w:tcPr>
            <w:tcW w:w="0" w:type="auto"/>
            <w:noWrap/>
            <w:vAlign w:val="center"/>
          </w:tcPr>
          <w:p w14:paraId="509CC6E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0.879</w:t>
            </w:r>
          </w:p>
        </w:tc>
        <w:tc>
          <w:tcPr>
            <w:tcW w:w="0" w:type="auto"/>
            <w:noWrap/>
            <w:vAlign w:val="center"/>
          </w:tcPr>
          <w:p w14:paraId="2987ED7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0.33</w:t>
            </w:r>
          </w:p>
        </w:tc>
        <w:tc>
          <w:tcPr>
            <w:tcW w:w="0" w:type="auto"/>
            <w:noWrap/>
            <w:vAlign w:val="center"/>
          </w:tcPr>
          <w:p w14:paraId="5EAD4AF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20.86%</w:t>
            </w:r>
          </w:p>
        </w:tc>
        <w:tc>
          <w:tcPr>
            <w:tcW w:w="1323" w:type="dxa"/>
            <w:noWrap/>
            <w:vAlign w:val="center"/>
          </w:tcPr>
          <w:p w14:paraId="3920C43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2.195%</w:t>
            </w:r>
          </w:p>
        </w:tc>
        <w:tc>
          <w:tcPr>
            <w:tcW w:w="850" w:type="dxa"/>
            <w:noWrap/>
            <w:vAlign w:val="center"/>
          </w:tcPr>
          <w:p w14:paraId="391327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28</w:t>
            </w:r>
          </w:p>
        </w:tc>
      </w:tr>
      <w:tr w:rsidR="006D1C3F" w14:paraId="3290728E"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55B6F12B"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664EEFE9"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Che-Ale</w:t>
            </w:r>
          </w:p>
        </w:tc>
        <w:tc>
          <w:tcPr>
            <w:tcW w:w="0" w:type="auto"/>
            <w:noWrap/>
            <w:vAlign w:val="center"/>
          </w:tcPr>
          <w:p w14:paraId="7D56B00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64.21</w:t>
            </w:r>
          </w:p>
        </w:tc>
        <w:tc>
          <w:tcPr>
            <w:tcW w:w="0" w:type="auto"/>
            <w:noWrap/>
            <w:vAlign w:val="center"/>
          </w:tcPr>
          <w:p w14:paraId="01AD174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863B58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0.28</w:t>
            </w:r>
          </w:p>
        </w:tc>
        <w:tc>
          <w:tcPr>
            <w:tcW w:w="0" w:type="auto"/>
            <w:noWrap/>
            <w:vAlign w:val="center"/>
          </w:tcPr>
          <w:p w14:paraId="5437934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7319BAB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0.97</w:t>
            </w:r>
          </w:p>
        </w:tc>
        <w:tc>
          <w:tcPr>
            <w:tcW w:w="0" w:type="auto"/>
            <w:noWrap/>
            <w:vAlign w:val="center"/>
          </w:tcPr>
          <w:p w14:paraId="3D1E14D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0.850</w:t>
            </w:r>
          </w:p>
        </w:tc>
        <w:tc>
          <w:tcPr>
            <w:tcW w:w="0" w:type="auto"/>
            <w:noWrap/>
            <w:vAlign w:val="center"/>
          </w:tcPr>
          <w:p w14:paraId="4611714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0.97</w:t>
            </w:r>
          </w:p>
        </w:tc>
        <w:tc>
          <w:tcPr>
            <w:tcW w:w="0" w:type="auto"/>
            <w:noWrap/>
            <w:vAlign w:val="center"/>
          </w:tcPr>
          <w:p w14:paraId="2633014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0DC5479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6457CE7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17993D1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876852</w:t>
            </w:r>
          </w:p>
        </w:tc>
        <w:tc>
          <w:tcPr>
            <w:tcW w:w="0" w:type="auto"/>
            <w:noWrap/>
            <w:vAlign w:val="center"/>
          </w:tcPr>
          <w:p w14:paraId="6CC9979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0CC9357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0.74</w:t>
            </w:r>
          </w:p>
        </w:tc>
        <w:tc>
          <w:tcPr>
            <w:tcW w:w="0" w:type="auto"/>
            <w:noWrap/>
            <w:vAlign w:val="center"/>
          </w:tcPr>
          <w:p w14:paraId="1E15570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31.54%</w:t>
            </w:r>
          </w:p>
        </w:tc>
        <w:tc>
          <w:tcPr>
            <w:tcW w:w="1323" w:type="dxa"/>
            <w:noWrap/>
            <w:vAlign w:val="center"/>
          </w:tcPr>
          <w:p w14:paraId="33B8428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3.318%</w:t>
            </w:r>
          </w:p>
        </w:tc>
        <w:tc>
          <w:tcPr>
            <w:tcW w:w="850" w:type="dxa"/>
            <w:noWrap/>
            <w:vAlign w:val="center"/>
          </w:tcPr>
          <w:p w14:paraId="3EDCAAC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10</w:t>
            </w:r>
          </w:p>
        </w:tc>
      </w:tr>
      <w:tr w:rsidR="006D1C3F" w14:paraId="5900A48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A877864"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6A22871E"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Che-Cer</w:t>
            </w:r>
          </w:p>
        </w:tc>
        <w:tc>
          <w:tcPr>
            <w:tcW w:w="0" w:type="auto"/>
            <w:noWrap/>
            <w:vAlign w:val="center"/>
          </w:tcPr>
          <w:p w14:paraId="49A66E3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43.4</w:t>
            </w:r>
          </w:p>
        </w:tc>
        <w:tc>
          <w:tcPr>
            <w:tcW w:w="0" w:type="auto"/>
            <w:noWrap/>
            <w:vAlign w:val="center"/>
          </w:tcPr>
          <w:p w14:paraId="10DF893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0.630</w:t>
            </w:r>
          </w:p>
        </w:tc>
        <w:tc>
          <w:tcPr>
            <w:tcW w:w="0" w:type="auto"/>
            <w:noWrap/>
            <w:vAlign w:val="center"/>
          </w:tcPr>
          <w:p w14:paraId="6AA04DF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0.88</w:t>
            </w:r>
          </w:p>
        </w:tc>
        <w:tc>
          <w:tcPr>
            <w:tcW w:w="0" w:type="auto"/>
            <w:noWrap/>
            <w:vAlign w:val="center"/>
          </w:tcPr>
          <w:p w14:paraId="22DBB2A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61628EA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1D07AD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4AA66B5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0.86</w:t>
            </w:r>
          </w:p>
        </w:tc>
        <w:tc>
          <w:tcPr>
            <w:tcW w:w="0" w:type="auto"/>
            <w:noWrap/>
            <w:vAlign w:val="center"/>
          </w:tcPr>
          <w:p w14:paraId="6D70402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0.183</w:t>
            </w:r>
          </w:p>
        </w:tc>
        <w:tc>
          <w:tcPr>
            <w:tcW w:w="0" w:type="auto"/>
            <w:noWrap/>
            <w:vAlign w:val="center"/>
          </w:tcPr>
          <w:p w14:paraId="0659A1F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37A8129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45DE271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422532</w:t>
            </w:r>
          </w:p>
        </w:tc>
        <w:tc>
          <w:tcPr>
            <w:tcW w:w="0" w:type="auto"/>
            <w:noWrap/>
            <w:vAlign w:val="center"/>
          </w:tcPr>
          <w:p w14:paraId="768E56F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0.520</w:t>
            </w:r>
          </w:p>
        </w:tc>
        <w:tc>
          <w:tcPr>
            <w:tcW w:w="0" w:type="auto"/>
            <w:noWrap/>
            <w:vAlign w:val="center"/>
          </w:tcPr>
          <w:p w14:paraId="4DAB827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0.42</w:t>
            </w:r>
          </w:p>
        </w:tc>
        <w:tc>
          <w:tcPr>
            <w:tcW w:w="0" w:type="auto"/>
            <w:noWrap/>
            <w:vAlign w:val="center"/>
          </w:tcPr>
          <w:p w14:paraId="47B8302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23.02%</w:t>
            </w:r>
          </w:p>
        </w:tc>
        <w:tc>
          <w:tcPr>
            <w:tcW w:w="1323" w:type="dxa"/>
            <w:noWrap/>
            <w:vAlign w:val="center"/>
          </w:tcPr>
          <w:p w14:paraId="001BE8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2.421%</w:t>
            </w:r>
          </w:p>
        </w:tc>
        <w:tc>
          <w:tcPr>
            <w:tcW w:w="850" w:type="dxa"/>
            <w:noWrap/>
            <w:vAlign w:val="center"/>
          </w:tcPr>
          <w:p w14:paraId="49AEFBD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24</w:t>
            </w:r>
          </w:p>
        </w:tc>
      </w:tr>
      <w:tr w:rsidR="006D1C3F" w14:paraId="5577950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08B4981A"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133BD4BF"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Che-Che</w:t>
            </w:r>
          </w:p>
        </w:tc>
        <w:tc>
          <w:tcPr>
            <w:tcW w:w="0" w:type="auto"/>
            <w:noWrap/>
            <w:vAlign w:val="center"/>
          </w:tcPr>
          <w:p w14:paraId="795D58C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7.98</w:t>
            </w:r>
          </w:p>
        </w:tc>
        <w:tc>
          <w:tcPr>
            <w:tcW w:w="0" w:type="auto"/>
            <w:noWrap/>
            <w:vAlign w:val="center"/>
          </w:tcPr>
          <w:p w14:paraId="0D24EA9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5C48AA8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0.46</w:t>
            </w:r>
          </w:p>
        </w:tc>
        <w:tc>
          <w:tcPr>
            <w:tcW w:w="0" w:type="auto"/>
            <w:noWrap/>
            <w:vAlign w:val="center"/>
          </w:tcPr>
          <w:p w14:paraId="6AC3BB3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0.695</w:t>
            </w:r>
          </w:p>
        </w:tc>
        <w:tc>
          <w:tcPr>
            <w:tcW w:w="0" w:type="auto"/>
            <w:noWrap/>
            <w:vAlign w:val="center"/>
          </w:tcPr>
          <w:p w14:paraId="71F103B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0.96</w:t>
            </w:r>
          </w:p>
        </w:tc>
        <w:tc>
          <w:tcPr>
            <w:tcW w:w="0" w:type="auto"/>
            <w:noWrap/>
            <w:vAlign w:val="center"/>
          </w:tcPr>
          <w:p w14:paraId="4628772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197097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0.90</w:t>
            </w:r>
          </w:p>
        </w:tc>
        <w:tc>
          <w:tcPr>
            <w:tcW w:w="0" w:type="auto"/>
            <w:noWrap/>
            <w:vAlign w:val="center"/>
          </w:tcPr>
          <w:p w14:paraId="0F7E108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0.478</w:t>
            </w:r>
          </w:p>
        </w:tc>
        <w:tc>
          <w:tcPr>
            <w:tcW w:w="0" w:type="auto"/>
            <w:noWrap/>
            <w:vAlign w:val="center"/>
          </w:tcPr>
          <w:p w14:paraId="724D342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w:t>
            </w:r>
          </w:p>
        </w:tc>
        <w:tc>
          <w:tcPr>
            <w:tcW w:w="0" w:type="auto"/>
            <w:noWrap/>
            <w:vAlign w:val="center"/>
          </w:tcPr>
          <w:p w14:paraId="16D6BAF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46CEBCA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2819</w:t>
            </w:r>
          </w:p>
        </w:tc>
        <w:tc>
          <w:tcPr>
            <w:tcW w:w="0" w:type="auto"/>
            <w:noWrap/>
            <w:vAlign w:val="center"/>
          </w:tcPr>
          <w:p w14:paraId="0427BA8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032C2D9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0.49</w:t>
            </w:r>
          </w:p>
        </w:tc>
        <w:tc>
          <w:tcPr>
            <w:tcW w:w="0" w:type="auto"/>
            <w:noWrap/>
            <w:vAlign w:val="center"/>
          </w:tcPr>
          <w:p w14:paraId="50DE553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24.58%</w:t>
            </w:r>
          </w:p>
        </w:tc>
        <w:tc>
          <w:tcPr>
            <w:tcW w:w="1323" w:type="dxa"/>
            <w:noWrap/>
            <w:vAlign w:val="center"/>
          </w:tcPr>
          <w:p w14:paraId="7C7925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2.585%</w:t>
            </w:r>
          </w:p>
        </w:tc>
        <w:tc>
          <w:tcPr>
            <w:tcW w:w="850" w:type="dxa"/>
            <w:noWrap/>
            <w:vAlign w:val="center"/>
          </w:tcPr>
          <w:p w14:paraId="4EA9719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21</w:t>
            </w:r>
          </w:p>
        </w:tc>
      </w:tr>
      <w:tr w:rsidR="006D1C3F" w14:paraId="0F14A301"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79D3250"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14A0222C"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Lor-Che</w:t>
            </w:r>
          </w:p>
        </w:tc>
        <w:tc>
          <w:tcPr>
            <w:tcW w:w="0" w:type="auto"/>
            <w:noWrap/>
            <w:vAlign w:val="center"/>
          </w:tcPr>
          <w:p w14:paraId="5E4BB62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4.88</w:t>
            </w:r>
          </w:p>
        </w:tc>
        <w:tc>
          <w:tcPr>
            <w:tcW w:w="0" w:type="auto"/>
            <w:noWrap/>
            <w:vAlign w:val="center"/>
          </w:tcPr>
          <w:p w14:paraId="199874B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08C1D22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0.38</w:t>
            </w:r>
          </w:p>
        </w:tc>
        <w:tc>
          <w:tcPr>
            <w:tcW w:w="0" w:type="auto"/>
            <w:noWrap/>
            <w:vAlign w:val="center"/>
          </w:tcPr>
          <w:p w14:paraId="0EA7842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0.723</w:t>
            </w:r>
          </w:p>
        </w:tc>
        <w:tc>
          <w:tcPr>
            <w:tcW w:w="0" w:type="auto"/>
            <w:noWrap/>
            <w:vAlign w:val="center"/>
          </w:tcPr>
          <w:p w14:paraId="4B84795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0.81</w:t>
            </w:r>
          </w:p>
        </w:tc>
        <w:tc>
          <w:tcPr>
            <w:tcW w:w="0" w:type="auto"/>
            <w:noWrap/>
            <w:vAlign w:val="center"/>
          </w:tcPr>
          <w:p w14:paraId="342F136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0D07733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0.34</w:t>
            </w:r>
          </w:p>
        </w:tc>
        <w:tc>
          <w:tcPr>
            <w:tcW w:w="0" w:type="auto"/>
            <w:noWrap/>
            <w:vAlign w:val="center"/>
          </w:tcPr>
          <w:p w14:paraId="71DBCBE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182B908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w:t>
            </w:r>
          </w:p>
        </w:tc>
        <w:tc>
          <w:tcPr>
            <w:tcW w:w="0" w:type="auto"/>
            <w:noWrap/>
            <w:vAlign w:val="center"/>
          </w:tcPr>
          <w:p w14:paraId="5A554D7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1589725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1724</w:t>
            </w:r>
          </w:p>
        </w:tc>
        <w:tc>
          <w:tcPr>
            <w:tcW w:w="0" w:type="auto"/>
            <w:noWrap/>
            <w:vAlign w:val="center"/>
          </w:tcPr>
          <w:p w14:paraId="54F488F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4436396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0.45</w:t>
            </w:r>
          </w:p>
        </w:tc>
        <w:tc>
          <w:tcPr>
            <w:tcW w:w="0" w:type="auto"/>
            <w:noWrap/>
            <w:vAlign w:val="center"/>
          </w:tcPr>
          <w:p w14:paraId="6F44F29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23.72%</w:t>
            </w:r>
          </w:p>
        </w:tc>
        <w:tc>
          <w:tcPr>
            <w:tcW w:w="1323" w:type="dxa"/>
            <w:noWrap/>
            <w:vAlign w:val="center"/>
          </w:tcPr>
          <w:p w14:paraId="431A8FD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2.981%</w:t>
            </w:r>
          </w:p>
        </w:tc>
        <w:tc>
          <w:tcPr>
            <w:tcW w:w="850" w:type="dxa"/>
            <w:noWrap/>
            <w:vAlign w:val="center"/>
          </w:tcPr>
          <w:p w14:paraId="6D0C61E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14</w:t>
            </w:r>
          </w:p>
        </w:tc>
      </w:tr>
      <w:tr w:rsidR="006D1C3F" w14:paraId="2B43EE4F"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5BE06F3"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061D6ADA"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Lor-Ale</w:t>
            </w:r>
          </w:p>
        </w:tc>
        <w:tc>
          <w:tcPr>
            <w:tcW w:w="0" w:type="auto"/>
            <w:noWrap/>
            <w:vAlign w:val="center"/>
          </w:tcPr>
          <w:p w14:paraId="3198E71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25.76</w:t>
            </w:r>
          </w:p>
        </w:tc>
        <w:tc>
          <w:tcPr>
            <w:tcW w:w="0" w:type="auto"/>
            <w:noWrap/>
            <w:vAlign w:val="center"/>
          </w:tcPr>
          <w:p w14:paraId="51E72D0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2CB7828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0.2527</w:t>
            </w:r>
          </w:p>
        </w:tc>
        <w:tc>
          <w:tcPr>
            <w:tcW w:w="0" w:type="auto"/>
            <w:noWrap/>
            <w:vAlign w:val="center"/>
          </w:tcPr>
          <w:p w14:paraId="1716F06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661148D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0.89</w:t>
            </w:r>
          </w:p>
        </w:tc>
        <w:tc>
          <w:tcPr>
            <w:tcW w:w="0" w:type="auto"/>
            <w:noWrap/>
            <w:vAlign w:val="center"/>
          </w:tcPr>
          <w:p w14:paraId="4024BE3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0.578</w:t>
            </w:r>
          </w:p>
        </w:tc>
        <w:tc>
          <w:tcPr>
            <w:tcW w:w="0" w:type="auto"/>
            <w:noWrap/>
            <w:vAlign w:val="center"/>
          </w:tcPr>
          <w:p w14:paraId="5CA1465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0.82</w:t>
            </w:r>
          </w:p>
        </w:tc>
        <w:tc>
          <w:tcPr>
            <w:tcW w:w="0" w:type="auto"/>
            <w:noWrap/>
            <w:vAlign w:val="center"/>
          </w:tcPr>
          <w:p w14:paraId="3213C6E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3BC2633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2B64D98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56FA9BE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351779</w:t>
            </w:r>
          </w:p>
        </w:tc>
        <w:tc>
          <w:tcPr>
            <w:tcW w:w="0" w:type="auto"/>
            <w:noWrap/>
            <w:vAlign w:val="center"/>
          </w:tcPr>
          <w:p w14:paraId="673C217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08DDD58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0.71</w:t>
            </w:r>
          </w:p>
        </w:tc>
        <w:tc>
          <w:tcPr>
            <w:tcW w:w="0" w:type="auto"/>
            <w:noWrap/>
            <w:vAlign w:val="center"/>
          </w:tcPr>
          <w:p w14:paraId="4155BE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30.80%</w:t>
            </w:r>
          </w:p>
        </w:tc>
        <w:tc>
          <w:tcPr>
            <w:tcW w:w="1323" w:type="dxa"/>
            <w:noWrap/>
            <w:vAlign w:val="center"/>
          </w:tcPr>
          <w:p w14:paraId="118512F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3.870%</w:t>
            </w:r>
          </w:p>
        </w:tc>
        <w:tc>
          <w:tcPr>
            <w:tcW w:w="850" w:type="dxa"/>
            <w:noWrap/>
            <w:vAlign w:val="center"/>
          </w:tcPr>
          <w:p w14:paraId="39346CE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4</w:t>
            </w:r>
          </w:p>
        </w:tc>
      </w:tr>
      <w:tr w:rsidR="006D1C3F" w14:paraId="03FDA5A1"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81A0C3C" w14:textId="77777777" w:rsidR="006D1C3F" w:rsidRDefault="006D1C3F">
            <w:pPr>
              <w:snapToGrid w:val="0"/>
              <w:ind w:firstLineChars="0" w:firstLine="0"/>
              <w:jc w:val="center"/>
              <w:rPr>
                <w:rFonts w:eastAsia="等线"/>
                <w:color w:val="000000"/>
                <w:sz w:val="20"/>
                <w:szCs w:val="20"/>
              </w:rPr>
            </w:pPr>
          </w:p>
        </w:tc>
        <w:tc>
          <w:tcPr>
            <w:tcW w:w="0" w:type="auto"/>
            <w:noWrap/>
            <w:vAlign w:val="center"/>
          </w:tcPr>
          <w:p w14:paraId="4A545B33"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Lor-Bri</w:t>
            </w:r>
          </w:p>
        </w:tc>
        <w:tc>
          <w:tcPr>
            <w:tcW w:w="0" w:type="auto"/>
            <w:noWrap/>
            <w:vAlign w:val="center"/>
          </w:tcPr>
          <w:p w14:paraId="213B819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17.63</w:t>
            </w:r>
          </w:p>
        </w:tc>
        <w:tc>
          <w:tcPr>
            <w:tcW w:w="0" w:type="auto"/>
            <w:noWrap/>
            <w:vAlign w:val="center"/>
          </w:tcPr>
          <w:p w14:paraId="02E7D52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0.611</w:t>
            </w:r>
          </w:p>
        </w:tc>
        <w:tc>
          <w:tcPr>
            <w:tcW w:w="0" w:type="auto"/>
            <w:noWrap/>
            <w:vAlign w:val="center"/>
          </w:tcPr>
          <w:p w14:paraId="12E800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0.64</w:t>
            </w:r>
          </w:p>
        </w:tc>
        <w:tc>
          <w:tcPr>
            <w:tcW w:w="0" w:type="auto"/>
            <w:noWrap/>
            <w:vAlign w:val="center"/>
          </w:tcPr>
          <w:p w14:paraId="69753E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0.134</w:t>
            </w:r>
          </w:p>
        </w:tc>
        <w:tc>
          <w:tcPr>
            <w:tcW w:w="0" w:type="auto"/>
            <w:noWrap/>
            <w:vAlign w:val="center"/>
          </w:tcPr>
          <w:p w14:paraId="51EF8C8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noWrap/>
            <w:vAlign w:val="center"/>
          </w:tcPr>
          <w:p w14:paraId="6DEE4D0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noWrap/>
            <w:vAlign w:val="center"/>
          </w:tcPr>
          <w:p w14:paraId="6A0D5A9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0.79</w:t>
            </w:r>
          </w:p>
        </w:tc>
        <w:tc>
          <w:tcPr>
            <w:tcW w:w="0" w:type="auto"/>
            <w:noWrap/>
            <w:vAlign w:val="center"/>
          </w:tcPr>
          <w:p w14:paraId="1D59E98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0.938</w:t>
            </w:r>
          </w:p>
        </w:tc>
        <w:tc>
          <w:tcPr>
            <w:tcW w:w="0" w:type="auto"/>
            <w:noWrap/>
            <w:vAlign w:val="center"/>
          </w:tcPr>
          <w:p w14:paraId="1D60347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noWrap/>
            <w:vAlign w:val="center"/>
          </w:tcPr>
          <w:p w14:paraId="0EC86B1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noWrap/>
            <w:vAlign w:val="center"/>
          </w:tcPr>
          <w:p w14:paraId="39C1AA0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179297</w:t>
            </w:r>
          </w:p>
        </w:tc>
        <w:tc>
          <w:tcPr>
            <w:tcW w:w="0" w:type="auto"/>
            <w:noWrap/>
            <w:vAlign w:val="center"/>
          </w:tcPr>
          <w:p w14:paraId="55A573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0.493</w:t>
            </w:r>
          </w:p>
        </w:tc>
        <w:tc>
          <w:tcPr>
            <w:tcW w:w="0" w:type="auto"/>
            <w:noWrap/>
            <w:vAlign w:val="center"/>
          </w:tcPr>
          <w:p w14:paraId="475BAA0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0.50</w:t>
            </w:r>
          </w:p>
        </w:tc>
        <w:tc>
          <w:tcPr>
            <w:tcW w:w="0" w:type="auto"/>
            <w:noWrap/>
            <w:vAlign w:val="center"/>
          </w:tcPr>
          <w:p w14:paraId="22968AD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25.06%</w:t>
            </w:r>
          </w:p>
        </w:tc>
        <w:tc>
          <w:tcPr>
            <w:tcW w:w="1323" w:type="dxa"/>
            <w:noWrap/>
            <w:vAlign w:val="center"/>
          </w:tcPr>
          <w:p w14:paraId="0459FC3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3.148%</w:t>
            </w:r>
          </w:p>
        </w:tc>
        <w:tc>
          <w:tcPr>
            <w:tcW w:w="850" w:type="dxa"/>
            <w:noWrap/>
            <w:vAlign w:val="center"/>
          </w:tcPr>
          <w:p w14:paraId="0B2E22E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12</w:t>
            </w:r>
          </w:p>
        </w:tc>
      </w:tr>
      <w:tr w:rsidR="006D1C3F" w14:paraId="0D72823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tcBorders>
              <w:bottom w:val="single" w:sz="12" w:space="0" w:color="auto"/>
            </w:tcBorders>
            <w:noWrap/>
            <w:vAlign w:val="center"/>
          </w:tcPr>
          <w:p w14:paraId="34C7BD53" w14:textId="77777777" w:rsidR="006D1C3F" w:rsidRDefault="006D1C3F">
            <w:pPr>
              <w:snapToGrid w:val="0"/>
              <w:ind w:firstLineChars="0" w:firstLine="0"/>
              <w:jc w:val="center"/>
              <w:rPr>
                <w:rFonts w:eastAsia="等线"/>
                <w:color w:val="000000"/>
                <w:sz w:val="20"/>
                <w:szCs w:val="20"/>
              </w:rPr>
            </w:pPr>
          </w:p>
        </w:tc>
        <w:tc>
          <w:tcPr>
            <w:tcW w:w="0" w:type="auto"/>
            <w:tcBorders>
              <w:bottom w:val="single" w:sz="12" w:space="0" w:color="auto"/>
            </w:tcBorders>
            <w:noWrap/>
            <w:vAlign w:val="center"/>
          </w:tcPr>
          <w:p w14:paraId="6DB6D697"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Lor-Cer</w:t>
            </w:r>
          </w:p>
        </w:tc>
        <w:tc>
          <w:tcPr>
            <w:tcW w:w="0" w:type="auto"/>
            <w:tcBorders>
              <w:bottom w:val="single" w:sz="12" w:space="0" w:color="auto"/>
            </w:tcBorders>
            <w:noWrap/>
            <w:vAlign w:val="center"/>
          </w:tcPr>
          <w:p w14:paraId="1A535CF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5.73</w:t>
            </w:r>
          </w:p>
        </w:tc>
        <w:tc>
          <w:tcPr>
            <w:tcW w:w="0" w:type="auto"/>
            <w:tcBorders>
              <w:bottom w:val="single" w:sz="12" w:space="0" w:color="auto"/>
            </w:tcBorders>
            <w:noWrap/>
            <w:vAlign w:val="center"/>
          </w:tcPr>
          <w:p w14:paraId="0B2217D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0.041</w:t>
            </w:r>
          </w:p>
        </w:tc>
        <w:tc>
          <w:tcPr>
            <w:tcW w:w="0" w:type="auto"/>
            <w:tcBorders>
              <w:bottom w:val="single" w:sz="12" w:space="0" w:color="auto"/>
            </w:tcBorders>
            <w:noWrap/>
            <w:vAlign w:val="center"/>
          </w:tcPr>
          <w:p w14:paraId="35F88D9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tcBorders>
              <w:bottom w:val="single" w:sz="12" w:space="0" w:color="auto"/>
            </w:tcBorders>
            <w:noWrap/>
            <w:vAlign w:val="center"/>
          </w:tcPr>
          <w:p w14:paraId="1B5C731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tcBorders>
              <w:bottom w:val="single" w:sz="12" w:space="0" w:color="auto"/>
            </w:tcBorders>
            <w:noWrap/>
            <w:vAlign w:val="center"/>
          </w:tcPr>
          <w:p w14:paraId="44B8B4D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w:t>
            </w:r>
          </w:p>
        </w:tc>
        <w:tc>
          <w:tcPr>
            <w:tcW w:w="0" w:type="auto"/>
            <w:tcBorders>
              <w:bottom w:val="single" w:sz="12" w:space="0" w:color="auto"/>
            </w:tcBorders>
            <w:noWrap/>
            <w:vAlign w:val="center"/>
          </w:tcPr>
          <w:p w14:paraId="7CFD7FE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0.000</w:t>
            </w:r>
          </w:p>
        </w:tc>
        <w:tc>
          <w:tcPr>
            <w:tcW w:w="0" w:type="auto"/>
            <w:tcBorders>
              <w:bottom w:val="single" w:sz="12" w:space="0" w:color="auto"/>
            </w:tcBorders>
            <w:noWrap/>
            <w:vAlign w:val="center"/>
          </w:tcPr>
          <w:p w14:paraId="241FBF4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w:t>
            </w:r>
          </w:p>
        </w:tc>
        <w:tc>
          <w:tcPr>
            <w:tcW w:w="0" w:type="auto"/>
            <w:tcBorders>
              <w:bottom w:val="single" w:sz="12" w:space="0" w:color="auto"/>
            </w:tcBorders>
            <w:noWrap/>
            <w:vAlign w:val="center"/>
          </w:tcPr>
          <w:p w14:paraId="70FA711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0.749</w:t>
            </w:r>
          </w:p>
        </w:tc>
        <w:tc>
          <w:tcPr>
            <w:tcW w:w="0" w:type="auto"/>
            <w:tcBorders>
              <w:bottom w:val="single" w:sz="12" w:space="0" w:color="auto"/>
            </w:tcBorders>
            <w:noWrap/>
            <w:vAlign w:val="center"/>
          </w:tcPr>
          <w:p w14:paraId="52D17F2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w:t>
            </w:r>
          </w:p>
        </w:tc>
        <w:tc>
          <w:tcPr>
            <w:tcW w:w="0" w:type="auto"/>
            <w:tcBorders>
              <w:bottom w:val="single" w:sz="12" w:space="0" w:color="auto"/>
            </w:tcBorders>
            <w:noWrap/>
            <w:vAlign w:val="center"/>
          </w:tcPr>
          <w:p w14:paraId="4A09036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1.000</w:t>
            </w:r>
          </w:p>
        </w:tc>
        <w:tc>
          <w:tcPr>
            <w:tcW w:w="0" w:type="auto"/>
            <w:tcBorders>
              <w:bottom w:val="single" w:sz="12" w:space="0" w:color="auto"/>
            </w:tcBorders>
            <w:noWrap/>
            <w:vAlign w:val="center"/>
          </w:tcPr>
          <w:p w14:paraId="56D4F57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105073</w:t>
            </w:r>
          </w:p>
        </w:tc>
        <w:tc>
          <w:tcPr>
            <w:tcW w:w="0" w:type="auto"/>
            <w:tcBorders>
              <w:bottom w:val="single" w:sz="12" w:space="0" w:color="auto"/>
            </w:tcBorders>
            <w:noWrap/>
            <w:vAlign w:val="center"/>
          </w:tcPr>
          <w:p w14:paraId="42D8B42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0.705</w:t>
            </w:r>
          </w:p>
        </w:tc>
        <w:tc>
          <w:tcPr>
            <w:tcW w:w="0" w:type="auto"/>
            <w:tcBorders>
              <w:bottom w:val="single" w:sz="12" w:space="0" w:color="auto"/>
            </w:tcBorders>
            <w:noWrap/>
            <w:vAlign w:val="center"/>
          </w:tcPr>
          <w:p w14:paraId="0E84670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0.30</w:t>
            </w:r>
          </w:p>
        </w:tc>
        <w:tc>
          <w:tcPr>
            <w:tcW w:w="0" w:type="auto"/>
            <w:tcBorders>
              <w:bottom w:val="single" w:sz="12" w:space="0" w:color="auto"/>
            </w:tcBorders>
            <w:noWrap/>
            <w:vAlign w:val="center"/>
          </w:tcPr>
          <w:p w14:paraId="087070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20.42%</w:t>
            </w:r>
          </w:p>
        </w:tc>
        <w:tc>
          <w:tcPr>
            <w:tcW w:w="1323" w:type="dxa"/>
            <w:tcBorders>
              <w:bottom w:val="single" w:sz="12" w:space="0" w:color="auto"/>
            </w:tcBorders>
            <w:noWrap/>
            <w:vAlign w:val="center"/>
          </w:tcPr>
          <w:p w14:paraId="5C9C724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rFonts w:eastAsia="等线"/>
                <w:b w:val="0"/>
                <w:bCs w:val="0"/>
                <w:kern w:val="0"/>
                <w:sz w:val="20"/>
                <w:szCs w:val="20"/>
                <w:lang w:bidi="ar"/>
              </w:rPr>
              <w:t>2.565%</w:t>
            </w:r>
          </w:p>
        </w:tc>
        <w:tc>
          <w:tcPr>
            <w:tcW w:w="850" w:type="dxa"/>
            <w:tcBorders>
              <w:bottom w:val="single" w:sz="12" w:space="0" w:color="auto"/>
            </w:tcBorders>
            <w:noWrap/>
            <w:vAlign w:val="center"/>
          </w:tcPr>
          <w:p w14:paraId="78D7E4D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b w:val="0"/>
                <w:bCs w:val="0"/>
                <w:color w:val="000000"/>
                <w:kern w:val="0"/>
                <w:sz w:val="20"/>
                <w:szCs w:val="20"/>
                <w:lang w:bidi="ar"/>
              </w:rPr>
              <w:t>22</w:t>
            </w:r>
          </w:p>
        </w:tc>
      </w:tr>
    </w:tbl>
    <w:bookmarkEnd w:id="27"/>
    <w:p w14:paraId="7CFA52B7" w14:textId="77777777" w:rsidR="006D1C3F" w:rsidRDefault="00000000">
      <w:pPr>
        <w:widowControl/>
        <w:spacing w:line="240" w:lineRule="auto"/>
        <w:ind w:firstLineChars="0" w:firstLine="0"/>
        <w:jc w:val="left"/>
        <w:rPr>
          <w:b w:val="0"/>
          <w:bCs w:val="0"/>
          <w:color w:val="000000"/>
          <w:kern w:val="0"/>
          <w:sz w:val="16"/>
          <w:szCs w:val="16"/>
          <w:lang w:bidi="ar"/>
        </w:rPr>
        <w:sectPr w:rsidR="006D1C3F">
          <w:pgSz w:w="16838" w:h="11906" w:orient="landscape"/>
          <w:pgMar w:top="1800" w:right="1440" w:bottom="1800" w:left="1440" w:header="851" w:footer="992" w:gutter="0"/>
          <w:cols w:space="425"/>
          <w:docGrid w:type="lines" w:linePitch="312"/>
        </w:sectPr>
      </w:pPr>
      <w:r>
        <w:rPr>
          <w:rFonts w:hint="eastAsia"/>
          <w:b w:val="0"/>
          <w:bCs w:val="0"/>
          <w:color w:val="000000"/>
          <w:kern w:val="0"/>
          <w:sz w:val="16"/>
          <w:szCs w:val="16"/>
          <w:lang w:bidi="ar"/>
        </w:rPr>
        <w:t>*</w:t>
      </w:r>
      <w:r>
        <w:t xml:space="preserve"> </w:t>
      </w:r>
      <w:r>
        <w:rPr>
          <w:b w:val="0"/>
          <w:bCs w:val="0"/>
          <w:color w:val="000000"/>
          <w:kern w:val="0"/>
          <w:sz w:val="16"/>
          <w:szCs w:val="16"/>
          <w:lang w:bidi="ar"/>
        </w:rPr>
        <w:t>PFS, progression-free survival; AE3, severe adverse events (grade</w:t>
      </w:r>
      <w:r>
        <w:rPr>
          <w:rFonts w:hint="eastAsia"/>
          <w:b w:val="0"/>
          <w:bCs w:val="0"/>
          <w:color w:val="000000"/>
          <w:kern w:val="0"/>
          <w:sz w:val="16"/>
          <w:szCs w:val="16"/>
          <w:lang w:bidi="ar"/>
        </w:rPr>
        <w:t>≥</w:t>
      </w:r>
      <w:r>
        <w:rPr>
          <w:b w:val="0"/>
          <w:bCs w:val="0"/>
          <w:color w:val="000000"/>
          <w:kern w:val="0"/>
          <w:sz w:val="16"/>
          <w:szCs w:val="16"/>
          <w:lang w:bidi="ar"/>
        </w:rPr>
        <w:t>3); AE1, mild adverse events (grade 1–2); DCR, disease control rate; MODE, route of administration; COST, treatment cost.X1–X6 represent the min-max normalized values for their respective adjacent clinical attributes.</w:t>
      </w:r>
      <w:r>
        <w:t xml:space="preserve"> </w:t>
      </w:r>
      <w:r>
        <w:rPr>
          <w:b w:val="0"/>
          <w:bCs w:val="0"/>
          <w:color w:val="000000"/>
          <w:kern w:val="0"/>
          <w:sz w:val="16"/>
          <w:szCs w:val="16"/>
          <w:lang w:bidi="ar"/>
        </w:rPr>
        <w:t xml:space="preserve">Ale, </w:t>
      </w:r>
      <w:proofErr w:type="spellStart"/>
      <w:r>
        <w:rPr>
          <w:b w:val="0"/>
          <w:bCs w:val="0"/>
          <w:color w:val="000000"/>
          <w:kern w:val="0"/>
          <w:sz w:val="16"/>
          <w:szCs w:val="16"/>
          <w:lang w:bidi="ar"/>
        </w:rPr>
        <w:t>Alectinib</w:t>
      </w:r>
      <w:proofErr w:type="spellEnd"/>
      <w:r>
        <w:rPr>
          <w:b w:val="0"/>
          <w:bCs w:val="0"/>
          <w:color w:val="000000"/>
          <w:kern w:val="0"/>
          <w:sz w:val="16"/>
          <w:szCs w:val="16"/>
          <w:lang w:bidi="ar"/>
        </w:rPr>
        <w:t xml:space="preserve">; Bri, </w:t>
      </w:r>
      <w:proofErr w:type="spellStart"/>
      <w:r>
        <w:rPr>
          <w:b w:val="0"/>
          <w:bCs w:val="0"/>
          <w:color w:val="000000"/>
          <w:kern w:val="0"/>
          <w:sz w:val="16"/>
          <w:szCs w:val="16"/>
          <w:lang w:bidi="ar"/>
        </w:rPr>
        <w:t>Brigatinib</w:t>
      </w:r>
      <w:proofErr w:type="spellEnd"/>
      <w:r>
        <w:rPr>
          <w:b w:val="0"/>
          <w:bCs w:val="0"/>
          <w:color w:val="000000"/>
          <w:kern w:val="0"/>
          <w:sz w:val="16"/>
          <w:szCs w:val="16"/>
          <w:lang w:bidi="ar"/>
        </w:rPr>
        <w:t xml:space="preserve">; Cer, </w:t>
      </w:r>
      <w:proofErr w:type="spellStart"/>
      <w:r>
        <w:rPr>
          <w:b w:val="0"/>
          <w:bCs w:val="0"/>
          <w:color w:val="000000"/>
          <w:kern w:val="0"/>
          <w:sz w:val="16"/>
          <w:szCs w:val="16"/>
          <w:lang w:bidi="ar"/>
        </w:rPr>
        <w:t>Ceritinib</w:t>
      </w:r>
      <w:proofErr w:type="spellEnd"/>
      <w:r>
        <w:rPr>
          <w:b w:val="0"/>
          <w:bCs w:val="0"/>
          <w:color w:val="000000"/>
          <w:kern w:val="0"/>
          <w:sz w:val="16"/>
          <w:szCs w:val="16"/>
          <w:lang w:bidi="ar"/>
        </w:rPr>
        <w:t xml:space="preserve">; Che, Chemotherapy; Cri, Crizotinib; Ens, </w:t>
      </w:r>
      <w:proofErr w:type="spellStart"/>
      <w:r>
        <w:rPr>
          <w:b w:val="0"/>
          <w:bCs w:val="0"/>
          <w:color w:val="000000"/>
          <w:kern w:val="0"/>
          <w:sz w:val="16"/>
          <w:szCs w:val="16"/>
          <w:lang w:bidi="ar"/>
        </w:rPr>
        <w:t>Ensartinib</w:t>
      </w:r>
      <w:proofErr w:type="spellEnd"/>
      <w:r>
        <w:rPr>
          <w:b w:val="0"/>
          <w:bCs w:val="0"/>
          <w:color w:val="000000"/>
          <w:kern w:val="0"/>
          <w:sz w:val="16"/>
          <w:szCs w:val="16"/>
          <w:lang w:bidi="ar"/>
        </w:rPr>
        <w:t xml:space="preserve">; Env, </w:t>
      </w:r>
      <w:proofErr w:type="spellStart"/>
      <w:r>
        <w:rPr>
          <w:b w:val="0"/>
          <w:bCs w:val="0"/>
          <w:color w:val="000000"/>
          <w:kern w:val="0"/>
          <w:sz w:val="16"/>
          <w:szCs w:val="16"/>
          <w:lang w:bidi="ar"/>
        </w:rPr>
        <w:t>Envonalkib</w:t>
      </w:r>
      <w:proofErr w:type="spellEnd"/>
      <w:r>
        <w:rPr>
          <w:b w:val="0"/>
          <w:bCs w:val="0"/>
          <w:color w:val="000000"/>
          <w:kern w:val="0"/>
          <w:sz w:val="16"/>
          <w:szCs w:val="16"/>
          <w:lang w:bidi="ar"/>
        </w:rPr>
        <w:t xml:space="preserve">; </w:t>
      </w:r>
      <w:proofErr w:type="spellStart"/>
      <w:r>
        <w:rPr>
          <w:b w:val="0"/>
          <w:bCs w:val="0"/>
          <w:color w:val="000000"/>
          <w:kern w:val="0"/>
          <w:sz w:val="16"/>
          <w:szCs w:val="16"/>
          <w:lang w:bidi="ar"/>
        </w:rPr>
        <w:t>Iru</w:t>
      </w:r>
      <w:proofErr w:type="spellEnd"/>
      <w:r>
        <w:rPr>
          <w:b w:val="0"/>
          <w:bCs w:val="0"/>
          <w:color w:val="000000"/>
          <w:kern w:val="0"/>
          <w:sz w:val="16"/>
          <w:szCs w:val="16"/>
          <w:lang w:bidi="ar"/>
        </w:rPr>
        <w:t xml:space="preserve">, </w:t>
      </w:r>
      <w:proofErr w:type="spellStart"/>
      <w:r>
        <w:rPr>
          <w:b w:val="0"/>
          <w:bCs w:val="0"/>
          <w:color w:val="000000"/>
          <w:kern w:val="0"/>
          <w:sz w:val="16"/>
          <w:szCs w:val="16"/>
          <w:lang w:bidi="ar"/>
        </w:rPr>
        <w:t>Iruplinalkib</w:t>
      </w:r>
      <w:proofErr w:type="spellEnd"/>
      <w:r>
        <w:rPr>
          <w:b w:val="0"/>
          <w:bCs w:val="0"/>
          <w:color w:val="000000"/>
          <w:kern w:val="0"/>
          <w:sz w:val="16"/>
          <w:szCs w:val="16"/>
          <w:lang w:bidi="ar"/>
        </w:rPr>
        <w:t xml:space="preserve">; Lor, </w:t>
      </w:r>
      <w:proofErr w:type="spellStart"/>
      <w:r>
        <w:rPr>
          <w:b w:val="0"/>
          <w:bCs w:val="0"/>
          <w:color w:val="000000"/>
          <w:kern w:val="0"/>
          <w:sz w:val="16"/>
          <w:szCs w:val="16"/>
          <w:lang w:bidi="ar"/>
        </w:rPr>
        <w:t>Lorlatini</w:t>
      </w:r>
      <w:proofErr w:type="spellEnd"/>
      <w:r>
        <w:rPr>
          <w:rFonts w:hint="eastAsia"/>
          <w:b w:val="0"/>
          <w:bCs w:val="0"/>
          <w:color w:val="000000"/>
          <w:kern w:val="0"/>
          <w:sz w:val="16"/>
          <w:szCs w:val="16"/>
          <w:lang w:bidi="ar"/>
        </w:rPr>
        <w:t>.</w:t>
      </w:r>
      <w:r>
        <w:rPr>
          <w:b w:val="0"/>
          <w:bCs w:val="0"/>
          <w:color w:val="000000"/>
          <w:kern w:val="0"/>
          <w:sz w:val="16"/>
          <w:szCs w:val="16"/>
          <w:lang w:bidi="ar"/>
        </w:rPr>
        <w:br w:type="page"/>
      </w:r>
    </w:p>
    <w:p w14:paraId="2A443569" w14:textId="77777777" w:rsidR="006D1C3F" w:rsidRDefault="00000000">
      <w:pPr>
        <w:keepNext/>
        <w:keepLines/>
        <w:pageBreakBefore/>
        <w:spacing w:line="240" w:lineRule="auto"/>
        <w:ind w:firstLineChars="0" w:firstLine="0"/>
        <w:outlineLvl w:val="0"/>
        <w:rPr>
          <w:rFonts w:eastAsiaTheme="minorEastAsia" w:cstheme="minorBidi"/>
          <w:b w:val="0"/>
          <w:bCs w:val="0"/>
          <w:kern w:val="44"/>
        </w:rPr>
      </w:pPr>
      <w:bookmarkStart w:id="28" w:name="_Toc225844815"/>
      <w:r>
        <w:rPr>
          <w:rFonts w:eastAsia="Times New Roman" w:cstheme="minorBidi"/>
          <w:b w:val="0"/>
          <w:bCs w:val="0"/>
          <w:kern w:val="44"/>
        </w:rPr>
        <w:lastRenderedPageBreak/>
        <w:t>Table S</w:t>
      </w:r>
      <w:r>
        <w:rPr>
          <w:rFonts w:eastAsia="Times New Roman" w:cstheme="minorBidi" w:hint="eastAsia"/>
          <w:b w:val="0"/>
          <w:bCs w:val="0"/>
          <w:kern w:val="44"/>
        </w:rPr>
        <w:t>11</w:t>
      </w:r>
      <w:r>
        <w:rPr>
          <w:rFonts w:eastAsia="Times New Roman" w:cstheme="minorBidi"/>
          <w:b w:val="0"/>
          <w:bCs w:val="0"/>
          <w:kern w:val="44"/>
        </w:rPr>
        <w:t xml:space="preserve"> Normalized Performance Metrics and Selection Probabilities Under Patient Preferences</w:t>
      </w:r>
      <w:bookmarkEnd w:id="28"/>
    </w:p>
    <w:tbl>
      <w:tblPr>
        <w:tblStyle w:val="LightList1"/>
        <w:tblW w:w="15265"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38"/>
        <w:gridCol w:w="1003"/>
        <w:gridCol w:w="714"/>
        <w:gridCol w:w="714"/>
        <w:gridCol w:w="824"/>
        <w:gridCol w:w="714"/>
        <w:gridCol w:w="603"/>
        <w:gridCol w:w="714"/>
        <w:gridCol w:w="631"/>
        <w:gridCol w:w="714"/>
        <w:gridCol w:w="808"/>
        <w:gridCol w:w="714"/>
        <w:gridCol w:w="990"/>
        <w:gridCol w:w="714"/>
        <w:gridCol w:w="1087"/>
        <w:gridCol w:w="1110"/>
        <w:gridCol w:w="1323"/>
        <w:gridCol w:w="850"/>
      </w:tblGrid>
      <w:tr w:rsidR="005C1A79" w14:paraId="3D6BB008" w14:textId="77777777" w:rsidTr="005C1A79">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38" w:type="dxa"/>
            <w:tcBorders>
              <w:top w:val="single" w:sz="12" w:space="0" w:color="auto"/>
              <w:bottom w:val="single" w:sz="6" w:space="0" w:color="auto"/>
            </w:tcBorders>
            <w:shd w:val="clear" w:color="auto" w:fill="auto"/>
            <w:noWrap/>
            <w:vAlign w:val="center"/>
          </w:tcPr>
          <w:p w14:paraId="15C1CB99" w14:textId="77777777" w:rsidR="006D1C3F" w:rsidRDefault="00000000">
            <w:pPr>
              <w:widowControl/>
              <w:snapToGrid w:val="0"/>
              <w:spacing w:line="240" w:lineRule="auto"/>
              <w:ind w:firstLineChars="0" w:firstLine="0"/>
              <w:jc w:val="center"/>
              <w:textAlignment w:val="center"/>
              <w:rPr>
                <w:rFonts w:eastAsia="等线"/>
                <w:b/>
                <w:bCs/>
                <w:color w:val="000000"/>
                <w:sz w:val="20"/>
                <w:szCs w:val="20"/>
              </w:rPr>
            </w:pPr>
            <w:r>
              <w:rPr>
                <w:rFonts w:eastAsia="等线"/>
                <w:color w:val="000000"/>
                <w:kern w:val="0"/>
                <w:sz w:val="20"/>
                <w:szCs w:val="20"/>
                <w:lang w:bidi="ar"/>
              </w:rPr>
              <w:t>Treatment Line</w:t>
            </w:r>
          </w:p>
        </w:tc>
        <w:tc>
          <w:tcPr>
            <w:tcW w:w="0" w:type="auto"/>
            <w:tcBorders>
              <w:top w:val="single" w:sz="12" w:space="0" w:color="auto"/>
              <w:bottom w:val="single" w:sz="6" w:space="0" w:color="auto"/>
            </w:tcBorders>
            <w:shd w:val="clear" w:color="auto" w:fill="auto"/>
            <w:noWrap/>
            <w:vAlign w:val="center"/>
          </w:tcPr>
          <w:p w14:paraId="46AC66E0"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Sequence</w:t>
            </w:r>
          </w:p>
        </w:tc>
        <w:tc>
          <w:tcPr>
            <w:tcW w:w="0" w:type="auto"/>
            <w:tcBorders>
              <w:top w:val="single" w:sz="12" w:space="0" w:color="auto"/>
              <w:bottom w:val="single" w:sz="6" w:space="0" w:color="auto"/>
            </w:tcBorders>
            <w:shd w:val="clear" w:color="auto" w:fill="auto"/>
            <w:noWrap/>
            <w:vAlign w:val="center"/>
          </w:tcPr>
          <w:p w14:paraId="5EF3855A"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PFS</w:t>
            </w:r>
          </w:p>
        </w:tc>
        <w:tc>
          <w:tcPr>
            <w:tcW w:w="0" w:type="auto"/>
            <w:tcBorders>
              <w:top w:val="single" w:sz="12" w:space="0" w:color="auto"/>
              <w:bottom w:val="single" w:sz="6" w:space="0" w:color="auto"/>
            </w:tcBorders>
            <w:shd w:val="clear" w:color="auto" w:fill="auto"/>
            <w:noWrap/>
            <w:vAlign w:val="center"/>
          </w:tcPr>
          <w:p w14:paraId="3F4FAFB4"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X1</w:t>
            </w:r>
          </w:p>
        </w:tc>
        <w:tc>
          <w:tcPr>
            <w:tcW w:w="0" w:type="auto"/>
            <w:tcBorders>
              <w:top w:val="single" w:sz="12" w:space="0" w:color="auto"/>
              <w:bottom w:val="single" w:sz="6" w:space="0" w:color="auto"/>
            </w:tcBorders>
            <w:shd w:val="clear" w:color="auto" w:fill="auto"/>
            <w:noWrap/>
            <w:vAlign w:val="center"/>
          </w:tcPr>
          <w:p w14:paraId="6F145658"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AE3</w:t>
            </w:r>
          </w:p>
        </w:tc>
        <w:tc>
          <w:tcPr>
            <w:tcW w:w="0" w:type="auto"/>
            <w:tcBorders>
              <w:top w:val="single" w:sz="12" w:space="0" w:color="auto"/>
              <w:bottom w:val="single" w:sz="6" w:space="0" w:color="auto"/>
            </w:tcBorders>
            <w:shd w:val="clear" w:color="auto" w:fill="auto"/>
            <w:noWrap/>
            <w:vAlign w:val="center"/>
          </w:tcPr>
          <w:p w14:paraId="7A415285"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X2</w:t>
            </w:r>
          </w:p>
        </w:tc>
        <w:tc>
          <w:tcPr>
            <w:tcW w:w="0" w:type="auto"/>
            <w:tcBorders>
              <w:top w:val="single" w:sz="12" w:space="0" w:color="auto"/>
              <w:bottom w:val="single" w:sz="6" w:space="0" w:color="auto"/>
            </w:tcBorders>
            <w:shd w:val="clear" w:color="auto" w:fill="auto"/>
            <w:noWrap/>
            <w:vAlign w:val="center"/>
          </w:tcPr>
          <w:p w14:paraId="3707AF87"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AE1</w:t>
            </w:r>
          </w:p>
        </w:tc>
        <w:tc>
          <w:tcPr>
            <w:tcW w:w="0" w:type="auto"/>
            <w:tcBorders>
              <w:top w:val="single" w:sz="12" w:space="0" w:color="auto"/>
              <w:bottom w:val="single" w:sz="6" w:space="0" w:color="auto"/>
            </w:tcBorders>
            <w:shd w:val="clear" w:color="auto" w:fill="auto"/>
            <w:noWrap/>
            <w:vAlign w:val="center"/>
          </w:tcPr>
          <w:p w14:paraId="3CE5A795"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X3</w:t>
            </w:r>
          </w:p>
        </w:tc>
        <w:tc>
          <w:tcPr>
            <w:tcW w:w="0" w:type="auto"/>
            <w:tcBorders>
              <w:top w:val="single" w:sz="12" w:space="0" w:color="auto"/>
              <w:bottom w:val="single" w:sz="6" w:space="0" w:color="auto"/>
            </w:tcBorders>
            <w:shd w:val="clear" w:color="auto" w:fill="auto"/>
            <w:noWrap/>
            <w:vAlign w:val="center"/>
          </w:tcPr>
          <w:p w14:paraId="515ADB4A"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DCR</w:t>
            </w:r>
          </w:p>
        </w:tc>
        <w:tc>
          <w:tcPr>
            <w:tcW w:w="0" w:type="auto"/>
            <w:tcBorders>
              <w:top w:val="single" w:sz="12" w:space="0" w:color="auto"/>
              <w:bottom w:val="single" w:sz="6" w:space="0" w:color="auto"/>
            </w:tcBorders>
            <w:shd w:val="clear" w:color="auto" w:fill="auto"/>
            <w:noWrap/>
            <w:vAlign w:val="center"/>
          </w:tcPr>
          <w:p w14:paraId="259B8FC2"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X4</w:t>
            </w:r>
          </w:p>
        </w:tc>
        <w:tc>
          <w:tcPr>
            <w:tcW w:w="0" w:type="auto"/>
            <w:tcBorders>
              <w:top w:val="single" w:sz="12" w:space="0" w:color="auto"/>
              <w:bottom w:val="single" w:sz="6" w:space="0" w:color="auto"/>
            </w:tcBorders>
            <w:shd w:val="clear" w:color="auto" w:fill="auto"/>
            <w:noWrap/>
            <w:vAlign w:val="center"/>
          </w:tcPr>
          <w:p w14:paraId="5BE6D234"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MODE</w:t>
            </w:r>
          </w:p>
        </w:tc>
        <w:tc>
          <w:tcPr>
            <w:tcW w:w="0" w:type="auto"/>
            <w:tcBorders>
              <w:top w:val="single" w:sz="12" w:space="0" w:color="auto"/>
              <w:bottom w:val="single" w:sz="6" w:space="0" w:color="auto"/>
            </w:tcBorders>
            <w:shd w:val="clear" w:color="auto" w:fill="auto"/>
            <w:noWrap/>
            <w:vAlign w:val="center"/>
          </w:tcPr>
          <w:p w14:paraId="411AEEBB"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X5</w:t>
            </w:r>
          </w:p>
        </w:tc>
        <w:tc>
          <w:tcPr>
            <w:tcW w:w="0" w:type="auto"/>
            <w:tcBorders>
              <w:top w:val="single" w:sz="12" w:space="0" w:color="auto"/>
              <w:bottom w:val="single" w:sz="6" w:space="0" w:color="auto"/>
            </w:tcBorders>
            <w:shd w:val="clear" w:color="auto" w:fill="auto"/>
            <w:noWrap/>
            <w:vAlign w:val="center"/>
          </w:tcPr>
          <w:p w14:paraId="41454D9B"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COST</w:t>
            </w:r>
          </w:p>
        </w:tc>
        <w:tc>
          <w:tcPr>
            <w:tcW w:w="0" w:type="auto"/>
            <w:tcBorders>
              <w:top w:val="single" w:sz="12" w:space="0" w:color="auto"/>
              <w:bottom w:val="single" w:sz="6" w:space="0" w:color="auto"/>
            </w:tcBorders>
            <w:shd w:val="clear" w:color="auto" w:fill="auto"/>
            <w:noWrap/>
            <w:vAlign w:val="center"/>
          </w:tcPr>
          <w:p w14:paraId="1ABF0CB3"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X6</w:t>
            </w:r>
          </w:p>
        </w:tc>
        <w:tc>
          <w:tcPr>
            <w:tcW w:w="0" w:type="auto"/>
            <w:tcBorders>
              <w:top w:val="single" w:sz="12" w:space="0" w:color="auto"/>
              <w:bottom w:val="single" w:sz="6" w:space="0" w:color="auto"/>
            </w:tcBorders>
            <w:shd w:val="clear" w:color="auto" w:fill="auto"/>
            <w:noWrap/>
            <w:vAlign w:val="center"/>
          </w:tcPr>
          <w:p w14:paraId="2E56FD41"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kern w:val="0"/>
                <w:sz w:val="20"/>
                <w:szCs w:val="20"/>
                <w:lang w:bidi="ar"/>
              </w:rPr>
            </w:pPr>
            <w:r>
              <w:rPr>
                <w:rFonts w:eastAsia="等线"/>
                <w:color w:val="000000"/>
                <w:kern w:val="0"/>
                <w:sz w:val="20"/>
                <w:szCs w:val="20"/>
                <w:lang w:bidi="ar"/>
              </w:rPr>
              <w:t xml:space="preserve">Composite </w:t>
            </w:r>
          </w:p>
          <w:p w14:paraId="5A3E725D"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Score</w:t>
            </w:r>
          </w:p>
        </w:tc>
        <w:tc>
          <w:tcPr>
            <w:tcW w:w="0" w:type="auto"/>
            <w:tcBorders>
              <w:top w:val="single" w:sz="12" w:space="0" w:color="auto"/>
              <w:bottom w:val="single" w:sz="6" w:space="0" w:color="auto"/>
            </w:tcBorders>
            <w:shd w:val="clear" w:color="auto" w:fill="auto"/>
            <w:noWrap/>
            <w:vAlign w:val="center"/>
          </w:tcPr>
          <w:p w14:paraId="28B64C21"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hint="eastAsia"/>
                <w:color w:val="000000"/>
                <w:kern w:val="0"/>
                <w:sz w:val="20"/>
                <w:szCs w:val="20"/>
                <w:lang w:bidi="ar"/>
              </w:rPr>
              <w:t>S</w:t>
            </w:r>
            <w:r>
              <w:rPr>
                <w:rFonts w:eastAsia="等线"/>
                <w:color w:val="000000"/>
                <w:kern w:val="0"/>
                <w:sz w:val="20"/>
                <w:szCs w:val="20"/>
                <w:lang w:bidi="ar"/>
              </w:rPr>
              <w:t>oft</w:t>
            </w:r>
            <w:r>
              <w:rPr>
                <w:rFonts w:eastAsia="等线"/>
                <w:color w:val="000000"/>
                <w:kern w:val="0"/>
                <w:sz w:val="20"/>
                <w:szCs w:val="20"/>
                <w:lang w:bidi="ar"/>
              </w:rPr>
              <w:br/>
              <w:t>Probability</w:t>
            </w:r>
          </w:p>
        </w:tc>
        <w:tc>
          <w:tcPr>
            <w:tcW w:w="1323" w:type="dxa"/>
            <w:tcBorders>
              <w:top w:val="single" w:sz="12" w:space="0" w:color="auto"/>
              <w:bottom w:val="single" w:sz="6" w:space="0" w:color="auto"/>
            </w:tcBorders>
            <w:shd w:val="clear" w:color="auto" w:fill="auto"/>
            <w:noWrap/>
            <w:vAlign w:val="center"/>
          </w:tcPr>
          <w:p w14:paraId="74934881"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Sequence Probability</w:t>
            </w:r>
          </w:p>
        </w:tc>
        <w:tc>
          <w:tcPr>
            <w:tcW w:w="850" w:type="dxa"/>
            <w:tcBorders>
              <w:top w:val="single" w:sz="12" w:space="0" w:color="auto"/>
              <w:bottom w:val="single" w:sz="6" w:space="0" w:color="auto"/>
            </w:tcBorders>
            <w:shd w:val="clear" w:color="auto" w:fill="auto"/>
            <w:noWrap/>
            <w:vAlign w:val="center"/>
          </w:tcPr>
          <w:p w14:paraId="515177BF" w14:textId="77777777" w:rsidR="006D1C3F" w:rsidRDefault="00000000">
            <w:pPr>
              <w:widowControl/>
              <w:snapToGrid w:val="0"/>
              <w:spacing w:line="240" w:lineRule="auto"/>
              <w:ind w:firstLineChars="0" w:firstLine="0"/>
              <w:jc w:val="center"/>
              <w:textAlignment w:val="center"/>
              <w:cnfStyle w:val="100000000000" w:firstRow="1" w:lastRow="0" w:firstColumn="0" w:lastColumn="0" w:oddVBand="0" w:evenVBand="0" w:oddHBand="0" w:evenHBand="0" w:firstRowFirstColumn="0" w:firstRowLastColumn="0" w:lastRowFirstColumn="0" w:lastRowLastColumn="0"/>
              <w:rPr>
                <w:rFonts w:eastAsia="等线"/>
                <w:b/>
                <w:bCs/>
                <w:color w:val="000000"/>
                <w:sz w:val="20"/>
                <w:szCs w:val="20"/>
              </w:rPr>
            </w:pPr>
            <w:r>
              <w:rPr>
                <w:rFonts w:eastAsia="等线"/>
                <w:color w:val="000000"/>
                <w:kern w:val="0"/>
                <w:sz w:val="20"/>
                <w:szCs w:val="20"/>
                <w:lang w:bidi="ar"/>
              </w:rPr>
              <w:t>Rank</w:t>
            </w:r>
          </w:p>
        </w:tc>
      </w:tr>
      <w:tr w:rsidR="006D1C3F" w14:paraId="3DEEFED2"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val="restart"/>
            <w:tcBorders>
              <w:top w:val="single" w:sz="6" w:space="0" w:color="auto"/>
            </w:tcBorders>
            <w:noWrap/>
            <w:vAlign w:val="center"/>
          </w:tcPr>
          <w:p w14:paraId="674CEDFB" w14:textId="77777777" w:rsidR="006D1C3F" w:rsidRDefault="00000000">
            <w:pPr>
              <w:widowControl/>
              <w:snapToGrid w:val="0"/>
              <w:spacing w:line="240" w:lineRule="auto"/>
              <w:ind w:firstLineChars="0" w:firstLine="0"/>
              <w:jc w:val="center"/>
              <w:textAlignment w:val="center"/>
              <w:rPr>
                <w:rFonts w:eastAsia="等线"/>
                <w:b/>
                <w:bCs/>
                <w:color w:val="000000"/>
                <w:sz w:val="20"/>
                <w:szCs w:val="20"/>
              </w:rPr>
            </w:pPr>
            <w:r>
              <w:rPr>
                <w:rFonts w:eastAsia="等线"/>
                <w:color w:val="000000"/>
                <w:kern w:val="0"/>
                <w:sz w:val="20"/>
                <w:szCs w:val="20"/>
                <w:lang w:bidi="ar"/>
              </w:rPr>
              <w:t>First-line</w:t>
            </w:r>
          </w:p>
        </w:tc>
        <w:tc>
          <w:tcPr>
            <w:tcW w:w="0" w:type="auto"/>
            <w:tcBorders>
              <w:top w:val="single" w:sz="6" w:space="0" w:color="auto"/>
            </w:tcBorders>
            <w:noWrap/>
          </w:tcPr>
          <w:p w14:paraId="0D52B68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proofErr w:type="spellStart"/>
            <w:r>
              <w:rPr>
                <w:b w:val="0"/>
                <w:bCs w:val="0"/>
              </w:rPr>
              <w:t>Crz</w:t>
            </w:r>
            <w:proofErr w:type="spellEnd"/>
          </w:p>
        </w:tc>
        <w:tc>
          <w:tcPr>
            <w:tcW w:w="0" w:type="auto"/>
            <w:tcBorders>
              <w:top w:val="single" w:sz="6" w:space="0" w:color="auto"/>
            </w:tcBorders>
            <w:noWrap/>
          </w:tcPr>
          <w:p w14:paraId="3931856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27.21</w:t>
            </w:r>
          </w:p>
        </w:tc>
        <w:tc>
          <w:tcPr>
            <w:tcW w:w="0" w:type="auto"/>
            <w:tcBorders>
              <w:top w:val="single" w:sz="6" w:space="0" w:color="auto"/>
            </w:tcBorders>
            <w:noWrap/>
          </w:tcPr>
          <w:p w14:paraId="3BD6AB6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0.255 </w:t>
            </w:r>
          </w:p>
        </w:tc>
        <w:tc>
          <w:tcPr>
            <w:tcW w:w="0" w:type="auto"/>
            <w:tcBorders>
              <w:top w:val="single" w:sz="6" w:space="0" w:color="auto"/>
            </w:tcBorders>
            <w:noWrap/>
          </w:tcPr>
          <w:p w14:paraId="3579C3F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0.55</w:t>
            </w:r>
          </w:p>
        </w:tc>
        <w:tc>
          <w:tcPr>
            <w:tcW w:w="0" w:type="auto"/>
            <w:tcBorders>
              <w:top w:val="single" w:sz="6" w:space="0" w:color="auto"/>
            </w:tcBorders>
            <w:noWrap/>
          </w:tcPr>
          <w:p w14:paraId="1B5EB94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0.703 </w:t>
            </w:r>
          </w:p>
        </w:tc>
        <w:tc>
          <w:tcPr>
            <w:tcW w:w="0" w:type="auto"/>
            <w:tcBorders>
              <w:top w:val="single" w:sz="6" w:space="0" w:color="auto"/>
            </w:tcBorders>
            <w:noWrap/>
          </w:tcPr>
          <w:p w14:paraId="1BF6087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0.87</w:t>
            </w:r>
          </w:p>
        </w:tc>
        <w:tc>
          <w:tcPr>
            <w:tcW w:w="0" w:type="auto"/>
            <w:tcBorders>
              <w:top w:val="single" w:sz="6" w:space="0" w:color="auto"/>
            </w:tcBorders>
            <w:noWrap/>
          </w:tcPr>
          <w:p w14:paraId="48AFC83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0.899 </w:t>
            </w:r>
          </w:p>
        </w:tc>
        <w:tc>
          <w:tcPr>
            <w:tcW w:w="0" w:type="auto"/>
            <w:tcBorders>
              <w:top w:val="single" w:sz="6" w:space="0" w:color="auto"/>
            </w:tcBorders>
            <w:noWrap/>
          </w:tcPr>
          <w:p w14:paraId="1AA10A6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0.87</w:t>
            </w:r>
          </w:p>
        </w:tc>
        <w:tc>
          <w:tcPr>
            <w:tcW w:w="0" w:type="auto"/>
            <w:tcBorders>
              <w:top w:val="single" w:sz="6" w:space="0" w:color="auto"/>
            </w:tcBorders>
            <w:noWrap/>
          </w:tcPr>
          <w:p w14:paraId="2F17CC4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0.615 </w:t>
            </w:r>
          </w:p>
        </w:tc>
        <w:tc>
          <w:tcPr>
            <w:tcW w:w="0" w:type="auto"/>
            <w:tcBorders>
              <w:top w:val="single" w:sz="6" w:space="0" w:color="auto"/>
            </w:tcBorders>
            <w:noWrap/>
          </w:tcPr>
          <w:p w14:paraId="3F04C3F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w:t>
            </w:r>
          </w:p>
        </w:tc>
        <w:tc>
          <w:tcPr>
            <w:tcW w:w="0" w:type="auto"/>
            <w:tcBorders>
              <w:top w:val="single" w:sz="6" w:space="0" w:color="auto"/>
            </w:tcBorders>
            <w:noWrap/>
          </w:tcPr>
          <w:p w14:paraId="34DEC47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tcBorders>
              <w:top w:val="single" w:sz="6" w:space="0" w:color="auto"/>
            </w:tcBorders>
            <w:noWrap/>
          </w:tcPr>
          <w:p w14:paraId="61237B4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280154 </w:t>
            </w:r>
          </w:p>
        </w:tc>
        <w:tc>
          <w:tcPr>
            <w:tcW w:w="0" w:type="auto"/>
            <w:tcBorders>
              <w:top w:val="single" w:sz="6" w:space="0" w:color="auto"/>
            </w:tcBorders>
            <w:noWrap/>
          </w:tcPr>
          <w:p w14:paraId="293DCE5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0.778 </w:t>
            </w:r>
          </w:p>
        </w:tc>
        <w:tc>
          <w:tcPr>
            <w:tcW w:w="0" w:type="auto"/>
            <w:tcBorders>
              <w:top w:val="single" w:sz="6" w:space="0" w:color="auto"/>
            </w:tcBorders>
            <w:noWrap/>
          </w:tcPr>
          <w:p w14:paraId="43213D7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0.58 </w:t>
            </w:r>
          </w:p>
        </w:tc>
        <w:tc>
          <w:tcPr>
            <w:tcW w:w="0" w:type="auto"/>
            <w:tcBorders>
              <w:top w:val="single" w:sz="6" w:space="0" w:color="auto"/>
            </w:tcBorders>
            <w:noWrap/>
          </w:tcPr>
          <w:p w14:paraId="6D3ED21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14.05%</w:t>
            </w:r>
          </w:p>
        </w:tc>
        <w:tc>
          <w:tcPr>
            <w:tcW w:w="1323" w:type="dxa"/>
            <w:tcBorders>
              <w:top w:val="single" w:sz="6" w:space="0" w:color="auto"/>
            </w:tcBorders>
            <w:noWrap/>
          </w:tcPr>
          <w:p w14:paraId="1E0FC05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c>
          <w:tcPr>
            <w:tcW w:w="850" w:type="dxa"/>
            <w:tcBorders>
              <w:top w:val="single" w:sz="6" w:space="0" w:color="auto"/>
            </w:tcBorders>
            <w:noWrap/>
          </w:tcPr>
          <w:p w14:paraId="5D526B6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r>
      <w:tr w:rsidR="006D1C3F" w14:paraId="2FD3D7E3"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14B2A52B"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4772529"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Ale</w:t>
            </w:r>
          </w:p>
        </w:tc>
        <w:tc>
          <w:tcPr>
            <w:tcW w:w="0" w:type="auto"/>
            <w:noWrap/>
          </w:tcPr>
          <w:p w14:paraId="09D954C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53.9 </w:t>
            </w:r>
          </w:p>
        </w:tc>
        <w:tc>
          <w:tcPr>
            <w:tcW w:w="0" w:type="auto"/>
            <w:noWrap/>
          </w:tcPr>
          <w:p w14:paraId="71957F8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0.646 </w:t>
            </w:r>
          </w:p>
        </w:tc>
        <w:tc>
          <w:tcPr>
            <w:tcW w:w="0" w:type="auto"/>
            <w:noWrap/>
          </w:tcPr>
          <w:p w14:paraId="0F4A2A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0.42</w:t>
            </w:r>
          </w:p>
        </w:tc>
        <w:tc>
          <w:tcPr>
            <w:tcW w:w="0" w:type="auto"/>
            <w:noWrap/>
          </w:tcPr>
          <w:p w14:paraId="2B5A815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4A212E3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0.98</w:t>
            </w:r>
          </w:p>
        </w:tc>
        <w:tc>
          <w:tcPr>
            <w:tcW w:w="0" w:type="auto"/>
            <w:noWrap/>
          </w:tcPr>
          <w:p w14:paraId="75F6C99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0.131 </w:t>
            </w:r>
          </w:p>
        </w:tc>
        <w:tc>
          <w:tcPr>
            <w:tcW w:w="0" w:type="auto"/>
            <w:noWrap/>
          </w:tcPr>
          <w:p w14:paraId="17A1CA3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0.97</w:t>
            </w:r>
          </w:p>
        </w:tc>
        <w:tc>
          <w:tcPr>
            <w:tcW w:w="0" w:type="auto"/>
            <w:noWrap/>
          </w:tcPr>
          <w:p w14:paraId="34D7070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3835851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w:t>
            </w:r>
          </w:p>
        </w:tc>
        <w:tc>
          <w:tcPr>
            <w:tcW w:w="0" w:type="auto"/>
            <w:noWrap/>
          </w:tcPr>
          <w:p w14:paraId="783F8C4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38F4B61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735376 </w:t>
            </w:r>
          </w:p>
        </w:tc>
        <w:tc>
          <w:tcPr>
            <w:tcW w:w="0" w:type="auto"/>
            <w:noWrap/>
          </w:tcPr>
          <w:p w14:paraId="1EF967D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0.406 </w:t>
            </w:r>
          </w:p>
        </w:tc>
        <w:tc>
          <w:tcPr>
            <w:tcW w:w="0" w:type="auto"/>
            <w:noWrap/>
          </w:tcPr>
          <w:p w14:paraId="61118FC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0.59 </w:t>
            </w:r>
          </w:p>
        </w:tc>
        <w:tc>
          <w:tcPr>
            <w:tcW w:w="0" w:type="auto"/>
            <w:noWrap/>
          </w:tcPr>
          <w:p w14:paraId="79C4A11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14.28%</w:t>
            </w:r>
          </w:p>
        </w:tc>
        <w:tc>
          <w:tcPr>
            <w:tcW w:w="1323" w:type="dxa"/>
            <w:noWrap/>
          </w:tcPr>
          <w:p w14:paraId="0766237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c>
          <w:tcPr>
            <w:tcW w:w="850" w:type="dxa"/>
            <w:noWrap/>
          </w:tcPr>
          <w:p w14:paraId="746A5F3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r>
      <w:tr w:rsidR="006D1C3F" w14:paraId="45E7A0E3"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D0DF2B5" w14:textId="77777777" w:rsidR="006D1C3F" w:rsidRDefault="006D1C3F">
            <w:pPr>
              <w:snapToGrid w:val="0"/>
              <w:ind w:firstLineChars="0" w:firstLine="0"/>
              <w:jc w:val="center"/>
              <w:rPr>
                <w:rFonts w:eastAsia="等线"/>
                <w:b/>
                <w:bCs/>
                <w:color w:val="000000"/>
                <w:sz w:val="20"/>
                <w:szCs w:val="20"/>
              </w:rPr>
            </w:pPr>
          </w:p>
        </w:tc>
        <w:tc>
          <w:tcPr>
            <w:tcW w:w="0" w:type="auto"/>
            <w:noWrap/>
          </w:tcPr>
          <w:p w14:paraId="4B250263"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Bri</w:t>
            </w:r>
          </w:p>
        </w:tc>
        <w:tc>
          <w:tcPr>
            <w:tcW w:w="0" w:type="auto"/>
            <w:noWrap/>
          </w:tcPr>
          <w:p w14:paraId="65D97A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47.13 </w:t>
            </w:r>
          </w:p>
        </w:tc>
        <w:tc>
          <w:tcPr>
            <w:tcW w:w="0" w:type="auto"/>
            <w:noWrap/>
          </w:tcPr>
          <w:p w14:paraId="634C380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0.548 </w:t>
            </w:r>
          </w:p>
        </w:tc>
        <w:tc>
          <w:tcPr>
            <w:tcW w:w="0" w:type="auto"/>
            <w:noWrap/>
          </w:tcPr>
          <w:p w14:paraId="7E0E04A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0.73</w:t>
            </w:r>
          </w:p>
        </w:tc>
        <w:tc>
          <w:tcPr>
            <w:tcW w:w="0" w:type="auto"/>
            <w:noWrap/>
          </w:tcPr>
          <w:p w14:paraId="7AD6AAD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0.291 </w:t>
            </w:r>
          </w:p>
        </w:tc>
        <w:tc>
          <w:tcPr>
            <w:tcW w:w="0" w:type="auto"/>
            <w:noWrap/>
          </w:tcPr>
          <w:p w14:paraId="1865620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0.99 </w:t>
            </w:r>
          </w:p>
        </w:tc>
        <w:tc>
          <w:tcPr>
            <w:tcW w:w="0" w:type="auto"/>
            <w:noWrap/>
          </w:tcPr>
          <w:p w14:paraId="046DC77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0.071 </w:t>
            </w:r>
          </w:p>
        </w:tc>
        <w:tc>
          <w:tcPr>
            <w:tcW w:w="0" w:type="auto"/>
            <w:noWrap/>
          </w:tcPr>
          <w:p w14:paraId="0289C07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0.73</w:t>
            </w:r>
          </w:p>
        </w:tc>
        <w:tc>
          <w:tcPr>
            <w:tcW w:w="0" w:type="auto"/>
            <w:noWrap/>
          </w:tcPr>
          <w:p w14:paraId="79A8D9A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0.000 </w:t>
            </w:r>
          </w:p>
        </w:tc>
        <w:tc>
          <w:tcPr>
            <w:tcW w:w="0" w:type="auto"/>
            <w:noWrap/>
          </w:tcPr>
          <w:p w14:paraId="5DB3191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w:t>
            </w:r>
          </w:p>
        </w:tc>
        <w:tc>
          <w:tcPr>
            <w:tcW w:w="0" w:type="auto"/>
            <w:noWrap/>
          </w:tcPr>
          <w:p w14:paraId="3AD6591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4C251AC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413523 </w:t>
            </w:r>
          </w:p>
        </w:tc>
        <w:tc>
          <w:tcPr>
            <w:tcW w:w="0" w:type="auto"/>
            <w:noWrap/>
          </w:tcPr>
          <w:p w14:paraId="46821AF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0.669 </w:t>
            </w:r>
          </w:p>
        </w:tc>
        <w:tc>
          <w:tcPr>
            <w:tcW w:w="0" w:type="auto"/>
            <w:noWrap/>
          </w:tcPr>
          <w:p w14:paraId="08505BA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0.36 </w:t>
            </w:r>
          </w:p>
        </w:tc>
        <w:tc>
          <w:tcPr>
            <w:tcW w:w="0" w:type="auto"/>
            <w:noWrap/>
          </w:tcPr>
          <w:p w14:paraId="0DD9EAA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11.31%</w:t>
            </w:r>
          </w:p>
        </w:tc>
        <w:tc>
          <w:tcPr>
            <w:tcW w:w="1323" w:type="dxa"/>
            <w:noWrap/>
          </w:tcPr>
          <w:p w14:paraId="7C0C6E6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c>
          <w:tcPr>
            <w:tcW w:w="850" w:type="dxa"/>
            <w:noWrap/>
          </w:tcPr>
          <w:p w14:paraId="03F4157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r>
      <w:tr w:rsidR="006D1C3F" w14:paraId="0CF10DC9"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2140293" w14:textId="77777777" w:rsidR="006D1C3F" w:rsidRDefault="006D1C3F">
            <w:pPr>
              <w:snapToGrid w:val="0"/>
              <w:ind w:firstLineChars="0" w:firstLine="0"/>
              <w:jc w:val="center"/>
              <w:rPr>
                <w:rFonts w:eastAsia="等线"/>
                <w:b/>
                <w:bCs/>
                <w:color w:val="000000"/>
                <w:sz w:val="20"/>
                <w:szCs w:val="20"/>
              </w:rPr>
            </w:pPr>
          </w:p>
        </w:tc>
        <w:tc>
          <w:tcPr>
            <w:tcW w:w="0" w:type="auto"/>
            <w:noWrap/>
          </w:tcPr>
          <w:p w14:paraId="34B3A0A3"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Cer</w:t>
            </w:r>
          </w:p>
        </w:tc>
        <w:tc>
          <w:tcPr>
            <w:tcW w:w="0" w:type="auto"/>
            <w:noWrap/>
          </w:tcPr>
          <w:p w14:paraId="6A2661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25.33 </w:t>
            </w:r>
          </w:p>
        </w:tc>
        <w:tc>
          <w:tcPr>
            <w:tcW w:w="0" w:type="auto"/>
            <w:noWrap/>
          </w:tcPr>
          <w:p w14:paraId="5D85FEA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0.228 </w:t>
            </w:r>
          </w:p>
        </w:tc>
        <w:tc>
          <w:tcPr>
            <w:tcW w:w="0" w:type="auto"/>
            <w:noWrap/>
          </w:tcPr>
          <w:p w14:paraId="7888426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0.86</w:t>
            </w:r>
          </w:p>
        </w:tc>
        <w:tc>
          <w:tcPr>
            <w:tcW w:w="0" w:type="auto"/>
            <w:noWrap/>
          </w:tcPr>
          <w:p w14:paraId="1E6890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0.000 </w:t>
            </w:r>
          </w:p>
        </w:tc>
        <w:tc>
          <w:tcPr>
            <w:tcW w:w="0" w:type="auto"/>
            <w:noWrap/>
          </w:tcPr>
          <w:p w14:paraId="2C8B06B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0.86</w:t>
            </w:r>
          </w:p>
        </w:tc>
        <w:tc>
          <w:tcPr>
            <w:tcW w:w="0" w:type="auto"/>
            <w:noWrap/>
          </w:tcPr>
          <w:p w14:paraId="6C8E7C4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314317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0.91</w:t>
            </w:r>
          </w:p>
        </w:tc>
        <w:tc>
          <w:tcPr>
            <w:tcW w:w="0" w:type="auto"/>
            <w:noWrap/>
          </w:tcPr>
          <w:p w14:paraId="75F6A82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0.743 </w:t>
            </w:r>
          </w:p>
        </w:tc>
        <w:tc>
          <w:tcPr>
            <w:tcW w:w="0" w:type="auto"/>
            <w:noWrap/>
          </w:tcPr>
          <w:p w14:paraId="129D2B6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w:t>
            </w:r>
          </w:p>
        </w:tc>
        <w:tc>
          <w:tcPr>
            <w:tcW w:w="0" w:type="auto"/>
            <w:noWrap/>
          </w:tcPr>
          <w:p w14:paraId="3297868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7A0FEC8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246664 </w:t>
            </w:r>
          </w:p>
        </w:tc>
        <w:tc>
          <w:tcPr>
            <w:tcW w:w="0" w:type="auto"/>
            <w:noWrap/>
          </w:tcPr>
          <w:p w14:paraId="4FF13BC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0.805 </w:t>
            </w:r>
          </w:p>
        </w:tc>
        <w:tc>
          <w:tcPr>
            <w:tcW w:w="0" w:type="auto"/>
            <w:noWrap/>
          </w:tcPr>
          <w:p w14:paraId="748F01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0.51 </w:t>
            </w:r>
          </w:p>
        </w:tc>
        <w:tc>
          <w:tcPr>
            <w:tcW w:w="0" w:type="auto"/>
            <w:noWrap/>
          </w:tcPr>
          <w:p w14:paraId="2D2E25C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13.09%</w:t>
            </w:r>
          </w:p>
        </w:tc>
        <w:tc>
          <w:tcPr>
            <w:tcW w:w="1323" w:type="dxa"/>
            <w:noWrap/>
          </w:tcPr>
          <w:p w14:paraId="5E6BD66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c>
          <w:tcPr>
            <w:tcW w:w="850" w:type="dxa"/>
            <w:noWrap/>
          </w:tcPr>
          <w:p w14:paraId="6A0CED1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r>
      <w:tr w:rsidR="006D1C3F" w14:paraId="061042DF"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16AA9DDB"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A769920"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Ens</w:t>
            </w:r>
          </w:p>
        </w:tc>
        <w:tc>
          <w:tcPr>
            <w:tcW w:w="0" w:type="auto"/>
            <w:noWrap/>
          </w:tcPr>
          <w:p w14:paraId="22DD2DC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51.19 </w:t>
            </w:r>
          </w:p>
        </w:tc>
        <w:tc>
          <w:tcPr>
            <w:tcW w:w="0" w:type="auto"/>
            <w:noWrap/>
          </w:tcPr>
          <w:p w14:paraId="1A32EEC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0.607 </w:t>
            </w:r>
          </w:p>
        </w:tc>
        <w:tc>
          <w:tcPr>
            <w:tcW w:w="0" w:type="auto"/>
            <w:noWrap/>
          </w:tcPr>
          <w:p w14:paraId="2EFE67C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0.71</w:t>
            </w:r>
          </w:p>
        </w:tc>
        <w:tc>
          <w:tcPr>
            <w:tcW w:w="0" w:type="auto"/>
            <w:noWrap/>
          </w:tcPr>
          <w:p w14:paraId="70E065A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0.337 </w:t>
            </w:r>
          </w:p>
        </w:tc>
        <w:tc>
          <w:tcPr>
            <w:tcW w:w="0" w:type="auto"/>
            <w:noWrap/>
          </w:tcPr>
          <w:p w14:paraId="6BA8BD7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0.99</w:t>
            </w:r>
          </w:p>
        </w:tc>
        <w:tc>
          <w:tcPr>
            <w:tcW w:w="0" w:type="auto"/>
            <w:noWrap/>
          </w:tcPr>
          <w:p w14:paraId="437A4E2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0.100 </w:t>
            </w:r>
          </w:p>
        </w:tc>
        <w:tc>
          <w:tcPr>
            <w:tcW w:w="0" w:type="auto"/>
            <w:noWrap/>
          </w:tcPr>
          <w:p w14:paraId="4614539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0.93</w:t>
            </w:r>
          </w:p>
        </w:tc>
        <w:tc>
          <w:tcPr>
            <w:tcW w:w="0" w:type="auto"/>
            <w:noWrap/>
          </w:tcPr>
          <w:p w14:paraId="14D73DD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0.849 </w:t>
            </w:r>
          </w:p>
        </w:tc>
        <w:tc>
          <w:tcPr>
            <w:tcW w:w="0" w:type="auto"/>
            <w:noWrap/>
          </w:tcPr>
          <w:p w14:paraId="206B47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w:t>
            </w:r>
          </w:p>
        </w:tc>
        <w:tc>
          <w:tcPr>
            <w:tcW w:w="0" w:type="auto"/>
            <w:noWrap/>
          </w:tcPr>
          <w:p w14:paraId="4EAB8B6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260ED5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511588 </w:t>
            </w:r>
          </w:p>
        </w:tc>
        <w:tc>
          <w:tcPr>
            <w:tcW w:w="0" w:type="auto"/>
            <w:noWrap/>
          </w:tcPr>
          <w:p w14:paraId="222C802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0.589 </w:t>
            </w:r>
          </w:p>
        </w:tc>
        <w:tc>
          <w:tcPr>
            <w:tcW w:w="0" w:type="auto"/>
            <w:noWrap/>
          </w:tcPr>
          <w:p w14:paraId="203CFC8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0.47 </w:t>
            </w:r>
          </w:p>
        </w:tc>
        <w:tc>
          <w:tcPr>
            <w:tcW w:w="0" w:type="auto"/>
            <w:noWrap/>
          </w:tcPr>
          <w:p w14:paraId="5EAFE4B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12.67%</w:t>
            </w:r>
          </w:p>
        </w:tc>
        <w:tc>
          <w:tcPr>
            <w:tcW w:w="1323" w:type="dxa"/>
            <w:noWrap/>
          </w:tcPr>
          <w:p w14:paraId="1CE6F48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c>
          <w:tcPr>
            <w:tcW w:w="850" w:type="dxa"/>
            <w:noWrap/>
          </w:tcPr>
          <w:p w14:paraId="633F14D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r>
      <w:tr w:rsidR="006D1C3F" w14:paraId="3BC63971"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8E21DA9" w14:textId="77777777" w:rsidR="006D1C3F" w:rsidRDefault="006D1C3F">
            <w:pPr>
              <w:snapToGrid w:val="0"/>
              <w:ind w:firstLineChars="0" w:firstLine="0"/>
              <w:jc w:val="center"/>
              <w:rPr>
                <w:rFonts w:eastAsia="等线"/>
                <w:b/>
                <w:bCs/>
                <w:color w:val="000000"/>
                <w:sz w:val="20"/>
                <w:szCs w:val="20"/>
              </w:rPr>
            </w:pPr>
          </w:p>
        </w:tc>
        <w:tc>
          <w:tcPr>
            <w:tcW w:w="0" w:type="auto"/>
            <w:noWrap/>
          </w:tcPr>
          <w:p w14:paraId="55989C28"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Env</w:t>
            </w:r>
          </w:p>
        </w:tc>
        <w:tc>
          <w:tcPr>
            <w:tcW w:w="0" w:type="auto"/>
            <w:noWrap/>
          </w:tcPr>
          <w:p w14:paraId="5AAB9A7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32.85 </w:t>
            </w:r>
          </w:p>
        </w:tc>
        <w:tc>
          <w:tcPr>
            <w:tcW w:w="0" w:type="auto"/>
            <w:noWrap/>
          </w:tcPr>
          <w:p w14:paraId="0451FC0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0.338 </w:t>
            </w:r>
          </w:p>
        </w:tc>
        <w:tc>
          <w:tcPr>
            <w:tcW w:w="0" w:type="auto"/>
            <w:noWrap/>
          </w:tcPr>
          <w:p w14:paraId="583EA43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0.63</w:t>
            </w:r>
          </w:p>
        </w:tc>
        <w:tc>
          <w:tcPr>
            <w:tcW w:w="0" w:type="auto"/>
            <w:noWrap/>
          </w:tcPr>
          <w:p w14:paraId="762E754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0.519 </w:t>
            </w:r>
          </w:p>
        </w:tc>
        <w:tc>
          <w:tcPr>
            <w:tcW w:w="0" w:type="auto"/>
            <w:noWrap/>
          </w:tcPr>
          <w:p w14:paraId="6F55C71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0.99</w:t>
            </w:r>
          </w:p>
        </w:tc>
        <w:tc>
          <w:tcPr>
            <w:tcW w:w="0" w:type="auto"/>
            <w:noWrap/>
          </w:tcPr>
          <w:p w14:paraId="48C45E8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0.054 </w:t>
            </w:r>
          </w:p>
        </w:tc>
        <w:tc>
          <w:tcPr>
            <w:tcW w:w="0" w:type="auto"/>
            <w:noWrap/>
          </w:tcPr>
          <w:p w14:paraId="306A52E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0.92</w:t>
            </w:r>
          </w:p>
        </w:tc>
        <w:tc>
          <w:tcPr>
            <w:tcW w:w="0" w:type="auto"/>
            <w:noWrap/>
          </w:tcPr>
          <w:p w14:paraId="79FB522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0.790 </w:t>
            </w:r>
          </w:p>
        </w:tc>
        <w:tc>
          <w:tcPr>
            <w:tcW w:w="0" w:type="auto"/>
            <w:noWrap/>
          </w:tcPr>
          <w:p w14:paraId="398C04D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w:t>
            </w:r>
          </w:p>
        </w:tc>
        <w:tc>
          <w:tcPr>
            <w:tcW w:w="0" w:type="auto"/>
            <w:noWrap/>
          </w:tcPr>
          <w:p w14:paraId="4BA1FE5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20A690A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324032 </w:t>
            </w:r>
          </w:p>
        </w:tc>
        <w:tc>
          <w:tcPr>
            <w:tcW w:w="0" w:type="auto"/>
            <w:noWrap/>
          </w:tcPr>
          <w:p w14:paraId="3108B3C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0.742 </w:t>
            </w:r>
          </w:p>
        </w:tc>
        <w:tc>
          <w:tcPr>
            <w:tcW w:w="0" w:type="auto"/>
            <w:noWrap/>
          </w:tcPr>
          <w:p w14:paraId="35E5DA5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0.38 </w:t>
            </w:r>
          </w:p>
        </w:tc>
        <w:tc>
          <w:tcPr>
            <w:tcW w:w="0" w:type="auto"/>
            <w:noWrap/>
          </w:tcPr>
          <w:p w14:paraId="4DF54D6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11.56%</w:t>
            </w:r>
          </w:p>
        </w:tc>
        <w:tc>
          <w:tcPr>
            <w:tcW w:w="1323" w:type="dxa"/>
            <w:noWrap/>
          </w:tcPr>
          <w:p w14:paraId="56A6A16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c>
          <w:tcPr>
            <w:tcW w:w="850" w:type="dxa"/>
            <w:noWrap/>
          </w:tcPr>
          <w:p w14:paraId="518A25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r>
      <w:tr w:rsidR="006D1C3F" w14:paraId="7E3DB03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E96738D"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CDBB759"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Che</w:t>
            </w:r>
          </w:p>
        </w:tc>
        <w:tc>
          <w:tcPr>
            <w:tcW w:w="0" w:type="auto"/>
            <w:noWrap/>
          </w:tcPr>
          <w:p w14:paraId="0415A3F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9.81 </w:t>
            </w:r>
          </w:p>
        </w:tc>
        <w:tc>
          <w:tcPr>
            <w:tcW w:w="0" w:type="auto"/>
            <w:noWrap/>
          </w:tcPr>
          <w:p w14:paraId="4D40951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0.000 </w:t>
            </w:r>
          </w:p>
        </w:tc>
        <w:tc>
          <w:tcPr>
            <w:tcW w:w="0" w:type="auto"/>
            <w:noWrap/>
          </w:tcPr>
          <w:p w14:paraId="41A3B8E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0.58</w:t>
            </w:r>
          </w:p>
        </w:tc>
        <w:tc>
          <w:tcPr>
            <w:tcW w:w="0" w:type="auto"/>
            <w:noWrap/>
          </w:tcPr>
          <w:p w14:paraId="40F9DFF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0.637 </w:t>
            </w:r>
          </w:p>
        </w:tc>
        <w:tc>
          <w:tcPr>
            <w:tcW w:w="0" w:type="auto"/>
            <w:noWrap/>
          </w:tcPr>
          <w:p w14:paraId="4D12FE3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0.98</w:t>
            </w:r>
          </w:p>
        </w:tc>
        <w:tc>
          <w:tcPr>
            <w:tcW w:w="0" w:type="auto"/>
            <w:noWrap/>
          </w:tcPr>
          <w:p w14:paraId="6CAEA5B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0.132 </w:t>
            </w:r>
          </w:p>
        </w:tc>
        <w:tc>
          <w:tcPr>
            <w:tcW w:w="0" w:type="auto"/>
            <w:noWrap/>
          </w:tcPr>
          <w:p w14:paraId="031870B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0.74</w:t>
            </w:r>
          </w:p>
        </w:tc>
        <w:tc>
          <w:tcPr>
            <w:tcW w:w="0" w:type="auto"/>
            <w:noWrap/>
          </w:tcPr>
          <w:p w14:paraId="5BA8F37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0.034 </w:t>
            </w:r>
          </w:p>
        </w:tc>
        <w:tc>
          <w:tcPr>
            <w:tcW w:w="0" w:type="auto"/>
            <w:noWrap/>
          </w:tcPr>
          <w:p w14:paraId="7B913E6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w:t>
            </w:r>
          </w:p>
        </w:tc>
        <w:tc>
          <w:tcPr>
            <w:tcW w:w="0" w:type="auto"/>
            <w:noWrap/>
          </w:tcPr>
          <w:p w14:paraId="0E12DC6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0.000 </w:t>
            </w:r>
          </w:p>
        </w:tc>
        <w:tc>
          <w:tcPr>
            <w:tcW w:w="0" w:type="auto"/>
            <w:noWrap/>
          </w:tcPr>
          <w:p w14:paraId="049EABF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8133 </w:t>
            </w:r>
          </w:p>
        </w:tc>
        <w:tc>
          <w:tcPr>
            <w:tcW w:w="0" w:type="auto"/>
            <w:noWrap/>
          </w:tcPr>
          <w:p w14:paraId="563729C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1D4B4A8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0.19 </w:t>
            </w:r>
          </w:p>
        </w:tc>
        <w:tc>
          <w:tcPr>
            <w:tcW w:w="0" w:type="auto"/>
            <w:noWrap/>
          </w:tcPr>
          <w:p w14:paraId="6C76171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9.58%</w:t>
            </w:r>
          </w:p>
        </w:tc>
        <w:tc>
          <w:tcPr>
            <w:tcW w:w="1323" w:type="dxa"/>
            <w:noWrap/>
          </w:tcPr>
          <w:p w14:paraId="095FF01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c>
          <w:tcPr>
            <w:tcW w:w="850" w:type="dxa"/>
            <w:noWrap/>
          </w:tcPr>
          <w:p w14:paraId="4089B6F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r>
      <w:tr w:rsidR="006D1C3F" w14:paraId="2B4CCB8A"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1F9E49E9" w14:textId="77777777" w:rsidR="006D1C3F" w:rsidRDefault="006D1C3F">
            <w:pPr>
              <w:snapToGrid w:val="0"/>
              <w:ind w:firstLineChars="0" w:firstLine="0"/>
              <w:jc w:val="center"/>
              <w:rPr>
                <w:rFonts w:eastAsia="等线"/>
                <w:b/>
                <w:bCs/>
                <w:color w:val="000000"/>
                <w:sz w:val="20"/>
                <w:szCs w:val="20"/>
              </w:rPr>
            </w:pPr>
          </w:p>
        </w:tc>
        <w:tc>
          <w:tcPr>
            <w:tcW w:w="0" w:type="auto"/>
            <w:noWrap/>
          </w:tcPr>
          <w:p w14:paraId="168622F9"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Lor</w:t>
            </w:r>
          </w:p>
        </w:tc>
        <w:tc>
          <w:tcPr>
            <w:tcW w:w="0" w:type="auto"/>
            <w:noWrap/>
          </w:tcPr>
          <w:p w14:paraId="32F86E3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77.97 </w:t>
            </w:r>
          </w:p>
        </w:tc>
        <w:tc>
          <w:tcPr>
            <w:tcW w:w="0" w:type="auto"/>
            <w:noWrap/>
          </w:tcPr>
          <w:p w14:paraId="7FA82F6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723082C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0.76</w:t>
            </w:r>
          </w:p>
        </w:tc>
        <w:tc>
          <w:tcPr>
            <w:tcW w:w="0" w:type="auto"/>
            <w:noWrap/>
          </w:tcPr>
          <w:p w14:paraId="4A16C56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0.223 </w:t>
            </w:r>
          </w:p>
        </w:tc>
        <w:tc>
          <w:tcPr>
            <w:tcW w:w="0" w:type="auto"/>
            <w:noWrap/>
          </w:tcPr>
          <w:p w14:paraId="66A076B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1.00</w:t>
            </w:r>
          </w:p>
        </w:tc>
        <w:tc>
          <w:tcPr>
            <w:tcW w:w="0" w:type="auto"/>
            <w:noWrap/>
          </w:tcPr>
          <w:p w14:paraId="34F6D99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0.000 </w:t>
            </w:r>
          </w:p>
        </w:tc>
        <w:tc>
          <w:tcPr>
            <w:tcW w:w="0" w:type="auto"/>
            <w:noWrap/>
          </w:tcPr>
          <w:p w14:paraId="7D07506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0.88</w:t>
            </w:r>
          </w:p>
        </w:tc>
        <w:tc>
          <w:tcPr>
            <w:tcW w:w="0" w:type="auto"/>
            <w:noWrap/>
          </w:tcPr>
          <w:p w14:paraId="1CA4364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0.637 </w:t>
            </w:r>
          </w:p>
        </w:tc>
        <w:tc>
          <w:tcPr>
            <w:tcW w:w="0" w:type="auto"/>
            <w:noWrap/>
          </w:tcPr>
          <w:p w14:paraId="62C2A70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w:t>
            </w:r>
          </w:p>
        </w:tc>
        <w:tc>
          <w:tcPr>
            <w:tcW w:w="0" w:type="auto"/>
            <w:noWrap/>
          </w:tcPr>
          <w:p w14:paraId="608F30C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1.000 </w:t>
            </w:r>
          </w:p>
        </w:tc>
        <w:tc>
          <w:tcPr>
            <w:tcW w:w="0" w:type="auto"/>
            <w:noWrap/>
          </w:tcPr>
          <w:p w14:paraId="704E3B3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1232238 </w:t>
            </w:r>
          </w:p>
        </w:tc>
        <w:tc>
          <w:tcPr>
            <w:tcW w:w="0" w:type="auto"/>
            <w:noWrap/>
          </w:tcPr>
          <w:p w14:paraId="0441DA4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0.000 </w:t>
            </w:r>
          </w:p>
        </w:tc>
        <w:tc>
          <w:tcPr>
            <w:tcW w:w="0" w:type="auto"/>
            <w:noWrap/>
          </w:tcPr>
          <w:p w14:paraId="6D5F01C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 xml:space="preserve">0.53 </w:t>
            </w:r>
          </w:p>
        </w:tc>
        <w:tc>
          <w:tcPr>
            <w:tcW w:w="0" w:type="auto"/>
            <w:noWrap/>
          </w:tcPr>
          <w:p w14:paraId="70D4D78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13.45%</w:t>
            </w:r>
          </w:p>
        </w:tc>
        <w:tc>
          <w:tcPr>
            <w:tcW w:w="1323" w:type="dxa"/>
            <w:noWrap/>
          </w:tcPr>
          <w:p w14:paraId="305E6A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c>
          <w:tcPr>
            <w:tcW w:w="850" w:type="dxa"/>
            <w:noWrap/>
          </w:tcPr>
          <w:p w14:paraId="3137232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rFonts w:eastAsia="等线" w:hint="eastAsia"/>
                <w:b w:val="0"/>
                <w:bCs w:val="0"/>
                <w:color w:val="000000"/>
                <w:sz w:val="20"/>
                <w:szCs w:val="20"/>
              </w:rPr>
              <w:t>/</w:t>
            </w:r>
          </w:p>
        </w:tc>
      </w:tr>
      <w:tr w:rsidR="006D1C3F" w14:paraId="0678CB0D"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val="restart"/>
            <w:noWrap/>
            <w:vAlign w:val="center"/>
          </w:tcPr>
          <w:p w14:paraId="3C293956" w14:textId="77777777" w:rsidR="006D1C3F" w:rsidRDefault="00000000">
            <w:pPr>
              <w:widowControl/>
              <w:snapToGrid w:val="0"/>
              <w:spacing w:line="240" w:lineRule="auto"/>
              <w:ind w:firstLineChars="0" w:firstLine="0"/>
              <w:jc w:val="center"/>
              <w:textAlignment w:val="center"/>
              <w:rPr>
                <w:rFonts w:eastAsia="等线"/>
                <w:b/>
                <w:bCs/>
                <w:color w:val="000000"/>
                <w:sz w:val="20"/>
                <w:szCs w:val="20"/>
              </w:rPr>
            </w:pPr>
            <w:r>
              <w:rPr>
                <w:rFonts w:eastAsia="等线"/>
                <w:color w:val="000000"/>
                <w:kern w:val="0"/>
                <w:sz w:val="20"/>
                <w:szCs w:val="20"/>
                <w:lang w:bidi="ar"/>
              </w:rPr>
              <w:t>Second-line</w:t>
            </w:r>
          </w:p>
        </w:tc>
        <w:tc>
          <w:tcPr>
            <w:tcW w:w="0" w:type="auto"/>
            <w:noWrap/>
          </w:tcPr>
          <w:p w14:paraId="148967AB"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b w:val="0"/>
                <w:bCs w:val="0"/>
              </w:rPr>
              <w:t>Crz</w:t>
            </w:r>
            <w:proofErr w:type="spellEnd"/>
            <w:r>
              <w:rPr>
                <w:b w:val="0"/>
                <w:bCs w:val="0"/>
              </w:rPr>
              <w:t>-Ale</w:t>
            </w:r>
          </w:p>
        </w:tc>
        <w:tc>
          <w:tcPr>
            <w:tcW w:w="0" w:type="auto"/>
            <w:noWrap/>
          </w:tcPr>
          <w:p w14:paraId="765AD34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25.8 </w:t>
            </w:r>
          </w:p>
        </w:tc>
        <w:tc>
          <w:tcPr>
            <w:tcW w:w="0" w:type="auto"/>
            <w:noWrap/>
          </w:tcPr>
          <w:p w14:paraId="1568219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0.985 </w:t>
            </w:r>
          </w:p>
        </w:tc>
        <w:tc>
          <w:tcPr>
            <w:tcW w:w="0" w:type="auto"/>
            <w:noWrap/>
          </w:tcPr>
          <w:p w14:paraId="56DC51F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0.2527</w:t>
            </w:r>
          </w:p>
        </w:tc>
        <w:tc>
          <w:tcPr>
            <w:tcW w:w="0" w:type="auto"/>
            <w:noWrap/>
          </w:tcPr>
          <w:p w14:paraId="5D41B44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3CAE7E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0.89</w:t>
            </w:r>
          </w:p>
        </w:tc>
        <w:tc>
          <w:tcPr>
            <w:tcW w:w="0" w:type="auto"/>
            <w:noWrap/>
          </w:tcPr>
          <w:p w14:paraId="0D2D87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0.547 </w:t>
            </w:r>
          </w:p>
        </w:tc>
        <w:tc>
          <w:tcPr>
            <w:tcW w:w="0" w:type="auto"/>
            <w:noWrap/>
          </w:tcPr>
          <w:p w14:paraId="26A9CE8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0.82</w:t>
            </w:r>
          </w:p>
        </w:tc>
        <w:tc>
          <w:tcPr>
            <w:tcW w:w="0" w:type="auto"/>
            <w:noWrap/>
          </w:tcPr>
          <w:p w14:paraId="5B65FB8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0.764 </w:t>
            </w:r>
          </w:p>
        </w:tc>
        <w:tc>
          <w:tcPr>
            <w:tcW w:w="0" w:type="auto"/>
            <w:noWrap/>
          </w:tcPr>
          <w:p w14:paraId="726FFB2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4D030A7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8B473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351779 </w:t>
            </w:r>
          </w:p>
        </w:tc>
        <w:tc>
          <w:tcPr>
            <w:tcW w:w="0" w:type="auto"/>
            <w:noWrap/>
          </w:tcPr>
          <w:p w14:paraId="0DCE6EF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0.147 </w:t>
            </w:r>
          </w:p>
        </w:tc>
        <w:tc>
          <w:tcPr>
            <w:tcW w:w="0" w:type="auto"/>
            <w:noWrap/>
          </w:tcPr>
          <w:p w14:paraId="438470C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0.80 </w:t>
            </w:r>
          </w:p>
        </w:tc>
        <w:tc>
          <w:tcPr>
            <w:tcW w:w="0" w:type="auto"/>
            <w:noWrap/>
          </w:tcPr>
          <w:p w14:paraId="4AE70A6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17.38%</w:t>
            </w:r>
          </w:p>
        </w:tc>
        <w:tc>
          <w:tcPr>
            <w:tcW w:w="1323" w:type="dxa"/>
            <w:noWrap/>
          </w:tcPr>
          <w:p w14:paraId="1C86431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2.442%</w:t>
            </w:r>
          </w:p>
        </w:tc>
        <w:tc>
          <w:tcPr>
            <w:tcW w:w="850" w:type="dxa"/>
            <w:noWrap/>
          </w:tcPr>
          <w:p w14:paraId="65C9B6D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19</w:t>
            </w:r>
          </w:p>
        </w:tc>
      </w:tr>
      <w:tr w:rsidR="006D1C3F" w14:paraId="1FD159D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3125CE1" w14:textId="77777777" w:rsidR="006D1C3F" w:rsidRDefault="006D1C3F">
            <w:pPr>
              <w:snapToGrid w:val="0"/>
              <w:ind w:firstLineChars="0" w:firstLine="0"/>
              <w:jc w:val="center"/>
              <w:rPr>
                <w:rFonts w:eastAsia="等线"/>
                <w:b/>
                <w:bCs/>
                <w:color w:val="000000"/>
                <w:sz w:val="20"/>
                <w:szCs w:val="20"/>
              </w:rPr>
            </w:pPr>
          </w:p>
        </w:tc>
        <w:tc>
          <w:tcPr>
            <w:tcW w:w="0" w:type="auto"/>
            <w:noWrap/>
          </w:tcPr>
          <w:p w14:paraId="5282158E"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b w:val="0"/>
                <w:bCs w:val="0"/>
              </w:rPr>
              <w:t>Crz</w:t>
            </w:r>
            <w:proofErr w:type="spellEnd"/>
            <w:r>
              <w:rPr>
                <w:b w:val="0"/>
                <w:bCs w:val="0"/>
              </w:rPr>
              <w:t>-Bri</w:t>
            </w:r>
          </w:p>
        </w:tc>
        <w:tc>
          <w:tcPr>
            <w:tcW w:w="0" w:type="auto"/>
            <w:noWrap/>
          </w:tcPr>
          <w:p w14:paraId="6381BF0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24.0 </w:t>
            </w:r>
          </w:p>
        </w:tc>
        <w:tc>
          <w:tcPr>
            <w:tcW w:w="0" w:type="auto"/>
            <w:noWrap/>
          </w:tcPr>
          <w:p w14:paraId="038B471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0.903 </w:t>
            </w:r>
          </w:p>
        </w:tc>
        <w:tc>
          <w:tcPr>
            <w:tcW w:w="0" w:type="auto"/>
            <w:noWrap/>
          </w:tcPr>
          <w:p w14:paraId="1133106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0.44</w:t>
            </w:r>
          </w:p>
        </w:tc>
        <w:tc>
          <w:tcPr>
            <w:tcW w:w="0" w:type="auto"/>
            <w:noWrap/>
          </w:tcPr>
          <w:p w14:paraId="6F0816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0.546 </w:t>
            </w:r>
          </w:p>
        </w:tc>
        <w:tc>
          <w:tcPr>
            <w:tcW w:w="0" w:type="auto"/>
            <w:noWrap/>
          </w:tcPr>
          <w:p w14:paraId="2458091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0.92</w:t>
            </w:r>
          </w:p>
        </w:tc>
        <w:tc>
          <w:tcPr>
            <w:tcW w:w="0" w:type="auto"/>
            <w:noWrap/>
          </w:tcPr>
          <w:p w14:paraId="60613D4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0.387 </w:t>
            </w:r>
          </w:p>
        </w:tc>
        <w:tc>
          <w:tcPr>
            <w:tcW w:w="0" w:type="auto"/>
            <w:noWrap/>
          </w:tcPr>
          <w:p w14:paraId="0D788DA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0.73</w:t>
            </w:r>
          </w:p>
        </w:tc>
        <w:tc>
          <w:tcPr>
            <w:tcW w:w="0" w:type="auto"/>
            <w:noWrap/>
          </w:tcPr>
          <w:p w14:paraId="64E0319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0.620 </w:t>
            </w:r>
          </w:p>
        </w:tc>
        <w:tc>
          <w:tcPr>
            <w:tcW w:w="0" w:type="auto"/>
            <w:noWrap/>
          </w:tcPr>
          <w:p w14:paraId="07DB3E7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00F8B93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0E7611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244182 </w:t>
            </w:r>
          </w:p>
        </w:tc>
        <w:tc>
          <w:tcPr>
            <w:tcW w:w="0" w:type="auto"/>
            <w:noWrap/>
          </w:tcPr>
          <w:p w14:paraId="2784292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0.409 </w:t>
            </w:r>
          </w:p>
        </w:tc>
        <w:tc>
          <w:tcPr>
            <w:tcW w:w="0" w:type="auto"/>
            <w:noWrap/>
          </w:tcPr>
          <w:p w14:paraId="142B061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0.66 </w:t>
            </w:r>
          </w:p>
        </w:tc>
        <w:tc>
          <w:tcPr>
            <w:tcW w:w="0" w:type="auto"/>
            <w:noWrap/>
          </w:tcPr>
          <w:p w14:paraId="5195B38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15.18%</w:t>
            </w:r>
          </w:p>
        </w:tc>
        <w:tc>
          <w:tcPr>
            <w:tcW w:w="1323" w:type="dxa"/>
            <w:noWrap/>
          </w:tcPr>
          <w:p w14:paraId="77149EE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2.133%</w:t>
            </w:r>
          </w:p>
        </w:tc>
        <w:tc>
          <w:tcPr>
            <w:tcW w:w="850" w:type="dxa"/>
            <w:noWrap/>
          </w:tcPr>
          <w:p w14:paraId="6D20D67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26</w:t>
            </w:r>
          </w:p>
        </w:tc>
      </w:tr>
      <w:tr w:rsidR="006D1C3F" w14:paraId="22429351"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D70849E"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09C7060"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b w:val="0"/>
                <w:bCs w:val="0"/>
              </w:rPr>
              <w:t>Crz</w:t>
            </w:r>
            <w:proofErr w:type="spellEnd"/>
            <w:r>
              <w:rPr>
                <w:b w:val="0"/>
                <w:bCs w:val="0"/>
              </w:rPr>
              <w:t>-Cer</w:t>
            </w:r>
          </w:p>
        </w:tc>
        <w:tc>
          <w:tcPr>
            <w:tcW w:w="0" w:type="auto"/>
            <w:noWrap/>
          </w:tcPr>
          <w:p w14:paraId="2C8FD79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12.0 </w:t>
            </w:r>
          </w:p>
        </w:tc>
        <w:tc>
          <w:tcPr>
            <w:tcW w:w="0" w:type="auto"/>
            <w:noWrap/>
          </w:tcPr>
          <w:p w14:paraId="254E5EA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0.336 </w:t>
            </w:r>
          </w:p>
        </w:tc>
        <w:tc>
          <w:tcPr>
            <w:tcW w:w="0" w:type="auto"/>
            <w:noWrap/>
          </w:tcPr>
          <w:p w14:paraId="4A90DE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0.6654</w:t>
            </w:r>
          </w:p>
        </w:tc>
        <w:tc>
          <w:tcPr>
            <w:tcW w:w="0" w:type="auto"/>
            <w:noWrap/>
          </w:tcPr>
          <w:p w14:paraId="32B079F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3744F30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0.99</w:t>
            </w:r>
          </w:p>
        </w:tc>
        <w:tc>
          <w:tcPr>
            <w:tcW w:w="0" w:type="auto"/>
            <w:noWrap/>
          </w:tcPr>
          <w:p w14:paraId="6B2CCAC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306D2A9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0.77</w:t>
            </w:r>
          </w:p>
        </w:tc>
        <w:tc>
          <w:tcPr>
            <w:tcW w:w="0" w:type="auto"/>
            <w:noWrap/>
          </w:tcPr>
          <w:p w14:paraId="6706952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0.686 </w:t>
            </w:r>
          </w:p>
        </w:tc>
        <w:tc>
          <w:tcPr>
            <w:tcW w:w="0" w:type="auto"/>
            <w:noWrap/>
          </w:tcPr>
          <w:p w14:paraId="0295C86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4735BDD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73C15B5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116856 </w:t>
            </w:r>
          </w:p>
        </w:tc>
        <w:tc>
          <w:tcPr>
            <w:tcW w:w="0" w:type="auto"/>
            <w:noWrap/>
          </w:tcPr>
          <w:p w14:paraId="5BDB09B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0.719 </w:t>
            </w:r>
          </w:p>
        </w:tc>
        <w:tc>
          <w:tcPr>
            <w:tcW w:w="0" w:type="auto"/>
            <w:noWrap/>
          </w:tcPr>
          <w:p w14:paraId="7D100F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0.28 </w:t>
            </w:r>
          </w:p>
        </w:tc>
        <w:tc>
          <w:tcPr>
            <w:tcW w:w="0" w:type="auto"/>
            <w:noWrap/>
          </w:tcPr>
          <w:p w14:paraId="6C25709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10.36%</w:t>
            </w:r>
          </w:p>
        </w:tc>
        <w:tc>
          <w:tcPr>
            <w:tcW w:w="1323" w:type="dxa"/>
            <w:noWrap/>
          </w:tcPr>
          <w:p w14:paraId="735E7F7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1.456%</w:t>
            </w:r>
          </w:p>
        </w:tc>
        <w:tc>
          <w:tcPr>
            <w:tcW w:w="850" w:type="dxa"/>
            <w:noWrap/>
          </w:tcPr>
          <w:p w14:paraId="0B4CF43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35</w:t>
            </w:r>
          </w:p>
        </w:tc>
      </w:tr>
      <w:tr w:rsidR="006D1C3F" w14:paraId="1F130E62"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F1A4504" w14:textId="77777777" w:rsidR="006D1C3F" w:rsidRDefault="006D1C3F">
            <w:pPr>
              <w:snapToGrid w:val="0"/>
              <w:ind w:firstLineChars="0" w:firstLine="0"/>
              <w:jc w:val="center"/>
              <w:rPr>
                <w:rFonts w:eastAsia="等线"/>
                <w:b/>
                <w:bCs/>
                <w:color w:val="000000"/>
                <w:sz w:val="20"/>
                <w:szCs w:val="20"/>
              </w:rPr>
            </w:pPr>
          </w:p>
        </w:tc>
        <w:tc>
          <w:tcPr>
            <w:tcW w:w="0" w:type="auto"/>
            <w:noWrap/>
          </w:tcPr>
          <w:p w14:paraId="5DD6AC4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b w:val="0"/>
                <w:bCs w:val="0"/>
              </w:rPr>
              <w:t>Crz-Iru</w:t>
            </w:r>
            <w:proofErr w:type="spellEnd"/>
          </w:p>
        </w:tc>
        <w:tc>
          <w:tcPr>
            <w:tcW w:w="0" w:type="auto"/>
            <w:noWrap/>
          </w:tcPr>
          <w:p w14:paraId="0F9CFDF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23.7 </w:t>
            </w:r>
          </w:p>
        </w:tc>
        <w:tc>
          <w:tcPr>
            <w:tcW w:w="0" w:type="auto"/>
            <w:noWrap/>
          </w:tcPr>
          <w:p w14:paraId="14C68C4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0.886 </w:t>
            </w:r>
          </w:p>
        </w:tc>
        <w:tc>
          <w:tcPr>
            <w:tcW w:w="0" w:type="auto"/>
            <w:noWrap/>
          </w:tcPr>
          <w:p w14:paraId="1FFF1F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0.308</w:t>
            </w:r>
          </w:p>
        </w:tc>
        <w:tc>
          <w:tcPr>
            <w:tcW w:w="0" w:type="auto"/>
            <w:noWrap/>
          </w:tcPr>
          <w:p w14:paraId="195E0C2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0.866 </w:t>
            </w:r>
          </w:p>
        </w:tc>
        <w:tc>
          <w:tcPr>
            <w:tcW w:w="0" w:type="auto"/>
            <w:noWrap/>
          </w:tcPr>
          <w:p w14:paraId="4805E9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0.93</w:t>
            </w:r>
          </w:p>
        </w:tc>
        <w:tc>
          <w:tcPr>
            <w:tcW w:w="0" w:type="auto"/>
            <w:noWrap/>
          </w:tcPr>
          <w:p w14:paraId="25E8F8F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0.318 </w:t>
            </w:r>
          </w:p>
        </w:tc>
        <w:tc>
          <w:tcPr>
            <w:tcW w:w="0" w:type="auto"/>
            <w:noWrap/>
          </w:tcPr>
          <w:p w14:paraId="75A3A1A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0.97</w:t>
            </w:r>
          </w:p>
        </w:tc>
        <w:tc>
          <w:tcPr>
            <w:tcW w:w="0" w:type="auto"/>
            <w:noWrap/>
          </w:tcPr>
          <w:p w14:paraId="217D448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DBBE11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0BB7F41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2B1C1F6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308763 </w:t>
            </w:r>
          </w:p>
        </w:tc>
        <w:tc>
          <w:tcPr>
            <w:tcW w:w="0" w:type="auto"/>
            <w:noWrap/>
          </w:tcPr>
          <w:p w14:paraId="70ED6E5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0.252 </w:t>
            </w:r>
          </w:p>
        </w:tc>
        <w:tc>
          <w:tcPr>
            <w:tcW w:w="0" w:type="auto"/>
            <w:noWrap/>
          </w:tcPr>
          <w:p w14:paraId="5FAFA53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0.71 </w:t>
            </w:r>
          </w:p>
        </w:tc>
        <w:tc>
          <w:tcPr>
            <w:tcW w:w="0" w:type="auto"/>
            <w:noWrap/>
          </w:tcPr>
          <w:p w14:paraId="70635C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15.90%</w:t>
            </w:r>
          </w:p>
        </w:tc>
        <w:tc>
          <w:tcPr>
            <w:tcW w:w="1323" w:type="dxa"/>
            <w:noWrap/>
          </w:tcPr>
          <w:p w14:paraId="2EDC67D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2.234%</w:t>
            </w:r>
          </w:p>
        </w:tc>
        <w:tc>
          <w:tcPr>
            <w:tcW w:w="850" w:type="dxa"/>
            <w:noWrap/>
          </w:tcPr>
          <w:p w14:paraId="58891C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23</w:t>
            </w:r>
          </w:p>
        </w:tc>
      </w:tr>
      <w:tr w:rsidR="006D1C3F" w14:paraId="107EC89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91B8837" w14:textId="77777777" w:rsidR="006D1C3F" w:rsidRDefault="006D1C3F">
            <w:pPr>
              <w:snapToGrid w:val="0"/>
              <w:ind w:firstLineChars="0" w:firstLine="0"/>
              <w:jc w:val="center"/>
              <w:rPr>
                <w:rFonts w:eastAsia="等线"/>
                <w:b/>
                <w:bCs/>
                <w:color w:val="000000"/>
                <w:sz w:val="20"/>
                <w:szCs w:val="20"/>
              </w:rPr>
            </w:pPr>
          </w:p>
        </w:tc>
        <w:tc>
          <w:tcPr>
            <w:tcW w:w="0" w:type="auto"/>
            <w:noWrap/>
          </w:tcPr>
          <w:p w14:paraId="70456BD0"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b w:val="0"/>
                <w:bCs w:val="0"/>
              </w:rPr>
              <w:t>Crz</w:t>
            </w:r>
            <w:proofErr w:type="spellEnd"/>
            <w:r>
              <w:rPr>
                <w:b w:val="0"/>
                <w:bCs w:val="0"/>
              </w:rPr>
              <w:t>-Ens</w:t>
            </w:r>
          </w:p>
        </w:tc>
        <w:tc>
          <w:tcPr>
            <w:tcW w:w="0" w:type="auto"/>
            <w:noWrap/>
          </w:tcPr>
          <w:p w14:paraId="3245EF7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20.0 </w:t>
            </w:r>
          </w:p>
        </w:tc>
        <w:tc>
          <w:tcPr>
            <w:tcW w:w="0" w:type="auto"/>
            <w:noWrap/>
          </w:tcPr>
          <w:p w14:paraId="4001820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0.712 </w:t>
            </w:r>
          </w:p>
        </w:tc>
        <w:tc>
          <w:tcPr>
            <w:tcW w:w="0" w:type="auto"/>
            <w:noWrap/>
          </w:tcPr>
          <w:p w14:paraId="14E6047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0.26</w:t>
            </w:r>
          </w:p>
        </w:tc>
        <w:tc>
          <w:tcPr>
            <w:tcW w:w="0" w:type="auto"/>
            <w:noWrap/>
          </w:tcPr>
          <w:p w14:paraId="5744F18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0.982 </w:t>
            </w:r>
          </w:p>
        </w:tc>
        <w:tc>
          <w:tcPr>
            <w:tcW w:w="0" w:type="auto"/>
            <w:noWrap/>
          </w:tcPr>
          <w:p w14:paraId="0AF20A9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0.91</w:t>
            </w:r>
          </w:p>
        </w:tc>
        <w:tc>
          <w:tcPr>
            <w:tcW w:w="0" w:type="auto"/>
            <w:noWrap/>
          </w:tcPr>
          <w:p w14:paraId="028D91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0.445 </w:t>
            </w:r>
          </w:p>
        </w:tc>
        <w:tc>
          <w:tcPr>
            <w:tcW w:w="0" w:type="auto"/>
            <w:noWrap/>
          </w:tcPr>
          <w:p w14:paraId="0C22601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0.93</w:t>
            </w:r>
          </w:p>
        </w:tc>
        <w:tc>
          <w:tcPr>
            <w:tcW w:w="0" w:type="auto"/>
            <w:noWrap/>
          </w:tcPr>
          <w:p w14:paraId="1DCC6BA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0.942 </w:t>
            </w:r>
          </w:p>
        </w:tc>
        <w:tc>
          <w:tcPr>
            <w:tcW w:w="0" w:type="auto"/>
            <w:noWrap/>
          </w:tcPr>
          <w:p w14:paraId="4649EF3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1D6A3B7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F778AB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199578 </w:t>
            </w:r>
          </w:p>
        </w:tc>
        <w:tc>
          <w:tcPr>
            <w:tcW w:w="0" w:type="auto"/>
            <w:noWrap/>
          </w:tcPr>
          <w:p w14:paraId="7810489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0.518 </w:t>
            </w:r>
          </w:p>
        </w:tc>
        <w:tc>
          <w:tcPr>
            <w:tcW w:w="0" w:type="auto"/>
            <w:noWrap/>
          </w:tcPr>
          <w:p w14:paraId="23BDD41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0.70 </w:t>
            </w:r>
          </w:p>
        </w:tc>
        <w:tc>
          <w:tcPr>
            <w:tcW w:w="0" w:type="auto"/>
            <w:noWrap/>
          </w:tcPr>
          <w:p w14:paraId="447DA34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15.74%</w:t>
            </w:r>
          </w:p>
        </w:tc>
        <w:tc>
          <w:tcPr>
            <w:tcW w:w="1323" w:type="dxa"/>
            <w:noWrap/>
          </w:tcPr>
          <w:p w14:paraId="22ED0A5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2.211%</w:t>
            </w:r>
          </w:p>
        </w:tc>
        <w:tc>
          <w:tcPr>
            <w:tcW w:w="850" w:type="dxa"/>
            <w:noWrap/>
          </w:tcPr>
          <w:p w14:paraId="7AB1C27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25</w:t>
            </w:r>
          </w:p>
        </w:tc>
      </w:tr>
      <w:tr w:rsidR="006D1C3F" w14:paraId="09DD510B"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AE235E0" w14:textId="77777777" w:rsidR="006D1C3F" w:rsidRDefault="006D1C3F">
            <w:pPr>
              <w:snapToGrid w:val="0"/>
              <w:ind w:firstLineChars="0" w:firstLine="0"/>
              <w:jc w:val="center"/>
              <w:rPr>
                <w:rFonts w:eastAsia="等线"/>
                <w:b/>
                <w:bCs/>
                <w:color w:val="000000"/>
                <w:sz w:val="20"/>
                <w:szCs w:val="20"/>
              </w:rPr>
            </w:pPr>
          </w:p>
        </w:tc>
        <w:tc>
          <w:tcPr>
            <w:tcW w:w="0" w:type="auto"/>
            <w:noWrap/>
          </w:tcPr>
          <w:p w14:paraId="0339B73C"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b w:val="0"/>
                <w:bCs w:val="0"/>
              </w:rPr>
              <w:t>Crz</w:t>
            </w:r>
            <w:proofErr w:type="spellEnd"/>
            <w:r>
              <w:rPr>
                <w:b w:val="0"/>
                <w:bCs w:val="0"/>
              </w:rPr>
              <w:t>-Che</w:t>
            </w:r>
          </w:p>
        </w:tc>
        <w:tc>
          <w:tcPr>
            <w:tcW w:w="0" w:type="auto"/>
            <w:noWrap/>
          </w:tcPr>
          <w:p w14:paraId="583718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4.9 </w:t>
            </w:r>
          </w:p>
        </w:tc>
        <w:tc>
          <w:tcPr>
            <w:tcW w:w="0" w:type="auto"/>
            <w:noWrap/>
          </w:tcPr>
          <w:p w14:paraId="54BEECB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3B8C894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0.3767</w:t>
            </w:r>
          </w:p>
        </w:tc>
        <w:tc>
          <w:tcPr>
            <w:tcW w:w="0" w:type="auto"/>
            <w:noWrap/>
          </w:tcPr>
          <w:p w14:paraId="197ACC8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0.700 </w:t>
            </w:r>
          </w:p>
        </w:tc>
        <w:tc>
          <w:tcPr>
            <w:tcW w:w="0" w:type="auto"/>
            <w:noWrap/>
          </w:tcPr>
          <w:p w14:paraId="1705DE5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0.81</w:t>
            </w:r>
          </w:p>
        </w:tc>
        <w:tc>
          <w:tcPr>
            <w:tcW w:w="0" w:type="auto"/>
            <w:noWrap/>
          </w:tcPr>
          <w:p w14:paraId="572F946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75C59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0.34</w:t>
            </w:r>
          </w:p>
        </w:tc>
        <w:tc>
          <w:tcPr>
            <w:tcW w:w="0" w:type="auto"/>
            <w:noWrap/>
          </w:tcPr>
          <w:p w14:paraId="0CD7056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2FF7B86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w:t>
            </w:r>
          </w:p>
        </w:tc>
        <w:tc>
          <w:tcPr>
            <w:tcW w:w="0" w:type="auto"/>
            <w:noWrap/>
          </w:tcPr>
          <w:p w14:paraId="4D6B36A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251C13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1724 </w:t>
            </w:r>
          </w:p>
        </w:tc>
        <w:tc>
          <w:tcPr>
            <w:tcW w:w="0" w:type="auto"/>
            <w:noWrap/>
          </w:tcPr>
          <w:p w14:paraId="4133AAE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7631408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0.42 </w:t>
            </w:r>
          </w:p>
        </w:tc>
        <w:tc>
          <w:tcPr>
            <w:tcW w:w="0" w:type="auto"/>
            <w:noWrap/>
          </w:tcPr>
          <w:p w14:paraId="5A8573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11.92%</w:t>
            </w:r>
          </w:p>
        </w:tc>
        <w:tc>
          <w:tcPr>
            <w:tcW w:w="1323" w:type="dxa"/>
            <w:noWrap/>
          </w:tcPr>
          <w:p w14:paraId="4CB0BED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1.674%</w:t>
            </w:r>
          </w:p>
        </w:tc>
        <w:tc>
          <w:tcPr>
            <w:tcW w:w="850" w:type="dxa"/>
            <w:noWrap/>
          </w:tcPr>
          <w:p w14:paraId="3395835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34</w:t>
            </w:r>
          </w:p>
        </w:tc>
      </w:tr>
      <w:tr w:rsidR="006D1C3F" w14:paraId="44A628C3"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0A7AC6B3"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325813E"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proofErr w:type="spellStart"/>
            <w:r>
              <w:rPr>
                <w:b w:val="0"/>
                <w:bCs w:val="0"/>
              </w:rPr>
              <w:t>Crz</w:t>
            </w:r>
            <w:proofErr w:type="spellEnd"/>
            <w:r>
              <w:rPr>
                <w:b w:val="0"/>
                <w:bCs w:val="0"/>
              </w:rPr>
              <w:t>-Lor</w:t>
            </w:r>
          </w:p>
        </w:tc>
        <w:tc>
          <w:tcPr>
            <w:tcW w:w="0" w:type="auto"/>
            <w:noWrap/>
          </w:tcPr>
          <w:p w14:paraId="70DBF48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26.1 </w:t>
            </w:r>
          </w:p>
        </w:tc>
        <w:tc>
          <w:tcPr>
            <w:tcW w:w="0" w:type="auto"/>
            <w:noWrap/>
          </w:tcPr>
          <w:p w14:paraId="4141949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BED8CA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0.597</w:t>
            </w:r>
          </w:p>
        </w:tc>
        <w:tc>
          <w:tcPr>
            <w:tcW w:w="0" w:type="auto"/>
            <w:noWrap/>
          </w:tcPr>
          <w:p w14:paraId="333A379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0.166 </w:t>
            </w:r>
          </w:p>
        </w:tc>
        <w:tc>
          <w:tcPr>
            <w:tcW w:w="0" w:type="auto"/>
            <w:noWrap/>
          </w:tcPr>
          <w:p w14:paraId="5B74646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0.98</w:t>
            </w:r>
          </w:p>
        </w:tc>
        <w:tc>
          <w:tcPr>
            <w:tcW w:w="0" w:type="auto"/>
            <w:noWrap/>
          </w:tcPr>
          <w:p w14:paraId="1B3D234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0.030 </w:t>
            </w:r>
          </w:p>
        </w:tc>
        <w:tc>
          <w:tcPr>
            <w:tcW w:w="0" w:type="auto"/>
            <w:noWrap/>
          </w:tcPr>
          <w:p w14:paraId="1380374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0.84</w:t>
            </w:r>
          </w:p>
        </w:tc>
        <w:tc>
          <w:tcPr>
            <w:tcW w:w="0" w:type="auto"/>
            <w:noWrap/>
          </w:tcPr>
          <w:p w14:paraId="38D5BE1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0.803 </w:t>
            </w:r>
          </w:p>
        </w:tc>
        <w:tc>
          <w:tcPr>
            <w:tcW w:w="0" w:type="auto"/>
            <w:noWrap/>
          </w:tcPr>
          <w:p w14:paraId="7AEA58A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0B574EB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2F7392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412010 </w:t>
            </w:r>
          </w:p>
        </w:tc>
        <w:tc>
          <w:tcPr>
            <w:tcW w:w="0" w:type="auto"/>
            <w:noWrap/>
          </w:tcPr>
          <w:p w14:paraId="7FD0D80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09FBE14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0.55 </w:t>
            </w:r>
          </w:p>
        </w:tc>
        <w:tc>
          <w:tcPr>
            <w:tcW w:w="0" w:type="auto"/>
            <w:noWrap/>
          </w:tcPr>
          <w:p w14:paraId="1EFD3F5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13.53%</w:t>
            </w:r>
          </w:p>
        </w:tc>
        <w:tc>
          <w:tcPr>
            <w:tcW w:w="1323" w:type="dxa"/>
            <w:noWrap/>
          </w:tcPr>
          <w:p w14:paraId="74731C4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1.900%</w:t>
            </w:r>
          </w:p>
        </w:tc>
        <w:tc>
          <w:tcPr>
            <w:tcW w:w="850" w:type="dxa"/>
            <w:noWrap/>
          </w:tcPr>
          <w:p w14:paraId="7F10DAC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31</w:t>
            </w:r>
          </w:p>
        </w:tc>
      </w:tr>
      <w:tr w:rsidR="006D1C3F" w14:paraId="02AC859D"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5768F4A"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063EA8B"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Ale-Bri</w:t>
            </w:r>
          </w:p>
        </w:tc>
        <w:tc>
          <w:tcPr>
            <w:tcW w:w="0" w:type="auto"/>
            <w:noWrap/>
          </w:tcPr>
          <w:p w14:paraId="3429961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17.63 </w:t>
            </w:r>
          </w:p>
        </w:tc>
        <w:tc>
          <w:tcPr>
            <w:tcW w:w="0" w:type="auto"/>
            <w:noWrap/>
          </w:tcPr>
          <w:p w14:paraId="3A70922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0.836 </w:t>
            </w:r>
          </w:p>
        </w:tc>
        <w:tc>
          <w:tcPr>
            <w:tcW w:w="0" w:type="auto"/>
            <w:noWrap/>
          </w:tcPr>
          <w:p w14:paraId="0BA4B8A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0.64</w:t>
            </w:r>
          </w:p>
        </w:tc>
        <w:tc>
          <w:tcPr>
            <w:tcW w:w="0" w:type="auto"/>
            <w:noWrap/>
          </w:tcPr>
          <w:p w14:paraId="494D365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0.136 </w:t>
            </w:r>
          </w:p>
        </w:tc>
        <w:tc>
          <w:tcPr>
            <w:tcW w:w="0" w:type="auto"/>
            <w:noWrap/>
          </w:tcPr>
          <w:p w14:paraId="32296BC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 </w:t>
            </w:r>
          </w:p>
        </w:tc>
        <w:tc>
          <w:tcPr>
            <w:tcW w:w="0" w:type="auto"/>
            <w:noWrap/>
          </w:tcPr>
          <w:p w14:paraId="7A17E35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017A6A9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0.79</w:t>
            </w:r>
          </w:p>
        </w:tc>
        <w:tc>
          <w:tcPr>
            <w:tcW w:w="0" w:type="auto"/>
            <w:noWrap/>
          </w:tcPr>
          <w:p w14:paraId="5057C37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0.504 </w:t>
            </w:r>
          </w:p>
        </w:tc>
        <w:tc>
          <w:tcPr>
            <w:tcW w:w="0" w:type="auto"/>
            <w:noWrap/>
          </w:tcPr>
          <w:p w14:paraId="51F1ED2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492365A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DFEAC6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179297 </w:t>
            </w:r>
          </w:p>
        </w:tc>
        <w:tc>
          <w:tcPr>
            <w:tcW w:w="0" w:type="auto"/>
            <w:noWrap/>
          </w:tcPr>
          <w:p w14:paraId="5E27C56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0.141 </w:t>
            </w:r>
          </w:p>
        </w:tc>
        <w:tc>
          <w:tcPr>
            <w:tcW w:w="0" w:type="auto"/>
            <w:noWrap/>
          </w:tcPr>
          <w:p w14:paraId="36CBE04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0.45 </w:t>
            </w:r>
          </w:p>
        </w:tc>
        <w:tc>
          <w:tcPr>
            <w:tcW w:w="0" w:type="auto"/>
            <w:noWrap/>
          </w:tcPr>
          <w:p w14:paraId="4668971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23.99%</w:t>
            </w:r>
          </w:p>
        </w:tc>
        <w:tc>
          <w:tcPr>
            <w:tcW w:w="1323" w:type="dxa"/>
            <w:noWrap/>
          </w:tcPr>
          <w:p w14:paraId="3578C17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3.427%</w:t>
            </w:r>
          </w:p>
        </w:tc>
        <w:tc>
          <w:tcPr>
            <w:tcW w:w="850" w:type="dxa"/>
            <w:noWrap/>
          </w:tcPr>
          <w:p w14:paraId="74A1EA7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10</w:t>
            </w:r>
          </w:p>
        </w:tc>
      </w:tr>
      <w:tr w:rsidR="006D1C3F" w14:paraId="176C747E"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F8E9C4C" w14:textId="77777777" w:rsidR="006D1C3F" w:rsidRDefault="006D1C3F">
            <w:pPr>
              <w:snapToGrid w:val="0"/>
              <w:ind w:firstLineChars="0" w:firstLine="0"/>
              <w:jc w:val="center"/>
              <w:rPr>
                <w:rFonts w:eastAsia="等线"/>
                <w:b/>
                <w:bCs/>
                <w:color w:val="000000"/>
                <w:sz w:val="20"/>
                <w:szCs w:val="20"/>
              </w:rPr>
            </w:pPr>
          </w:p>
        </w:tc>
        <w:tc>
          <w:tcPr>
            <w:tcW w:w="0" w:type="auto"/>
            <w:noWrap/>
          </w:tcPr>
          <w:p w14:paraId="0D0ED54C"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Ale-Lor</w:t>
            </w:r>
          </w:p>
        </w:tc>
        <w:tc>
          <w:tcPr>
            <w:tcW w:w="0" w:type="auto"/>
            <w:noWrap/>
          </w:tcPr>
          <w:p w14:paraId="0D198C3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10.79 </w:t>
            </w:r>
          </w:p>
        </w:tc>
        <w:tc>
          <w:tcPr>
            <w:tcW w:w="0" w:type="auto"/>
            <w:noWrap/>
          </w:tcPr>
          <w:p w14:paraId="2825F2E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0.355 </w:t>
            </w:r>
          </w:p>
        </w:tc>
        <w:tc>
          <w:tcPr>
            <w:tcW w:w="0" w:type="auto"/>
            <w:noWrap/>
          </w:tcPr>
          <w:p w14:paraId="52E358B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0.63</w:t>
            </w:r>
          </w:p>
        </w:tc>
        <w:tc>
          <w:tcPr>
            <w:tcW w:w="0" w:type="auto"/>
            <w:noWrap/>
          </w:tcPr>
          <w:p w14:paraId="76D00A9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0.155 </w:t>
            </w:r>
          </w:p>
        </w:tc>
        <w:tc>
          <w:tcPr>
            <w:tcW w:w="0" w:type="auto"/>
            <w:noWrap/>
          </w:tcPr>
          <w:p w14:paraId="263280E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0.98 </w:t>
            </w:r>
          </w:p>
        </w:tc>
        <w:tc>
          <w:tcPr>
            <w:tcW w:w="0" w:type="auto"/>
            <w:noWrap/>
          </w:tcPr>
          <w:p w14:paraId="7A88973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0.200 </w:t>
            </w:r>
          </w:p>
        </w:tc>
        <w:tc>
          <w:tcPr>
            <w:tcW w:w="0" w:type="auto"/>
            <w:noWrap/>
          </w:tcPr>
          <w:p w14:paraId="651D8BF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0.65</w:t>
            </w:r>
          </w:p>
        </w:tc>
        <w:tc>
          <w:tcPr>
            <w:tcW w:w="0" w:type="auto"/>
            <w:noWrap/>
          </w:tcPr>
          <w:p w14:paraId="398E85A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2BAB119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5CCFB71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27AF94E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170525 </w:t>
            </w:r>
          </w:p>
        </w:tc>
        <w:tc>
          <w:tcPr>
            <w:tcW w:w="0" w:type="auto"/>
            <w:noWrap/>
          </w:tcPr>
          <w:p w14:paraId="15F0D19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0.202 </w:t>
            </w:r>
          </w:p>
        </w:tc>
        <w:tc>
          <w:tcPr>
            <w:tcW w:w="0" w:type="auto"/>
            <w:noWrap/>
          </w:tcPr>
          <w:p w14:paraId="52A6507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0.26 </w:t>
            </w:r>
          </w:p>
        </w:tc>
        <w:tc>
          <w:tcPr>
            <w:tcW w:w="0" w:type="auto"/>
            <w:noWrap/>
          </w:tcPr>
          <w:p w14:paraId="516AF78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19.91%</w:t>
            </w:r>
          </w:p>
        </w:tc>
        <w:tc>
          <w:tcPr>
            <w:tcW w:w="1323" w:type="dxa"/>
            <w:noWrap/>
          </w:tcPr>
          <w:p w14:paraId="0FA68BE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2.844%</w:t>
            </w:r>
          </w:p>
        </w:tc>
        <w:tc>
          <w:tcPr>
            <w:tcW w:w="850" w:type="dxa"/>
            <w:noWrap/>
          </w:tcPr>
          <w:p w14:paraId="0352B81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14</w:t>
            </w:r>
          </w:p>
        </w:tc>
      </w:tr>
      <w:tr w:rsidR="006D1C3F" w14:paraId="0660BC6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6BDB31C"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68CFF88"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Ale-Cer</w:t>
            </w:r>
          </w:p>
        </w:tc>
        <w:tc>
          <w:tcPr>
            <w:tcW w:w="0" w:type="auto"/>
            <w:noWrap/>
          </w:tcPr>
          <w:p w14:paraId="0A33CD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5.73 </w:t>
            </w:r>
          </w:p>
        </w:tc>
        <w:tc>
          <w:tcPr>
            <w:tcW w:w="0" w:type="auto"/>
            <w:noWrap/>
          </w:tcPr>
          <w:p w14:paraId="005B25A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43C07DF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noWrap/>
          </w:tcPr>
          <w:p w14:paraId="4AAC4D3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4F1ADD7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 </w:t>
            </w:r>
          </w:p>
        </w:tc>
        <w:tc>
          <w:tcPr>
            <w:tcW w:w="0" w:type="auto"/>
            <w:noWrap/>
          </w:tcPr>
          <w:p w14:paraId="54B0128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01C474A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noWrap/>
          </w:tcPr>
          <w:p w14:paraId="68BC04C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0.184 </w:t>
            </w:r>
          </w:p>
        </w:tc>
        <w:tc>
          <w:tcPr>
            <w:tcW w:w="0" w:type="auto"/>
            <w:noWrap/>
          </w:tcPr>
          <w:p w14:paraId="1011406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00DFCF8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25289B4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55799 </w:t>
            </w:r>
          </w:p>
        </w:tc>
        <w:tc>
          <w:tcPr>
            <w:tcW w:w="0" w:type="auto"/>
            <w:noWrap/>
          </w:tcPr>
          <w:p w14:paraId="21D8A4B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F34DEB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0.12 </w:t>
            </w:r>
          </w:p>
        </w:tc>
        <w:tc>
          <w:tcPr>
            <w:tcW w:w="0" w:type="auto"/>
            <w:noWrap/>
          </w:tcPr>
          <w:p w14:paraId="7A519BF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17.17%</w:t>
            </w:r>
          </w:p>
        </w:tc>
        <w:tc>
          <w:tcPr>
            <w:tcW w:w="1323" w:type="dxa"/>
            <w:noWrap/>
          </w:tcPr>
          <w:p w14:paraId="27DA184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2.452%</w:t>
            </w:r>
          </w:p>
        </w:tc>
        <w:tc>
          <w:tcPr>
            <w:tcW w:w="850" w:type="dxa"/>
            <w:noWrap/>
          </w:tcPr>
          <w:p w14:paraId="74E1680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18</w:t>
            </w:r>
          </w:p>
        </w:tc>
      </w:tr>
      <w:tr w:rsidR="006D1C3F" w14:paraId="2EE2A417"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8283F3D" w14:textId="77777777" w:rsidR="006D1C3F" w:rsidRDefault="006D1C3F">
            <w:pPr>
              <w:snapToGrid w:val="0"/>
              <w:ind w:firstLineChars="0" w:firstLine="0"/>
              <w:jc w:val="center"/>
              <w:rPr>
                <w:rFonts w:eastAsia="等线"/>
                <w:b/>
                <w:bCs/>
                <w:color w:val="000000"/>
                <w:sz w:val="20"/>
                <w:szCs w:val="20"/>
              </w:rPr>
            </w:pPr>
          </w:p>
        </w:tc>
        <w:tc>
          <w:tcPr>
            <w:tcW w:w="0" w:type="auto"/>
            <w:noWrap/>
          </w:tcPr>
          <w:p w14:paraId="4B0EEB1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Ale-Ens</w:t>
            </w:r>
          </w:p>
        </w:tc>
        <w:tc>
          <w:tcPr>
            <w:tcW w:w="0" w:type="auto"/>
            <w:noWrap/>
          </w:tcPr>
          <w:p w14:paraId="165E9D3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20.0 </w:t>
            </w:r>
          </w:p>
        </w:tc>
        <w:tc>
          <w:tcPr>
            <w:tcW w:w="0" w:type="auto"/>
            <w:noWrap/>
          </w:tcPr>
          <w:p w14:paraId="46C20D1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1D7DEBF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0.26</w:t>
            </w:r>
          </w:p>
        </w:tc>
        <w:tc>
          <w:tcPr>
            <w:tcW w:w="0" w:type="auto"/>
            <w:noWrap/>
          </w:tcPr>
          <w:p w14:paraId="02D2928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34B8A5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0.91 </w:t>
            </w:r>
          </w:p>
        </w:tc>
        <w:tc>
          <w:tcPr>
            <w:tcW w:w="0" w:type="auto"/>
            <w:noWrap/>
          </w:tcPr>
          <w:p w14:paraId="6408561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2EDBEA0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0.93</w:t>
            </w:r>
          </w:p>
        </w:tc>
        <w:tc>
          <w:tcPr>
            <w:tcW w:w="0" w:type="auto"/>
            <w:noWrap/>
          </w:tcPr>
          <w:p w14:paraId="45ADEC6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3C54024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7DE8B1E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2FE407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199578 </w:t>
            </w:r>
          </w:p>
        </w:tc>
        <w:tc>
          <w:tcPr>
            <w:tcW w:w="0" w:type="auto"/>
            <w:noWrap/>
          </w:tcPr>
          <w:p w14:paraId="4EFBE2C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3037EC6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0.93 </w:t>
            </w:r>
          </w:p>
        </w:tc>
        <w:tc>
          <w:tcPr>
            <w:tcW w:w="0" w:type="auto"/>
            <w:noWrap/>
          </w:tcPr>
          <w:p w14:paraId="6C75B5E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38.92%</w:t>
            </w:r>
          </w:p>
        </w:tc>
        <w:tc>
          <w:tcPr>
            <w:tcW w:w="1323" w:type="dxa"/>
            <w:noWrap/>
          </w:tcPr>
          <w:p w14:paraId="7AD195B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5.559%</w:t>
            </w:r>
          </w:p>
        </w:tc>
        <w:tc>
          <w:tcPr>
            <w:tcW w:w="850" w:type="dxa"/>
            <w:noWrap/>
          </w:tcPr>
          <w:p w14:paraId="5568C1E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w:t>
            </w:r>
          </w:p>
        </w:tc>
      </w:tr>
      <w:tr w:rsidR="006D1C3F" w14:paraId="3D5B4BEE"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7BDC78B" w14:textId="77777777" w:rsidR="006D1C3F" w:rsidRDefault="006D1C3F">
            <w:pPr>
              <w:snapToGrid w:val="0"/>
              <w:ind w:firstLineChars="0" w:firstLine="0"/>
              <w:jc w:val="center"/>
              <w:rPr>
                <w:rFonts w:eastAsia="等线"/>
                <w:b/>
                <w:bCs/>
                <w:color w:val="000000"/>
                <w:sz w:val="20"/>
                <w:szCs w:val="20"/>
              </w:rPr>
            </w:pPr>
          </w:p>
        </w:tc>
        <w:tc>
          <w:tcPr>
            <w:tcW w:w="0" w:type="auto"/>
            <w:noWrap/>
          </w:tcPr>
          <w:p w14:paraId="569CFA62"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Bri-Lor</w:t>
            </w:r>
          </w:p>
        </w:tc>
        <w:tc>
          <w:tcPr>
            <w:tcW w:w="0" w:type="auto"/>
            <w:noWrap/>
          </w:tcPr>
          <w:p w14:paraId="5F3E681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10.79 </w:t>
            </w:r>
          </w:p>
        </w:tc>
        <w:tc>
          <w:tcPr>
            <w:tcW w:w="0" w:type="auto"/>
            <w:noWrap/>
          </w:tcPr>
          <w:p w14:paraId="782C99D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0.253 </w:t>
            </w:r>
          </w:p>
        </w:tc>
        <w:tc>
          <w:tcPr>
            <w:tcW w:w="0" w:type="auto"/>
            <w:noWrap/>
          </w:tcPr>
          <w:p w14:paraId="6217AD1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0.63</w:t>
            </w:r>
          </w:p>
        </w:tc>
        <w:tc>
          <w:tcPr>
            <w:tcW w:w="0" w:type="auto"/>
            <w:noWrap/>
          </w:tcPr>
          <w:p w14:paraId="41593F3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0.152 </w:t>
            </w:r>
          </w:p>
        </w:tc>
        <w:tc>
          <w:tcPr>
            <w:tcW w:w="0" w:type="auto"/>
            <w:noWrap/>
          </w:tcPr>
          <w:p w14:paraId="17DB5A0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0.98</w:t>
            </w:r>
          </w:p>
        </w:tc>
        <w:tc>
          <w:tcPr>
            <w:tcW w:w="0" w:type="auto"/>
            <w:noWrap/>
          </w:tcPr>
          <w:p w14:paraId="551A979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0.167 </w:t>
            </w:r>
          </w:p>
        </w:tc>
        <w:tc>
          <w:tcPr>
            <w:tcW w:w="0" w:type="auto"/>
            <w:noWrap/>
          </w:tcPr>
          <w:p w14:paraId="783640C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0.65</w:t>
            </w:r>
          </w:p>
        </w:tc>
        <w:tc>
          <w:tcPr>
            <w:tcW w:w="0" w:type="auto"/>
            <w:noWrap/>
          </w:tcPr>
          <w:p w14:paraId="5460636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10D2D83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03BD6F6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156694F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170525 </w:t>
            </w:r>
          </w:p>
        </w:tc>
        <w:tc>
          <w:tcPr>
            <w:tcW w:w="0" w:type="auto"/>
            <w:noWrap/>
          </w:tcPr>
          <w:p w14:paraId="1B6D681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0.612 </w:t>
            </w:r>
          </w:p>
        </w:tc>
        <w:tc>
          <w:tcPr>
            <w:tcW w:w="0" w:type="auto"/>
            <w:noWrap/>
          </w:tcPr>
          <w:p w14:paraId="4F3F72E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0.24 </w:t>
            </w:r>
          </w:p>
        </w:tc>
        <w:tc>
          <w:tcPr>
            <w:tcW w:w="0" w:type="auto"/>
            <w:noWrap/>
          </w:tcPr>
          <w:p w14:paraId="5027F05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17.95%</w:t>
            </w:r>
          </w:p>
        </w:tc>
        <w:tc>
          <w:tcPr>
            <w:tcW w:w="1323" w:type="dxa"/>
            <w:noWrap/>
          </w:tcPr>
          <w:p w14:paraId="273D27E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2.031%</w:t>
            </w:r>
          </w:p>
        </w:tc>
        <w:tc>
          <w:tcPr>
            <w:tcW w:w="850" w:type="dxa"/>
            <w:noWrap/>
          </w:tcPr>
          <w:p w14:paraId="7031B0D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28</w:t>
            </w:r>
          </w:p>
        </w:tc>
      </w:tr>
      <w:tr w:rsidR="006D1C3F" w14:paraId="27F998E2"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727CB91B" w14:textId="77777777" w:rsidR="006D1C3F" w:rsidRDefault="006D1C3F">
            <w:pPr>
              <w:snapToGrid w:val="0"/>
              <w:ind w:firstLineChars="0" w:firstLine="0"/>
              <w:jc w:val="center"/>
              <w:rPr>
                <w:rFonts w:eastAsia="等线"/>
                <w:b/>
                <w:bCs/>
                <w:color w:val="000000"/>
                <w:sz w:val="20"/>
                <w:szCs w:val="20"/>
              </w:rPr>
            </w:pPr>
          </w:p>
        </w:tc>
        <w:tc>
          <w:tcPr>
            <w:tcW w:w="0" w:type="auto"/>
            <w:noWrap/>
          </w:tcPr>
          <w:p w14:paraId="35D6443C"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Bri-Ale</w:t>
            </w:r>
          </w:p>
        </w:tc>
        <w:tc>
          <w:tcPr>
            <w:tcW w:w="0" w:type="auto"/>
            <w:noWrap/>
          </w:tcPr>
          <w:p w14:paraId="78047C5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25.8 </w:t>
            </w:r>
          </w:p>
        </w:tc>
        <w:tc>
          <w:tcPr>
            <w:tcW w:w="0" w:type="auto"/>
            <w:noWrap/>
          </w:tcPr>
          <w:p w14:paraId="5F23584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9FE254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0.2527</w:t>
            </w:r>
          </w:p>
        </w:tc>
        <w:tc>
          <w:tcPr>
            <w:tcW w:w="0" w:type="auto"/>
            <w:noWrap/>
          </w:tcPr>
          <w:p w14:paraId="55EA242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127A184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0.89</w:t>
            </w:r>
          </w:p>
        </w:tc>
        <w:tc>
          <w:tcPr>
            <w:tcW w:w="0" w:type="auto"/>
            <w:noWrap/>
          </w:tcPr>
          <w:p w14:paraId="71023E6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7E20AA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0.82</w:t>
            </w:r>
          </w:p>
        </w:tc>
        <w:tc>
          <w:tcPr>
            <w:tcW w:w="0" w:type="auto"/>
            <w:noWrap/>
          </w:tcPr>
          <w:p w14:paraId="4635A85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0.607 </w:t>
            </w:r>
          </w:p>
        </w:tc>
        <w:tc>
          <w:tcPr>
            <w:tcW w:w="0" w:type="auto"/>
            <w:noWrap/>
          </w:tcPr>
          <w:p w14:paraId="13885F7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71C1FD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3A35E22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351779 </w:t>
            </w:r>
          </w:p>
        </w:tc>
        <w:tc>
          <w:tcPr>
            <w:tcW w:w="0" w:type="auto"/>
            <w:noWrap/>
          </w:tcPr>
          <w:p w14:paraId="4030DEC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2DDF93D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0.90 </w:t>
            </w:r>
          </w:p>
        </w:tc>
        <w:tc>
          <w:tcPr>
            <w:tcW w:w="0" w:type="auto"/>
            <w:noWrap/>
          </w:tcPr>
          <w:p w14:paraId="7537A2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34.62%</w:t>
            </w:r>
          </w:p>
        </w:tc>
        <w:tc>
          <w:tcPr>
            <w:tcW w:w="1323" w:type="dxa"/>
            <w:noWrap/>
          </w:tcPr>
          <w:p w14:paraId="7265E5A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3.915%</w:t>
            </w:r>
          </w:p>
        </w:tc>
        <w:tc>
          <w:tcPr>
            <w:tcW w:w="850" w:type="dxa"/>
            <w:noWrap/>
          </w:tcPr>
          <w:p w14:paraId="4A29283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7</w:t>
            </w:r>
          </w:p>
        </w:tc>
      </w:tr>
      <w:tr w:rsidR="006D1C3F" w14:paraId="3C5D0431"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D6ADF15" w14:textId="77777777" w:rsidR="006D1C3F" w:rsidRDefault="006D1C3F">
            <w:pPr>
              <w:snapToGrid w:val="0"/>
              <w:ind w:firstLineChars="0" w:firstLine="0"/>
              <w:jc w:val="center"/>
              <w:rPr>
                <w:rFonts w:eastAsia="等线"/>
                <w:b/>
                <w:bCs/>
                <w:color w:val="000000"/>
                <w:sz w:val="20"/>
                <w:szCs w:val="20"/>
              </w:rPr>
            </w:pPr>
          </w:p>
        </w:tc>
        <w:tc>
          <w:tcPr>
            <w:tcW w:w="0" w:type="auto"/>
            <w:noWrap/>
          </w:tcPr>
          <w:p w14:paraId="77FCFF51"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Bri-Cer</w:t>
            </w:r>
          </w:p>
        </w:tc>
        <w:tc>
          <w:tcPr>
            <w:tcW w:w="0" w:type="auto"/>
            <w:noWrap/>
          </w:tcPr>
          <w:p w14:paraId="3FDBCCB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5.73 </w:t>
            </w:r>
          </w:p>
        </w:tc>
        <w:tc>
          <w:tcPr>
            <w:tcW w:w="0" w:type="auto"/>
            <w:noWrap/>
          </w:tcPr>
          <w:p w14:paraId="6E48B5A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66EDF6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noWrap/>
          </w:tcPr>
          <w:p w14:paraId="167E455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053623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noWrap/>
          </w:tcPr>
          <w:p w14:paraId="0909F32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5DC114C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noWrap/>
          </w:tcPr>
          <w:p w14:paraId="5346DD5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0.184 </w:t>
            </w:r>
          </w:p>
        </w:tc>
        <w:tc>
          <w:tcPr>
            <w:tcW w:w="0" w:type="auto"/>
            <w:noWrap/>
          </w:tcPr>
          <w:p w14:paraId="60A59A7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4C245F0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2A5DD95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55799 </w:t>
            </w:r>
          </w:p>
        </w:tc>
        <w:tc>
          <w:tcPr>
            <w:tcW w:w="0" w:type="auto"/>
            <w:noWrap/>
          </w:tcPr>
          <w:p w14:paraId="6D68DED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B39A2F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0.12 </w:t>
            </w:r>
          </w:p>
        </w:tc>
        <w:tc>
          <w:tcPr>
            <w:tcW w:w="0" w:type="auto"/>
            <w:noWrap/>
          </w:tcPr>
          <w:p w14:paraId="1D2DB4E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15.85%</w:t>
            </w:r>
          </w:p>
        </w:tc>
        <w:tc>
          <w:tcPr>
            <w:tcW w:w="1323" w:type="dxa"/>
            <w:noWrap/>
          </w:tcPr>
          <w:p w14:paraId="7D80B27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1.793%</w:t>
            </w:r>
          </w:p>
        </w:tc>
        <w:tc>
          <w:tcPr>
            <w:tcW w:w="850" w:type="dxa"/>
            <w:noWrap/>
          </w:tcPr>
          <w:p w14:paraId="4D4A745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32</w:t>
            </w:r>
          </w:p>
        </w:tc>
      </w:tr>
      <w:tr w:rsidR="006D1C3F" w14:paraId="69645AF1"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5776B18D" w14:textId="77777777" w:rsidR="006D1C3F" w:rsidRDefault="006D1C3F">
            <w:pPr>
              <w:snapToGrid w:val="0"/>
              <w:ind w:firstLineChars="0" w:firstLine="0"/>
              <w:jc w:val="center"/>
              <w:rPr>
                <w:rFonts w:eastAsia="等线"/>
                <w:b/>
                <w:bCs/>
                <w:color w:val="000000"/>
                <w:sz w:val="20"/>
                <w:szCs w:val="20"/>
              </w:rPr>
            </w:pPr>
          </w:p>
        </w:tc>
        <w:tc>
          <w:tcPr>
            <w:tcW w:w="0" w:type="auto"/>
            <w:noWrap/>
          </w:tcPr>
          <w:p w14:paraId="7F8661AF"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Bri-Ens</w:t>
            </w:r>
          </w:p>
        </w:tc>
        <w:tc>
          <w:tcPr>
            <w:tcW w:w="0" w:type="auto"/>
            <w:noWrap/>
          </w:tcPr>
          <w:p w14:paraId="615E734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20.0 </w:t>
            </w:r>
          </w:p>
        </w:tc>
        <w:tc>
          <w:tcPr>
            <w:tcW w:w="0" w:type="auto"/>
            <w:noWrap/>
          </w:tcPr>
          <w:p w14:paraId="7F78680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0.711 </w:t>
            </w:r>
          </w:p>
        </w:tc>
        <w:tc>
          <w:tcPr>
            <w:tcW w:w="0" w:type="auto"/>
            <w:noWrap/>
          </w:tcPr>
          <w:p w14:paraId="493C494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0.26</w:t>
            </w:r>
          </w:p>
        </w:tc>
        <w:tc>
          <w:tcPr>
            <w:tcW w:w="0" w:type="auto"/>
            <w:noWrap/>
          </w:tcPr>
          <w:p w14:paraId="28D34C1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0.984 </w:t>
            </w:r>
          </w:p>
        </w:tc>
        <w:tc>
          <w:tcPr>
            <w:tcW w:w="0" w:type="auto"/>
            <w:noWrap/>
          </w:tcPr>
          <w:p w14:paraId="4D1B8D9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0.91</w:t>
            </w:r>
          </w:p>
        </w:tc>
        <w:tc>
          <w:tcPr>
            <w:tcW w:w="0" w:type="auto"/>
            <w:noWrap/>
          </w:tcPr>
          <w:p w14:paraId="35129A6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0.835 </w:t>
            </w:r>
          </w:p>
        </w:tc>
        <w:tc>
          <w:tcPr>
            <w:tcW w:w="0" w:type="auto"/>
            <w:noWrap/>
          </w:tcPr>
          <w:p w14:paraId="25BAAAD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0.93</w:t>
            </w:r>
          </w:p>
        </w:tc>
        <w:tc>
          <w:tcPr>
            <w:tcW w:w="0" w:type="auto"/>
            <w:noWrap/>
          </w:tcPr>
          <w:p w14:paraId="0538441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A98B4E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2F6071C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21FAEA0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199578 </w:t>
            </w:r>
          </w:p>
        </w:tc>
        <w:tc>
          <w:tcPr>
            <w:tcW w:w="0" w:type="auto"/>
            <w:noWrap/>
          </w:tcPr>
          <w:p w14:paraId="31F070C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0.514 </w:t>
            </w:r>
          </w:p>
        </w:tc>
        <w:tc>
          <w:tcPr>
            <w:tcW w:w="0" w:type="auto"/>
            <w:noWrap/>
          </w:tcPr>
          <w:p w14:paraId="702417A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0.80 </w:t>
            </w:r>
          </w:p>
        </w:tc>
        <w:tc>
          <w:tcPr>
            <w:tcW w:w="0" w:type="auto"/>
            <w:noWrap/>
          </w:tcPr>
          <w:p w14:paraId="33AD325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31.58%</w:t>
            </w:r>
          </w:p>
        </w:tc>
        <w:tc>
          <w:tcPr>
            <w:tcW w:w="1323" w:type="dxa"/>
            <w:noWrap/>
          </w:tcPr>
          <w:p w14:paraId="167051F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3.572%</w:t>
            </w:r>
          </w:p>
        </w:tc>
        <w:tc>
          <w:tcPr>
            <w:tcW w:w="850" w:type="dxa"/>
            <w:noWrap/>
          </w:tcPr>
          <w:p w14:paraId="6E05A3A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8</w:t>
            </w:r>
          </w:p>
        </w:tc>
      </w:tr>
      <w:tr w:rsidR="006D1C3F" w14:paraId="0BFC472E"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A01B394" w14:textId="77777777" w:rsidR="006D1C3F" w:rsidRDefault="006D1C3F">
            <w:pPr>
              <w:snapToGrid w:val="0"/>
              <w:ind w:firstLineChars="0" w:firstLine="0"/>
              <w:jc w:val="center"/>
              <w:rPr>
                <w:rFonts w:eastAsia="等线"/>
                <w:b/>
                <w:bCs/>
                <w:color w:val="000000"/>
                <w:sz w:val="20"/>
                <w:szCs w:val="20"/>
              </w:rPr>
            </w:pPr>
          </w:p>
        </w:tc>
        <w:tc>
          <w:tcPr>
            <w:tcW w:w="0" w:type="auto"/>
            <w:noWrap/>
          </w:tcPr>
          <w:p w14:paraId="3E532169"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Cer-Lor</w:t>
            </w:r>
          </w:p>
        </w:tc>
        <w:tc>
          <w:tcPr>
            <w:tcW w:w="0" w:type="auto"/>
            <w:noWrap/>
          </w:tcPr>
          <w:p w14:paraId="1635A18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10.79 </w:t>
            </w:r>
          </w:p>
        </w:tc>
        <w:tc>
          <w:tcPr>
            <w:tcW w:w="0" w:type="auto"/>
            <w:noWrap/>
          </w:tcPr>
          <w:p w14:paraId="2282462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AC93F8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0.63</w:t>
            </w:r>
          </w:p>
        </w:tc>
        <w:tc>
          <w:tcPr>
            <w:tcW w:w="0" w:type="auto"/>
            <w:noWrap/>
          </w:tcPr>
          <w:p w14:paraId="1596C1D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0.021 </w:t>
            </w:r>
          </w:p>
        </w:tc>
        <w:tc>
          <w:tcPr>
            <w:tcW w:w="0" w:type="auto"/>
            <w:noWrap/>
          </w:tcPr>
          <w:p w14:paraId="5397E82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0.98</w:t>
            </w:r>
          </w:p>
        </w:tc>
        <w:tc>
          <w:tcPr>
            <w:tcW w:w="0" w:type="auto"/>
            <w:noWrap/>
          </w:tcPr>
          <w:p w14:paraId="05B28BE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0.167 </w:t>
            </w:r>
          </w:p>
        </w:tc>
        <w:tc>
          <w:tcPr>
            <w:tcW w:w="0" w:type="auto"/>
            <w:noWrap/>
          </w:tcPr>
          <w:p w14:paraId="2DAD94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0.65</w:t>
            </w:r>
          </w:p>
        </w:tc>
        <w:tc>
          <w:tcPr>
            <w:tcW w:w="0" w:type="auto"/>
            <w:noWrap/>
          </w:tcPr>
          <w:p w14:paraId="772AAB9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3B04A86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3CBE33D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7D79B9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170525 </w:t>
            </w:r>
          </w:p>
        </w:tc>
        <w:tc>
          <w:tcPr>
            <w:tcW w:w="0" w:type="auto"/>
            <w:noWrap/>
          </w:tcPr>
          <w:p w14:paraId="5577E90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7434C70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0.14 </w:t>
            </w:r>
          </w:p>
        </w:tc>
        <w:tc>
          <w:tcPr>
            <w:tcW w:w="0" w:type="auto"/>
            <w:noWrap/>
          </w:tcPr>
          <w:p w14:paraId="27C53F6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16.06%</w:t>
            </w:r>
          </w:p>
        </w:tc>
        <w:tc>
          <w:tcPr>
            <w:tcW w:w="1323" w:type="dxa"/>
            <w:noWrap/>
          </w:tcPr>
          <w:p w14:paraId="551EFC4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2.103%</w:t>
            </w:r>
          </w:p>
        </w:tc>
        <w:tc>
          <w:tcPr>
            <w:tcW w:w="850" w:type="dxa"/>
            <w:noWrap/>
          </w:tcPr>
          <w:p w14:paraId="20C04AA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27</w:t>
            </w:r>
          </w:p>
        </w:tc>
      </w:tr>
      <w:tr w:rsidR="006D1C3F" w14:paraId="2F68210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68435BC4" w14:textId="77777777" w:rsidR="006D1C3F" w:rsidRDefault="006D1C3F">
            <w:pPr>
              <w:snapToGrid w:val="0"/>
              <w:ind w:firstLineChars="0" w:firstLine="0"/>
              <w:jc w:val="center"/>
              <w:rPr>
                <w:rFonts w:eastAsia="等线"/>
                <w:b/>
                <w:bCs/>
                <w:color w:val="000000"/>
                <w:sz w:val="20"/>
                <w:szCs w:val="20"/>
              </w:rPr>
            </w:pPr>
          </w:p>
        </w:tc>
        <w:tc>
          <w:tcPr>
            <w:tcW w:w="0" w:type="auto"/>
            <w:noWrap/>
          </w:tcPr>
          <w:p w14:paraId="7B2466E9"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Cer-Ale</w:t>
            </w:r>
          </w:p>
        </w:tc>
        <w:tc>
          <w:tcPr>
            <w:tcW w:w="0" w:type="auto"/>
            <w:noWrap/>
          </w:tcPr>
          <w:p w14:paraId="3E8CEA6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25.76 </w:t>
            </w:r>
          </w:p>
        </w:tc>
        <w:tc>
          <w:tcPr>
            <w:tcW w:w="0" w:type="auto"/>
            <w:noWrap/>
          </w:tcPr>
          <w:p w14:paraId="3F08A79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4A130F1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0.25</w:t>
            </w:r>
          </w:p>
        </w:tc>
        <w:tc>
          <w:tcPr>
            <w:tcW w:w="0" w:type="auto"/>
            <w:noWrap/>
          </w:tcPr>
          <w:p w14:paraId="5836FC7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081090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0.89</w:t>
            </w:r>
          </w:p>
        </w:tc>
        <w:tc>
          <w:tcPr>
            <w:tcW w:w="0" w:type="auto"/>
            <w:noWrap/>
          </w:tcPr>
          <w:p w14:paraId="0144EFB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4CAC4D7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0.82</w:t>
            </w:r>
          </w:p>
        </w:tc>
        <w:tc>
          <w:tcPr>
            <w:tcW w:w="0" w:type="auto"/>
            <w:noWrap/>
          </w:tcPr>
          <w:p w14:paraId="0923B05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0.607 </w:t>
            </w:r>
          </w:p>
        </w:tc>
        <w:tc>
          <w:tcPr>
            <w:tcW w:w="0" w:type="auto"/>
            <w:noWrap/>
          </w:tcPr>
          <w:p w14:paraId="3931833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3B841EB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69A1EE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351779 </w:t>
            </w:r>
          </w:p>
        </w:tc>
        <w:tc>
          <w:tcPr>
            <w:tcW w:w="0" w:type="auto"/>
            <w:noWrap/>
          </w:tcPr>
          <w:p w14:paraId="719F688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0B79746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0.90 </w:t>
            </w:r>
          </w:p>
        </w:tc>
        <w:tc>
          <w:tcPr>
            <w:tcW w:w="0" w:type="auto"/>
            <w:noWrap/>
          </w:tcPr>
          <w:p w14:paraId="4D74902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34.09%</w:t>
            </w:r>
          </w:p>
        </w:tc>
        <w:tc>
          <w:tcPr>
            <w:tcW w:w="1323" w:type="dxa"/>
            <w:noWrap/>
          </w:tcPr>
          <w:p w14:paraId="0BCA189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4.464%</w:t>
            </w:r>
          </w:p>
        </w:tc>
        <w:tc>
          <w:tcPr>
            <w:tcW w:w="850" w:type="dxa"/>
            <w:noWrap/>
          </w:tcPr>
          <w:p w14:paraId="631ECB3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5</w:t>
            </w:r>
          </w:p>
        </w:tc>
      </w:tr>
      <w:tr w:rsidR="006D1C3F" w14:paraId="49F3AE0F"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8C7EE06" w14:textId="77777777" w:rsidR="006D1C3F" w:rsidRDefault="006D1C3F">
            <w:pPr>
              <w:snapToGrid w:val="0"/>
              <w:ind w:firstLineChars="0" w:firstLine="0"/>
              <w:jc w:val="center"/>
              <w:rPr>
                <w:rFonts w:eastAsia="等线"/>
                <w:b/>
                <w:bCs/>
                <w:color w:val="000000"/>
                <w:sz w:val="20"/>
                <w:szCs w:val="20"/>
              </w:rPr>
            </w:pPr>
          </w:p>
        </w:tc>
        <w:tc>
          <w:tcPr>
            <w:tcW w:w="0" w:type="auto"/>
            <w:noWrap/>
          </w:tcPr>
          <w:p w14:paraId="390325E9"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Cer-Bri</w:t>
            </w:r>
          </w:p>
        </w:tc>
        <w:tc>
          <w:tcPr>
            <w:tcW w:w="0" w:type="auto"/>
            <w:noWrap/>
          </w:tcPr>
          <w:p w14:paraId="48D22B4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17.63 </w:t>
            </w:r>
          </w:p>
        </w:tc>
        <w:tc>
          <w:tcPr>
            <w:tcW w:w="0" w:type="auto"/>
            <w:noWrap/>
          </w:tcPr>
          <w:p w14:paraId="41D3B9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0.457 </w:t>
            </w:r>
          </w:p>
        </w:tc>
        <w:tc>
          <w:tcPr>
            <w:tcW w:w="0" w:type="auto"/>
            <w:noWrap/>
          </w:tcPr>
          <w:p w14:paraId="7278D61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0.64</w:t>
            </w:r>
          </w:p>
        </w:tc>
        <w:tc>
          <w:tcPr>
            <w:tcW w:w="0" w:type="auto"/>
            <w:noWrap/>
          </w:tcPr>
          <w:p w14:paraId="20BA8B7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2F8472C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noWrap/>
          </w:tcPr>
          <w:p w14:paraId="0732FD8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4A34EC5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0.79</w:t>
            </w:r>
          </w:p>
        </w:tc>
        <w:tc>
          <w:tcPr>
            <w:tcW w:w="0" w:type="auto"/>
            <w:noWrap/>
          </w:tcPr>
          <w:p w14:paraId="6B5BF70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0.504 </w:t>
            </w:r>
          </w:p>
        </w:tc>
        <w:tc>
          <w:tcPr>
            <w:tcW w:w="0" w:type="auto"/>
            <w:noWrap/>
          </w:tcPr>
          <w:p w14:paraId="4220F2E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051371A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5FB85B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179297 </w:t>
            </w:r>
          </w:p>
        </w:tc>
        <w:tc>
          <w:tcPr>
            <w:tcW w:w="0" w:type="auto"/>
            <w:noWrap/>
          </w:tcPr>
          <w:p w14:paraId="2D46390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0.952 </w:t>
            </w:r>
          </w:p>
        </w:tc>
        <w:tc>
          <w:tcPr>
            <w:tcW w:w="0" w:type="auto"/>
            <w:noWrap/>
          </w:tcPr>
          <w:p w14:paraId="7A061F5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0.33 </w:t>
            </w:r>
          </w:p>
        </w:tc>
        <w:tc>
          <w:tcPr>
            <w:tcW w:w="0" w:type="auto"/>
            <w:noWrap/>
          </w:tcPr>
          <w:p w14:paraId="57EE864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19.33%</w:t>
            </w:r>
          </w:p>
        </w:tc>
        <w:tc>
          <w:tcPr>
            <w:tcW w:w="1323" w:type="dxa"/>
            <w:noWrap/>
          </w:tcPr>
          <w:p w14:paraId="74A355D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2.532%</w:t>
            </w:r>
          </w:p>
        </w:tc>
        <w:tc>
          <w:tcPr>
            <w:tcW w:w="850" w:type="dxa"/>
            <w:noWrap/>
          </w:tcPr>
          <w:p w14:paraId="392134C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16</w:t>
            </w:r>
          </w:p>
        </w:tc>
      </w:tr>
      <w:tr w:rsidR="006D1C3F" w14:paraId="595BDE0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4694C85" w14:textId="77777777" w:rsidR="006D1C3F" w:rsidRDefault="006D1C3F">
            <w:pPr>
              <w:snapToGrid w:val="0"/>
              <w:ind w:firstLineChars="0" w:firstLine="0"/>
              <w:jc w:val="center"/>
              <w:rPr>
                <w:rFonts w:eastAsia="等线"/>
                <w:b/>
                <w:bCs/>
                <w:color w:val="000000"/>
                <w:sz w:val="20"/>
                <w:szCs w:val="20"/>
              </w:rPr>
            </w:pPr>
          </w:p>
        </w:tc>
        <w:tc>
          <w:tcPr>
            <w:tcW w:w="0" w:type="auto"/>
            <w:noWrap/>
          </w:tcPr>
          <w:p w14:paraId="76A94056"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Cer-Ens</w:t>
            </w:r>
          </w:p>
        </w:tc>
        <w:tc>
          <w:tcPr>
            <w:tcW w:w="0" w:type="auto"/>
            <w:noWrap/>
          </w:tcPr>
          <w:p w14:paraId="5616220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20.0 </w:t>
            </w:r>
          </w:p>
        </w:tc>
        <w:tc>
          <w:tcPr>
            <w:tcW w:w="0" w:type="auto"/>
            <w:noWrap/>
          </w:tcPr>
          <w:p w14:paraId="2A24008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0.613 </w:t>
            </w:r>
          </w:p>
        </w:tc>
        <w:tc>
          <w:tcPr>
            <w:tcW w:w="0" w:type="auto"/>
            <w:noWrap/>
          </w:tcPr>
          <w:p w14:paraId="4235AF7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0.26</w:t>
            </w:r>
          </w:p>
        </w:tc>
        <w:tc>
          <w:tcPr>
            <w:tcW w:w="0" w:type="auto"/>
            <w:noWrap/>
          </w:tcPr>
          <w:p w14:paraId="209908F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0.981 </w:t>
            </w:r>
          </w:p>
        </w:tc>
        <w:tc>
          <w:tcPr>
            <w:tcW w:w="0" w:type="auto"/>
            <w:noWrap/>
          </w:tcPr>
          <w:p w14:paraId="29FA20C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0.91</w:t>
            </w:r>
          </w:p>
        </w:tc>
        <w:tc>
          <w:tcPr>
            <w:tcW w:w="0" w:type="auto"/>
            <w:noWrap/>
          </w:tcPr>
          <w:p w14:paraId="7BC7865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0.835 </w:t>
            </w:r>
          </w:p>
        </w:tc>
        <w:tc>
          <w:tcPr>
            <w:tcW w:w="0" w:type="auto"/>
            <w:noWrap/>
          </w:tcPr>
          <w:p w14:paraId="3078DB7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0.93</w:t>
            </w:r>
          </w:p>
        </w:tc>
        <w:tc>
          <w:tcPr>
            <w:tcW w:w="0" w:type="auto"/>
            <w:noWrap/>
          </w:tcPr>
          <w:p w14:paraId="27876E5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11A1F0B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0C9BFA1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6D60FE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199578 </w:t>
            </w:r>
          </w:p>
        </w:tc>
        <w:tc>
          <w:tcPr>
            <w:tcW w:w="0" w:type="auto"/>
            <w:noWrap/>
          </w:tcPr>
          <w:p w14:paraId="6D2C2E8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0.840 </w:t>
            </w:r>
          </w:p>
        </w:tc>
        <w:tc>
          <w:tcPr>
            <w:tcW w:w="0" w:type="auto"/>
            <w:noWrap/>
          </w:tcPr>
          <w:p w14:paraId="53022B0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0.79 </w:t>
            </w:r>
          </w:p>
        </w:tc>
        <w:tc>
          <w:tcPr>
            <w:tcW w:w="0" w:type="auto"/>
            <w:noWrap/>
          </w:tcPr>
          <w:p w14:paraId="15390C0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30.52%</w:t>
            </w:r>
          </w:p>
        </w:tc>
        <w:tc>
          <w:tcPr>
            <w:tcW w:w="1323" w:type="dxa"/>
            <w:noWrap/>
          </w:tcPr>
          <w:p w14:paraId="488E23C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3.997%</w:t>
            </w:r>
          </w:p>
        </w:tc>
        <w:tc>
          <w:tcPr>
            <w:tcW w:w="850" w:type="dxa"/>
            <w:noWrap/>
          </w:tcPr>
          <w:p w14:paraId="0FFF89F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6</w:t>
            </w:r>
          </w:p>
        </w:tc>
      </w:tr>
      <w:tr w:rsidR="006D1C3F" w14:paraId="132AF89D"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461BFEF"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50D044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Ens-Lor</w:t>
            </w:r>
          </w:p>
        </w:tc>
        <w:tc>
          <w:tcPr>
            <w:tcW w:w="0" w:type="auto"/>
            <w:noWrap/>
          </w:tcPr>
          <w:p w14:paraId="7F6AB49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10.79 </w:t>
            </w:r>
          </w:p>
        </w:tc>
        <w:tc>
          <w:tcPr>
            <w:tcW w:w="0" w:type="auto"/>
            <w:noWrap/>
          </w:tcPr>
          <w:p w14:paraId="3B9F150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0.253 </w:t>
            </w:r>
          </w:p>
        </w:tc>
        <w:tc>
          <w:tcPr>
            <w:tcW w:w="0" w:type="auto"/>
            <w:noWrap/>
          </w:tcPr>
          <w:p w14:paraId="60F6269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0.63</w:t>
            </w:r>
          </w:p>
        </w:tc>
        <w:tc>
          <w:tcPr>
            <w:tcW w:w="0" w:type="auto"/>
            <w:noWrap/>
          </w:tcPr>
          <w:p w14:paraId="5E32B35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0.152 </w:t>
            </w:r>
          </w:p>
        </w:tc>
        <w:tc>
          <w:tcPr>
            <w:tcW w:w="0" w:type="auto"/>
            <w:noWrap/>
          </w:tcPr>
          <w:p w14:paraId="5A17C81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0.98</w:t>
            </w:r>
          </w:p>
        </w:tc>
        <w:tc>
          <w:tcPr>
            <w:tcW w:w="0" w:type="auto"/>
            <w:noWrap/>
          </w:tcPr>
          <w:p w14:paraId="5D63AA8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0.167 </w:t>
            </w:r>
          </w:p>
        </w:tc>
        <w:tc>
          <w:tcPr>
            <w:tcW w:w="0" w:type="auto"/>
            <w:noWrap/>
          </w:tcPr>
          <w:p w14:paraId="539252F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0.65</w:t>
            </w:r>
          </w:p>
        </w:tc>
        <w:tc>
          <w:tcPr>
            <w:tcW w:w="0" w:type="auto"/>
            <w:noWrap/>
          </w:tcPr>
          <w:p w14:paraId="2F85979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3316194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71D3CDC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58AD64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170525 </w:t>
            </w:r>
          </w:p>
        </w:tc>
        <w:tc>
          <w:tcPr>
            <w:tcW w:w="0" w:type="auto"/>
            <w:noWrap/>
          </w:tcPr>
          <w:p w14:paraId="1A4AA96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0.612 </w:t>
            </w:r>
          </w:p>
        </w:tc>
        <w:tc>
          <w:tcPr>
            <w:tcW w:w="0" w:type="auto"/>
            <w:noWrap/>
          </w:tcPr>
          <w:p w14:paraId="3D5083F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0.24 </w:t>
            </w:r>
          </w:p>
        </w:tc>
        <w:tc>
          <w:tcPr>
            <w:tcW w:w="0" w:type="auto"/>
            <w:noWrap/>
          </w:tcPr>
          <w:p w14:paraId="54E38E7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19.68%</w:t>
            </w:r>
          </w:p>
        </w:tc>
        <w:tc>
          <w:tcPr>
            <w:tcW w:w="1323" w:type="dxa"/>
            <w:noWrap/>
          </w:tcPr>
          <w:p w14:paraId="38DE69F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2.494%</w:t>
            </w:r>
          </w:p>
        </w:tc>
        <w:tc>
          <w:tcPr>
            <w:tcW w:w="850" w:type="dxa"/>
            <w:noWrap/>
          </w:tcPr>
          <w:p w14:paraId="4793FBA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17</w:t>
            </w:r>
          </w:p>
        </w:tc>
      </w:tr>
      <w:tr w:rsidR="006D1C3F" w14:paraId="09EBF7D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72904D90"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4FC85C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Ens-Ale</w:t>
            </w:r>
          </w:p>
        </w:tc>
        <w:tc>
          <w:tcPr>
            <w:tcW w:w="0" w:type="auto"/>
            <w:noWrap/>
          </w:tcPr>
          <w:p w14:paraId="06A5BFF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25.76 </w:t>
            </w:r>
          </w:p>
        </w:tc>
        <w:tc>
          <w:tcPr>
            <w:tcW w:w="0" w:type="auto"/>
            <w:noWrap/>
          </w:tcPr>
          <w:p w14:paraId="1FC182C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DC2DA4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0.25</w:t>
            </w:r>
          </w:p>
        </w:tc>
        <w:tc>
          <w:tcPr>
            <w:tcW w:w="0" w:type="auto"/>
            <w:noWrap/>
          </w:tcPr>
          <w:p w14:paraId="173D4C7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25AAFC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0.89</w:t>
            </w:r>
          </w:p>
        </w:tc>
        <w:tc>
          <w:tcPr>
            <w:tcW w:w="0" w:type="auto"/>
            <w:noWrap/>
          </w:tcPr>
          <w:p w14:paraId="2BB2CA3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504F22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0.82</w:t>
            </w:r>
          </w:p>
        </w:tc>
        <w:tc>
          <w:tcPr>
            <w:tcW w:w="0" w:type="auto"/>
            <w:noWrap/>
          </w:tcPr>
          <w:p w14:paraId="29CAAF4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FB2892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5F44D25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E465BB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351779 </w:t>
            </w:r>
          </w:p>
        </w:tc>
        <w:tc>
          <w:tcPr>
            <w:tcW w:w="0" w:type="auto"/>
            <w:noWrap/>
          </w:tcPr>
          <w:p w14:paraId="1C3AB02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128505D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0.93 </w:t>
            </w:r>
          </w:p>
        </w:tc>
        <w:tc>
          <w:tcPr>
            <w:tcW w:w="0" w:type="auto"/>
            <w:noWrap/>
          </w:tcPr>
          <w:p w14:paraId="143CCC2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39.39%</w:t>
            </w:r>
          </w:p>
        </w:tc>
        <w:tc>
          <w:tcPr>
            <w:tcW w:w="1323" w:type="dxa"/>
            <w:noWrap/>
          </w:tcPr>
          <w:p w14:paraId="7B7030C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4.991%</w:t>
            </w:r>
          </w:p>
        </w:tc>
        <w:tc>
          <w:tcPr>
            <w:tcW w:w="850" w:type="dxa"/>
            <w:noWrap/>
          </w:tcPr>
          <w:p w14:paraId="1A0D43B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w:t>
            </w:r>
          </w:p>
        </w:tc>
      </w:tr>
      <w:tr w:rsidR="006D1C3F" w14:paraId="4B3E3B7D"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3C8F883C" w14:textId="77777777" w:rsidR="006D1C3F" w:rsidRDefault="006D1C3F">
            <w:pPr>
              <w:snapToGrid w:val="0"/>
              <w:ind w:firstLineChars="0" w:firstLine="0"/>
              <w:jc w:val="center"/>
              <w:rPr>
                <w:rFonts w:eastAsia="等线"/>
                <w:b/>
                <w:bCs/>
                <w:color w:val="000000"/>
                <w:sz w:val="20"/>
                <w:szCs w:val="20"/>
              </w:rPr>
            </w:pPr>
          </w:p>
        </w:tc>
        <w:tc>
          <w:tcPr>
            <w:tcW w:w="0" w:type="auto"/>
            <w:noWrap/>
          </w:tcPr>
          <w:p w14:paraId="696A482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Ens-Bri</w:t>
            </w:r>
          </w:p>
        </w:tc>
        <w:tc>
          <w:tcPr>
            <w:tcW w:w="0" w:type="auto"/>
            <w:noWrap/>
          </w:tcPr>
          <w:p w14:paraId="2D5FD32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17.63 </w:t>
            </w:r>
          </w:p>
        </w:tc>
        <w:tc>
          <w:tcPr>
            <w:tcW w:w="0" w:type="auto"/>
            <w:noWrap/>
          </w:tcPr>
          <w:p w14:paraId="503402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0.594 </w:t>
            </w:r>
          </w:p>
        </w:tc>
        <w:tc>
          <w:tcPr>
            <w:tcW w:w="0" w:type="auto"/>
            <w:noWrap/>
          </w:tcPr>
          <w:p w14:paraId="764C88E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0.64</w:t>
            </w:r>
          </w:p>
        </w:tc>
        <w:tc>
          <w:tcPr>
            <w:tcW w:w="0" w:type="auto"/>
            <w:noWrap/>
          </w:tcPr>
          <w:p w14:paraId="712CBFD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0.134 </w:t>
            </w:r>
          </w:p>
        </w:tc>
        <w:tc>
          <w:tcPr>
            <w:tcW w:w="0" w:type="auto"/>
            <w:noWrap/>
          </w:tcPr>
          <w:p w14:paraId="5CC85E5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noWrap/>
          </w:tcPr>
          <w:p w14:paraId="0DD720B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110EFDC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0.79</w:t>
            </w:r>
          </w:p>
        </w:tc>
        <w:tc>
          <w:tcPr>
            <w:tcW w:w="0" w:type="auto"/>
            <w:noWrap/>
          </w:tcPr>
          <w:p w14:paraId="072A60F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0.829 </w:t>
            </w:r>
          </w:p>
        </w:tc>
        <w:tc>
          <w:tcPr>
            <w:tcW w:w="0" w:type="auto"/>
            <w:noWrap/>
          </w:tcPr>
          <w:p w14:paraId="7FD7650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054BDAA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4A10A83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179297 </w:t>
            </w:r>
          </w:p>
        </w:tc>
        <w:tc>
          <w:tcPr>
            <w:tcW w:w="0" w:type="auto"/>
            <w:noWrap/>
          </w:tcPr>
          <w:p w14:paraId="7C12148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0.583 </w:t>
            </w:r>
          </w:p>
        </w:tc>
        <w:tc>
          <w:tcPr>
            <w:tcW w:w="0" w:type="auto"/>
            <w:noWrap/>
          </w:tcPr>
          <w:p w14:paraId="5CA9807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0.41 </w:t>
            </w:r>
          </w:p>
        </w:tc>
        <w:tc>
          <w:tcPr>
            <w:tcW w:w="0" w:type="auto"/>
            <w:noWrap/>
          </w:tcPr>
          <w:p w14:paraId="6DB31D5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23.35%</w:t>
            </w:r>
          </w:p>
        </w:tc>
        <w:tc>
          <w:tcPr>
            <w:tcW w:w="1323" w:type="dxa"/>
            <w:noWrap/>
          </w:tcPr>
          <w:p w14:paraId="0B797BF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2.959%</w:t>
            </w:r>
          </w:p>
        </w:tc>
        <w:tc>
          <w:tcPr>
            <w:tcW w:w="850" w:type="dxa"/>
            <w:noWrap/>
          </w:tcPr>
          <w:p w14:paraId="4E95287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13</w:t>
            </w:r>
          </w:p>
        </w:tc>
      </w:tr>
      <w:tr w:rsidR="006D1C3F" w14:paraId="74EDB24C"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D7D1795" w14:textId="77777777" w:rsidR="006D1C3F" w:rsidRDefault="006D1C3F">
            <w:pPr>
              <w:snapToGrid w:val="0"/>
              <w:ind w:firstLineChars="0" w:firstLine="0"/>
              <w:jc w:val="center"/>
              <w:rPr>
                <w:rFonts w:eastAsia="等线"/>
                <w:b/>
                <w:bCs/>
                <w:color w:val="000000"/>
                <w:sz w:val="20"/>
                <w:szCs w:val="20"/>
              </w:rPr>
            </w:pPr>
          </w:p>
        </w:tc>
        <w:tc>
          <w:tcPr>
            <w:tcW w:w="0" w:type="auto"/>
            <w:noWrap/>
          </w:tcPr>
          <w:p w14:paraId="32FE7B8F"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Ens-Cer</w:t>
            </w:r>
          </w:p>
        </w:tc>
        <w:tc>
          <w:tcPr>
            <w:tcW w:w="0" w:type="auto"/>
            <w:noWrap/>
          </w:tcPr>
          <w:p w14:paraId="67D6DAE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5.73 </w:t>
            </w:r>
          </w:p>
        </w:tc>
        <w:tc>
          <w:tcPr>
            <w:tcW w:w="0" w:type="auto"/>
            <w:noWrap/>
          </w:tcPr>
          <w:p w14:paraId="3899252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6633942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noWrap/>
          </w:tcPr>
          <w:p w14:paraId="63C7521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0A61A5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noWrap/>
          </w:tcPr>
          <w:p w14:paraId="2F4D8CD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4D2008A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noWrap/>
          </w:tcPr>
          <w:p w14:paraId="60F93A5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0.304 </w:t>
            </w:r>
          </w:p>
        </w:tc>
        <w:tc>
          <w:tcPr>
            <w:tcW w:w="0" w:type="auto"/>
            <w:noWrap/>
          </w:tcPr>
          <w:p w14:paraId="543F507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1BFE44D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4A49A2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55799 </w:t>
            </w:r>
          </w:p>
        </w:tc>
        <w:tc>
          <w:tcPr>
            <w:tcW w:w="0" w:type="auto"/>
            <w:noWrap/>
          </w:tcPr>
          <w:p w14:paraId="39BA385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38100C3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0.13 </w:t>
            </w:r>
          </w:p>
        </w:tc>
        <w:tc>
          <w:tcPr>
            <w:tcW w:w="0" w:type="auto"/>
            <w:noWrap/>
          </w:tcPr>
          <w:p w14:paraId="5AB2678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17.57%</w:t>
            </w:r>
          </w:p>
        </w:tc>
        <w:tc>
          <w:tcPr>
            <w:tcW w:w="1323" w:type="dxa"/>
            <w:noWrap/>
          </w:tcPr>
          <w:p w14:paraId="093BCC4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2.227%</w:t>
            </w:r>
          </w:p>
        </w:tc>
        <w:tc>
          <w:tcPr>
            <w:tcW w:w="850" w:type="dxa"/>
            <w:noWrap/>
          </w:tcPr>
          <w:p w14:paraId="5618151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24</w:t>
            </w:r>
          </w:p>
        </w:tc>
      </w:tr>
      <w:tr w:rsidR="006D1C3F" w14:paraId="304C9B2E"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5DDE0E7C"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ADE9512"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Env-Lor</w:t>
            </w:r>
          </w:p>
        </w:tc>
        <w:tc>
          <w:tcPr>
            <w:tcW w:w="0" w:type="auto"/>
            <w:noWrap/>
          </w:tcPr>
          <w:p w14:paraId="3809AE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10.79 </w:t>
            </w:r>
          </w:p>
        </w:tc>
        <w:tc>
          <w:tcPr>
            <w:tcW w:w="0" w:type="auto"/>
            <w:noWrap/>
          </w:tcPr>
          <w:p w14:paraId="666CD27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0.355 </w:t>
            </w:r>
          </w:p>
        </w:tc>
        <w:tc>
          <w:tcPr>
            <w:tcW w:w="0" w:type="auto"/>
            <w:noWrap/>
          </w:tcPr>
          <w:p w14:paraId="77D3D7D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0.63</w:t>
            </w:r>
          </w:p>
        </w:tc>
        <w:tc>
          <w:tcPr>
            <w:tcW w:w="0" w:type="auto"/>
            <w:noWrap/>
          </w:tcPr>
          <w:p w14:paraId="150BD8B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0.155 </w:t>
            </w:r>
          </w:p>
        </w:tc>
        <w:tc>
          <w:tcPr>
            <w:tcW w:w="0" w:type="auto"/>
            <w:noWrap/>
          </w:tcPr>
          <w:p w14:paraId="0286230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0.98</w:t>
            </w:r>
          </w:p>
        </w:tc>
        <w:tc>
          <w:tcPr>
            <w:tcW w:w="0" w:type="auto"/>
            <w:noWrap/>
          </w:tcPr>
          <w:p w14:paraId="6EFA73A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0.200 </w:t>
            </w:r>
          </w:p>
        </w:tc>
        <w:tc>
          <w:tcPr>
            <w:tcW w:w="0" w:type="auto"/>
            <w:noWrap/>
          </w:tcPr>
          <w:p w14:paraId="1933725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0.65</w:t>
            </w:r>
          </w:p>
        </w:tc>
        <w:tc>
          <w:tcPr>
            <w:tcW w:w="0" w:type="auto"/>
            <w:noWrap/>
          </w:tcPr>
          <w:p w14:paraId="65B52AB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234D5D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6FFD9D9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F943C2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170525 </w:t>
            </w:r>
          </w:p>
        </w:tc>
        <w:tc>
          <w:tcPr>
            <w:tcW w:w="0" w:type="auto"/>
            <w:noWrap/>
          </w:tcPr>
          <w:p w14:paraId="24D5170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0.202 </w:t>
            </w:r>
          </w:p>
        </w:tc>
        <w:tc>
          <w:tcPr>
            <w:tcW w:w="0" w:type="auto"/>
            <w:noWrap/>
          </w:tcPr>
          <w:p w14:paraId="1DE09C6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0.26 </w:t>
            </w:r>
          </w:p>
        </w:tc>
        <w:tc>
          <w:tcPr>
            <w:tcW w:w="0" w:type="auto"/>
            <w:noWrap/>
          </w:tcPr>
          <w:p w14:paraId="4CDC7B0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19.91%</w:t>
            </w:r>
          </w:p>
        </w:tc>
        <w:tc>
          <w:tcPr>
            <w:tcW w:w="1323" w:type="dxa"/>
            <w:noWrap/>
          </w:tcPr>
          <w:p w14:paraId="4169699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2.302%</w:t>
            </w:r>
          </w:p>
        </w:tc>
        <w:tc>
          <w:tcPr>
            <w:tcW w:w="850" w:type="dxa"/>
            <w:noWrap/>
          </w:tcPr>
          <w:p w14:paraId="0404340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21</w:t>
            </w:r>
          </w:p>
        </w:tc>
      </w:tr>
      <w:tr w:rsidR="006D1C3F" w14:paraId="4E54F209"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05E9F4C1" w14:textId="77777777" w:rsidR="006D1C3F" w:rsidRDefault="006D1C3F">
            <w:pPr>
              <w:snapToGrid w:val="0"/>
              <w:ind w:firstLineChars="0" w:firstLine="0"/>
              <w:jc w:val="center"/>
              <w:rPr>
                <w:rFonts w:eastAsia="等线"/>
                <w:b/>
                <w:bCs/>
                <w:color w:val="000000"/>
                <w:sz w:val="20"/>
                <w:szCs w:val="20"/>
              </w:rPr>
            </w:pPr>
          </w:p>
        </w:tc>
        <w:tc>
          <w:tcPr>
            <w:tcW w:w="0" w:type="auto"/>
            <w:noWrap/>
          </w:tcPr>
          <w:p w14:paraId="7B5F36B3"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Env-Bri</w:t>
            </w:r>
          </w:p>
        </w:tc>
        <w:tc>
          <w:tcPr>
            <w:tcW w:w="0" w:type="auto"/>
            <w:noWrap/>
          </w:tcPr>
          <w:p w14:paraId="0EC25FC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17.63 </w:t>
            </w:r>
          </w:p>
        </w:tc>
        <w:tc>
          <w:tcPr>
            <w:tcW w:w="0" w:type="auto"/>
            <w:noWrap/>
          </w:tcPr>
          <w:p w14:paraId="51E0F46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0.836 </w:t>
            </w:r>
          </w:p>
        </w:tc>
        <w:tc>
          <w:tcPr>
            <w:tcW w:w="0" w:type="auto"/>
            <w:noWrap/>
          </w:tcPr>
          <w:p w14:paraId="3E0C626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0.64</w:t>
            </w:r>
          </w:p>
        </w:tc>
        <w:tc>
          <w:tcPr>
            <w:tcW w:w="0" w:type="auto"/>
            <w:noWrap/>
          </w:tcPr>
          <w:p w14:paraId="7C285E4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0.136 </w:t>
            </w:r>
          </w:p>
        </w:tc>
        <w:tc>
          <w:tcPr>
            <w:tcW w:w="0" w:type="auto"/>
            <w:noWrap/>
          </w:tcPr>
          <w:p w14:paraId="33B6184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noWrap/>
          </w:tcPr>
          <w:p w14:paraId="6BCEE62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B60A8D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0.79</w:t>
            </w:r>
          </w:p>
        </w:tc>
        <w:tc>
          <w:tcPr>
            <w:tcW w:w="0" w:type="auto"/>
            <w:noWrap/>
          </w:tcPr>
          <w:p w14:paraId="4639C99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0.504 </w:t>
            </w:r>
          </w:p>
        </w:tc>
        <w:tc>
          <w:tcPr>
            <w:tcW w:w="0" w:type="auto"/>
            <w:noWrap/>
          </w:tcPr>
          <w:p w14:paraId="31F8B54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2D500AF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72C15DD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179297 </w:t>
            </w:r>
          </w:p>
        </w:tc>
        <w:tc>
          <w:tcPr>
            <w:tcW w:w="0" w:type="auto"/>
            <w:noWrap/>
          </w:tcPr>
          <w:p w14:paraId="7F3A4FE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0.141 </w:t>
            </w:r>
          </w:p>
        </w:tc>
        <w:tc>
          <w:tcPr>
            <w:tcW w:w="0" w:type="auto"/>
            <w:noWrap/>
          </w:tcPr>
          <w:p w14:paraId="7B185DB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0.45 </w:t>
            </w:r>
          </w:p>
        </w:tc>
        <w:tc>
          <w:tcPr>
            <w:tcW w:w="0" w:type="auto"/>
            <w:noWrap/>
          </w:tcPr>
          <w:p w14:paraId="70CFCE4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23.99%</w:t>
            </w:r>
          </w:p>
        </w:tc>
        <w:tc>
          <w:tcPr>
            <w:tcW w:w="1323" w:type="dxa"/>
            <w:noWrap/>
          </w:tcPr>
          <w:p w14:paraId="6F297E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2.774%</w:t>
            </w:r>
          </w:p>
        </w:tc>
        <w:tc>
          <w:tcPr>
            <w:tcW w:w="850" w:type="dxa"/>
            <w:noWrap/>
          </w:tcPr>
          <w:p w14:paraId="25F1F51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15</w:t>
            </w:r>
          </w:p>
        </w:tc>
      </w:tr>
      <w:tr w:rsidR="006D1C3F" w14:paraId="77E03DE8"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BD62C52" w14:textId="77777777" w:rsidR="006D1C3F" w:rsidRDefault="006D1C3F">
            <w:pPr>
              <w:snapToGrid w:val="0"/>
              <w:ind w:firstLineChars="0" w:firstLine="0"/>
              <w:jc w:val="center"/>
              <w:rPr>
                <w:rFonts w:eastAsia="等线"/>
                <w:b/>
                <w:bCs/>
                <w:color w:val="000000"/>
                <w:sz w:val="20"/>
                <w:szCs w:val="20"/>
              </w:rPr>
            </w:pPr>
          </w:p>
        </w:tc>
        <w:tc>
          <w:tcPr>
            <w:tcW w:w="0" w:type="auto"/>
            <w:noWrap/>
          </w:tcPr>
          <w:p w14:paraId="526F1297"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Env-Cer</w:t>
            </w:r>
          </w:p>
        </w:tc>
        <w:tc>
          <w:tcPr>
            <w:tcW w:w="0" w:type="auto"/>
            <w:noWrap/>
          </w:tcPr>
          <w:p w14:paraId="0A290BA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5.73 </w:t>
            </w:r>
          </w:p>
        </w:tc>
        <w:tc>
          <w:tcPr>
            <w:tcW w:w="0" w:type="auto"/>
            <w:noWrap/>
          </w:tcPr>
          <w:p w14:paraId="63B1464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22E31E7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noWrap/>
          </w:tcPr>
          <w:p w14:paraId="7E1485E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462FF5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noWrap/>
          </w:tcPr>
          <w:p w14:paraId="14EA541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CA8EC1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noWrap/>
          </w:tcPr>
          <w:p w14:paraId="77752FB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0.184 </w:t>
            </w:r>
          </w:p>
        </w:tc>
        <w:tc>
          <w:tcPr>
            <w:tcW w:w="0" w:type="auto"/>
            <w:noWrap/>
          </w:tcPr>
          <w:p w14:paraId="65B4CD9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6440A7D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1F730E7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55799 </w:t>
            </w:r>
          </w:p>
        </w:tc>
        <w:tc>
          <w:tcPr>
            <w:tcW w:w="0" w:type="auto"/>
            <w:noWrap/>
          </w:tcPr>
          <w:p w14:paraId="1BFDAEC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E27358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0.12 </w:t>
            </w:r>
          </w:p>
        </w:tc>
        <w:tc>
          <w:tcPr>
            <w:tcW w:w="0" w:type="auto"/>
            <w:noWrap/>
          </w:tcPr>
          <w:p w14:paraId="713D541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17.17%</w:t>
            </w:r>
          </w:p>
        </w:tc>
        <w:tc>
          <w:tcPr>
            <w:tcW w:w="1323" w:type="dxa"/>
            <w:noWrap/>
          </w:tcPr>
          <w:p w14:paraId="58CF93F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1.985%</w:t>
            </w:r>
          </w:p>
        </w:tc>
        <w:tc>
          <w:tcPr>
            <w:tcW w:w="850" w:type="dxa"/>
            <w:noWrap/>
          </w:tcPr>
          <w:p w14:paraId="2E6BC7E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30</w:t>
            </w:r>
          </w:p>
        </w:tc>
      </w:tr>
      <w:tr w:rsidR="006D1C3F" w14:paraId="421456EF"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70B3E371" w14:textId="77777777" w:rsidR="006D1C3F" w:rsidRDefault="006D1C3F">
            <w:pPr>
              <w:snapToGrid w:val="0"/>
              <w:ind w:firstLineChars="0" w:firstLine="0"/>
              <w:jc w:val="center"/>
              <w:rPr>
                <w:rFonts w:eastAsia="等线"/>
                <w:b/>
                <w:bCs/>
                <w:color w:val="000000"/>
                <w:sz w:val="20"/>
                <w:szCs w:val="20"/>
              </w:rPr>
            </w:pPr>
          </w:p>
        </w:tc>
        <w:tc>
          <w:tcPr>
            <w:tcW w:w="0" w:type="auto"/>
            <w:noWrap/>
          </w:tcPr>
          <w:p w14:paraId="40295120"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Env-Ens</w:t>
            </w:r>
          </w:p>
        </w:tc>
        <w:tc>
          <w:tcPr>
            <w:tcW w:w="0" w:type="auto"/>
            <w:noWrap/>
          </w:tcPr>
          <w:p w14:paraId="0C1A01D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19.97 </w:t>
            </w:r>
          </w:p>
        </w:tc>
        <w:tc>
          <w:tcPr>
            <w:tcW w:w="0" w:type="auto"/>
            <w:noWrap/>
          </w:tcPr>
          <w:p w14:paraId="5CC50D9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EA8139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0.26</w:t>
            </w:r>
          </w:p>
        </w:tc>
        <w:tc>
          <w:tcPr>
            <w:tcW w:w="0" w:type="auto"/>
            <w:noWrap/>
          </w:tcPr>
          <w:p w14:paraId="610402E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71F07EE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0.91</w:t>
            </w:r>
          </w:p>
        </w:tc>
        <w:tc>
          <w:tcPr>
            <w:tcW w:w="0" w:type="auto"/>
            <w:noWrap/>
          </w:tcPr>
          <w:p w14:paraId="32426BF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3933E39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0.93</w:t>
            </w:r>
          </w:p>
        </w:tc>
        <w:tc>
          <w:tcPr>
            <w:tcW w:w="0" w:type="auto"/>
            <w:noWrap/>
          </w:tcPr>
          <w:p w14:paraId="16AE753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3DD4822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1C91AF3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1BFCA34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199578 </w:t>
            </w:r>
          </w:p>
        </w:tc>
        <w:tc>
          <w:tcPr>
            <w:tcW w:w="0" w:type="auto"/>
            <w:noWrap/>
          </w:tcPr>
          <w:p w14:paraId="4610DF1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104C533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0.93 </w:t>
            </w:r>
          </w:p>
        </w:tc>
        <w:tc>
          <w:tcPr>
            <w:tcW w:w="0" w:type="auto"/>
            <w:noWrap/>
          </w:tcPr>
          <w:p w14:paraId="5B20821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38.92%</w:t>
            </w:r>
          </w:p>
        </w:tc>
        <w:tc>
          <w:tcPr>
            <w:tcW w:w="1323" w:type="dxa"/>
            <w:noWrap/>
          </w:tcPr>
          <w:p w14:paraId="092AF5B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4.500%</w:t>
            </w:r>
          </w:p>
        </w:tc>
        <w:tc>
          <w:tcPr>
            <w:tcW w:w="850" w:type="dxa"/>
            <w:noWrap/>
          </w:tcPr>
          <w:p w14:paraId="5021F72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4</w:t>
            </w:r>
          </w:p>
        </w:tc>
      </w:tr>
      <w:tr w:rsidR="006D1C3F" w14:paraId="302BBA5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2157E3A5" w14:textId="77777777" w:rsidR="006D1C3F" w:rsidRDefault="006D1C3F">
            <w:pPr>
              <w:snapToGrid w:val="0"/>
              <w:ind w:firstLineChars="0" w:firstLine="0"/>
              <w:jc w:val="center"/>
              <w:rPr>
                <w:rFonts w:eastAsia="等线"/>
                <w:b/>
                <w:bCs/>
                <w:color w:val="000000"/>
                <w:sz w:val="20"/>
                <w:szCs w:val="20"/>
              </w:rPr>
            </w:pPr>
          </w:p>
        </w:tc>
        <w:tc>
          <w:tcPr>
            <w:tcW w:w="0" w:type="auto"/>
            <w:noWrap/>
          </w:tcPr>
          <w:p w14:paraId="43C4FC18"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Che-</w:t>
            </w:r>
            <w:proofErr w:type="spellStart"/>
            <w:r>
              <w:rPr>
                <w:b w:val="0"/>
                <w:bCs w:val="0"/>
              </w:rPr>
              <w:t>Crz</w:t>
            </w:r>
            <w:proofErr w:type="spellEnd"/>
          </w:p>
        </w:tc>
        <w:tc>
          <w:tcPr>
            <w:tcW w:w="0" w:type="auto"/>
            <w:noWrap/>
          </w:tcPr>
          <w:p w14:paraId="770805A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10.54 </w:t>
            </w:r>
          </w:p>
        </w:tc>
        <w:tc>
          <w:tcPr>
            <w:tcW w:w="0" w:type="auto"/>
            <w:noWrap/>
          </w:tcPr>
          <w:p w14:paraId="09CE995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0.046 </w:t>
            </w:r>
          </w:p>
        </w:tc>
        <w:tc>
          <w:tcPr>
            <w:tcW w:w="0" w:type="auto"/>
            <w:noWrap/>
          </w:tcPr>
          <w:p w14:paraId="55DD49D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0.56</w:t>
            </w:r>
          </w:p>
        </w:tc>
        <w:tc>
          <w:tcPr>
            <w:tcW w:w="0" w:type="auto"/>
            <w:noWrap/>
          </w:tcPr>
          <w:p w14:paraId="25668F8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0.529 </w:t>
            </w:r>
          </w:p>
        </w:tc>
        <w:tc>
          <w:tcPr>
            <w:tcW w:w="0" w:type="auto"/>
            <w:noWrap/>
          </w:tcPr>
          <w:p w14:paraId="6A9D006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noWrap/>
          </w:tcPr>
          <w:p w14:paraId="2424C7B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320E3A4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0.84</w:t>
            </w:r>
          </w:p>
        </w:tc>
        <w:tc>
          <w:tcPr>
            <w:tcW w:w="0" w:type="auto"/>
            <w:noWrap/>
          </w:tcPr>
          <w:p w14:paraId="66DD9EB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5F1F8B4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5830169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47DF5DD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108520 </w:t>
            </w:r>
          </w:p>
        </w:tc>
        <w:tc>
          <w:tcPr>
            <w:tcW w:w="0" w:type="auto"/>
            <w:noWrap/>
          </w:tcPr>
          <w:p w14:paraId="5F2104A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0.879 </w:t>
            </w:r>
          </w:p>
        </w:tc>
        <w:tc>
          <w:tcPr>
            <w:tcW w:w="0" w:type="auto"/>
            <w:noWrap/>
          </w:tcPr>
          <w:p w14:paraId="10BBA5C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0.18 </w:t>
            </w:r>
          </w:p>
        </w:tc>
        <w:tc>
          <w:tcPr>
            <w:tcW w:w="0" w:type="auto"/>
            <w:noWrap/>
          </w:tcPr>
          <w:p w14:paraId="09D37E7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18.06%</w:t>
            </w:r>
          </w:p>
        </w:tc>
        <w:tc>
          <w:tcPr>
            <w:tcW w:w="1323" w:type="dxa"/>
            <w:noWrap/>
          </w:tcPr>
          <w:p w14:paraId="11A847E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1.729%</w:t>
            </w:r>
          </w:p>
        </w:tc>
        <w:tc>
          <w:tcPr>
            <w:tcW w:w="850" w:type="dxa"/>
            <w:noWrap/>
          </w:tcPr>
          <w:p w14:paraId="7FDBD94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33</w:t>
            </w:r>
          </w:p>
        </w:tc>
      </w:tr>
      <w:tr w:rsidR="006D1C3F" w14:paraId="390A3F55"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18982F9D"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167609F"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Che-Ale</w:t>
            </w:r>
          </w:p>
        </w:tc>
        <w:tc>
          <w:tcPr>
            <w:tcW w:w="0" w:type="auto"/>
            <w:noWrap/>
          </w:tcPr>
          <w:p w14:paraId="15F26B4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64.21 </w:t>
            </w:r>
          </w:p>
        </w:tc>
        <w:tc>
          <w:tcPr>
            <w:tcW w:w="0" w:type="auto"/>
            <w:noWrap/>
          </w:tcPr>
          <w:p w14:paraId="100A99D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1BCFAD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0.28</w:t>
            </w:r>
          </w:p>
        </w:tc>
        <w:tc>
          <w:tcPr>
            <w:tcW w:w="0" w:type="auto"/>
            <w:noWrap/>
          </w:tcPr>
          <w:p w14:paraId="49F0D2B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36D1906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0.97</w:t>
            </w:r>
          </w:p>
        </w:tc>
        <w:tc>
          <w:tcPr>
            <w:tcW w:w="0" w:type="auto"/>
            <w:noWrap/>
          </w:tcPr>
          <w:p w14:paraId="209E886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0.850 </w:t>
            </w:r>
          </w:p>
        </w:tc>
        <w:tc>
          <w:tcPr>
            <w:tcW w:w="0" w:type="auto"/>
            <w:noWrap/>
          </w:tcPr>
          <w:p w14:paraId="7CE4ADD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0.97</w:t>
            </w:r>
          </w:p>
        </w:tc>
        <w:tc>
          <w:tcPr>
            <w:tcW w:w="0" w:type="auto"/>
            <w:noWrap/>
          </w:tcPr>
          <w:p w14:paraId="6BEDEEB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21EAD13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48683D5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6206D63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876852 </w:t>
            </w:r>
          </w:p>
        </w:tc>
        <w:tc>
          <w:tcPr>
            <w:tcW w:w="0" w:type="auto"/>
            <w:noWrap/>
          </w:tcPr>
          <w:p w14:paraId="3B5546D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518A67F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0.90 </w:t>
            </w:r>
          </w:p>
        </w:tc>
        <w:tc>
          <w:tcPr>
            <w:tcW w:w="0" w:type="auto"/>
            <w:noWrap/>
          </w:tcPr>
          <w:p w14:paraId="45C23BE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36.82%</w:t>
            </w:r>
          </w:p>
        </w:tc>
        <w:tc>
          <w:tcPr>
            <w:tcW w:w="1323" w:type="dxa"/>
            <w:noWrap/>
          </w:tcPr>
          <w:p w14:paraId="477FEA7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3.525%</w:t>
            </w:r>
          </w:p>
        </w:tc>
        <w:tc>
          <w:tcPr>
            <w:tcW w:w="850" w:type="dxa"/>
            <w:noWrap/>
          </w:tcPr>
          <w:p w14:paraId="1153059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9</w:t>
            </w:r>
          </w:p>
        </w:tc>
      </w:tr>
      <w:tr w:rsidR="006D1C3F" w14:paraId="7A7F2843"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592C72AC" w14:textId="77777777" w:rsidR="006D1C3F" w:rsidRDefault="006D1C3F">
            <w:pPr>
              <w:snapToGrid w:val="0"/>
              <w:ind w:firstLineChars="0" w:firstLine="0"/>
              <w:jc w:val="center"/>
              <w:rPr>
                <w:rFonts w:eastAsia="等线"/>
                <w:b/>
                <w:bCs/>
                <w:color w:val="000000"/>
                <w:sz w:val="20"/>
                <w:szCs w:val="20"/>
              </w:rPr>
            </w:pPr>
          </w:p>
        </w:tc>
        <w:tc>
          <w:tcPr>
            <w:tcW w:w="0" w:type="auto"/>
            <w:noWrap/>
          </w:tcPr>
          <w:p w14:paraId="193825AD"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Che-Cer</w:t>
            </w:r>
          </w:p>
        </w:tc>
        <w:tc>
          <w:tcPr>
            <w:tcW w:w="0" w:type="auto"/>
            <w:noWrap/>
          </w:tcPr>
          <w:p w14:paraId="1A0A149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43.4 </w:t>
            </w:r>
          </w:p>
        </w:tc>
        <w:tc>
          <w:tcPr>
            <w:tcW w:w="0" w:type="auto"/>
            <w:noWrap/>
          </w:tcPr>
          <w:p w14:paraId="0FC5E92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0.630 </w:t>
            </w:r>
          </w:p>
        </w:tc>
        <w:tc>
          <w:tcPr>
            <w:tcW w:w="0" w:type="auto"/>
            <w:noWrap/>
          </w:tcPr>
          <w:p w14:paraId="368DA13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0.88</w:t>
            </w:r>
          </w:p>
        </w:tc>
        <w:tc>
          <w:tcPr>
            <w:tcW w:w="0" w:type="auto"/>
            <w:noWrap/>
          </w:tcPr>
          <w:p w14:paraId="726F332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2F09DCB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noWrap/>
          </w:tcPr>
          <w:p w14:paraId="286472C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3095100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0.86</w:t>
            </w:r>
          </w:p>
        </w:tc>
        <w:tc>
          <w:tcPr>
            <w:tcW w:w="0" w:type="auto"/>
            <w:noWrap/>
          </w:tcPr>
          <w:p w14:paraId="619458B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0.183 </w:t>
            </w:r>
          </w:p>
        </w:tc>
        <w:tc>
          <w:tcPr>
            <w:tcW w:w="0" w:type="auto"/>
            <w:noWrap/>
          </w:tcPr>
          <w:p w14:paraId="131C80E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478B0E7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3CB7BE0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422532 </w:t>
            </w:r>
          </w:p>
        </w:tc>
        <w:tc>
          <w:tcPr>
            <w:tcW w:w="0" w:type="auto"/>
            <w:noWrap/>
          </w:tcPr>
          <w:p w14:paraId="7003077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0.520 </w:t>
            </w:r>
          </w:p>
        </w:tc>
        <w:tc>
          <w:tcPr>
            <w:tcW w:w="0" w:type="auto"/>
            <w:noWrap/>
          </w:tcPr>
          <w:p w14:paraId="3F4214A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0.34 </w:t>
            </w:r>
          </w:p>
        </w:tc>
        <w:tc>
          <w:tcPr>
            <w:tcW w:w="0" w:type="auto"/>
            <w:noWrap/>
          </w:tcPr>
          <w:p w14:paraId="652036B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21.15%</w:t>
            </w:r>
          </w:p>
        </w:tc>
        <w:tc>
          <w:tcPr>
            <w:tcW w:w="1323" w:type="dxa"/>
            <w:noWrap/>
          </w:tcPr>
          <w:p w14:paraId="1FE1079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2.025%</w:t>
            </w:r>
          </w:p>
        </w:tc>
        <w:tc>
          <w:tcPr>
            <w:tcW w:w="850" w:type="dxa"/>
            <w:noWrap/>
          </w:tcPr>
          <w:p w14:paraId="16EC18C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29</w:t>
            </w:r>
          </w:p>
        </w:tc>
      </w:tr>
      <w:tr w:rsidR="006D1C3F" w14:paraId="39D66B5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7B38855A" w14:textId="77777777" w:rsidR="006D1C3F" w:rsidRDefault="006D1C3F">
            <w:pPr>
              <w:snapToGrid w:val="0"/>
              <w:ind w:firstLineChars="0" w:firstLine="0"/>
              <w:jc w:val="center"/>
              <w:rPr>
                <w:rFonts w:eastAsia="等线"/>
                <w:b/>
                <w:bCs/>
                <w:color w:val="000000"/>
                <w:sz w:val="20"/>
                <w:szCs w:val="20"/>
              </w:rPr>
            </w:pPr>
          </w:p>
        </w:tc>
        <w:tc>
          <w:tcPr>
            <w:tcW w:w="0" w:type="auto"/>
            <w:noWrap/>
          </w:tcPr>
          <w:p w14:paraId="4260C701"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Che-Che</w:t>
            </w:r>
          </w:p>
        </w:tc>
        <w:tc>
          <w:tcPr>
            <w:tcW w:w="0" w:type="auto"/>
            <w:noWrap/>
          </w:tcPr>
          <w:p w14:paraId="15BF4E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7.98 </w:t>
            </w:r>
          </w:p>
        </w:tc>
        <w:tc>
          <w:tcPr>
            <w:tcW w:w="0" w:type="auto"/>
            <w:noWrap/>
          </w:tcPr>
          <w:p w14:paraId="6727D66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E58885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0.46</w:t>
            </w:r>
          </w:p>
        </w:tc>
        <w:tc>
          <w:tcPr>
            <w:tcW w:w="0" w:type="auto"/>
            <w:noWrap/>
          </w:tcPr>
          <w:p w14:paraId="2572DBB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0.695 </w:t>
            </w:r>
          </w:p>
        </w:tc>
        <w:tc>
          <w:tcPr>
            <w:tcW w:w="0" w:type="auto"/>
            <w:noWrap/>
          </w:tcPr>
          <w:p w14:paraId="426446E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0.96</w:t>
            </w:r>
          </w:p>
        </w:tc>
        <w:tc>
          <w:tcPr>
            <w:tcW w:w="0" w:type="auto"/>
            <w:noWrap/>
          </w:tcPr>
          <w:p w14:paraId="1C01386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75DDA68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0.90</w:t>
            </w:r>
          </w:p>
        </w:tc>
        <w:tc>
          <w:tcPr>
            <w:tcW w:w="0" w:type="auto"/>
            <w:noWrap/>
          </w:tcPr>
          <w:p w14:paraId="5349699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0.478 </w:t>
            </w:r>
          </w:p>
        </w:tc>
        <w:tc>
          <w:tcPr>
            <w:tcW w:w="0" w:type="auto"/>
            <w:noWrap/>
          </w:tcPr>
          <w:p w14:paraId="4264D80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w:t>
            </w:r>
          </w:p>
        </w:tc>
        <w:tc>
          <w:tcPr>
            <w:tcW w:w="0" w:type="auto"/>
            <w:noWrap/>
          </w:tcPr>
          <w:p w14:paraId="31C0E01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4F61676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2819 </w:t>
            </w:r>
          </w:p>
        </w:tc>
        <w:tc>
          <w:tcPr>
            <w:tcW w:w="0" w:type="auto"/>
            <w:noWrap/>
          </w:tcPr>
          <w:p w14:paraId="66C9028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4873F28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0.47 </w:t>
            </w:r>
          </w:p>
        </w:tc>
        <w:tc>
          <w:tcPr>
            <w:tcW w:w="0" w:type="auto"/>
            <w:noWrap/>
          </w:tcPr>
          <w:p w14:paraId="232B0E7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23.97%</w:t>
            </w:r>
          </w:p>
        </w:tc>
        <w:tc>
          <w:tcPr>
            <w:tcW w:w="1323" w:type="dxa"/>
            <w:noWrap/>
          </w:tcPr>
          <w:p w14:paraId="45D5B4C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2.295%</w:t>
            </w:r>
          </w:p>
        </w:tc>
        <w:tc>
          <w:tcPr>
            <w:tcW w:w="850" w:type="dxa"/>
            <w:noWrap/>
          </w:tcPr>
          <w:p w14:paraId="32852B2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22</w:t>
            </w:r>
          </w:p>
        </w:tc>
      </w:tr>
      <w:tr w:rsidR="006D1C3F" w14:paraId="0F928F7B"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71E0A419" w14:textId="77777777" w:rsidR="006D1C3F" w:rsidRDefault="006D1C3F">
            <w:pPr>
              <w:snapToGrid w:val="0"/>
              <w:ind w:firstLineChars="0" w:firstLine="0"/>
              <w:jc w:val="center"/>
              <w:rPr>
                <w:rFonts w:eastAsia="等线"/>
                <w:b/>
                <w:bCs/>
                <w:color w:val="000000"/>
                <w:sz w:val="20"/>
                <w:szCs w:val="20"/>
              </w:rPr>
            </w:pPr>
          </w:p>
        </w:tc>
        <w:tc>
          <w:tcPr>
            <w:tcW w:w="0" w:type="auto"/>
            <w:noWrap/>
          </w:tcPr>
          <w:p w14:paraId="52043576"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Lor-Che</w:t>
            </w:r>
          </w:p>
        </w:tc>
        <w:tc>
          <w:tcPr>
            <w:tcW w:w="0" w:type="auto"/>
            <w:noWrap/>
          </w:tcPr>
          <w:p w14:paraId="0683DCB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4.88 </w:t>
            </w:r>
          </w:p>
        </w:tc>
        <w:tc>
          <w:tcPr>
            <w:tcW w:w="0" w:type="auto"/>
            <w:noWrap/>
          </w:tcPr>
          <w:p w14:paraId="0BB8159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30209D3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0.38</w:t>
            </w:r>
          </w:p>
        </w:tc>
        <w:tc>
          <w:tcPr>
            <w:tcW w:w="0" w:type="auto"/>
            <w:noWrap/>
          </w:tcPr>
          <w:p w14:paraId="6E3C27A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0.723 </w:t>
            </w:r>
          </w:p>
        </w:tc>
        <w:tc>
          <w:tcPr>
            <w:tcW w:w="0" w:type="auto"/>
            <w:noWrap/>
          </w:tcPr>
          <w:p w14:paraId="14C97E3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0.81</w:t>
            </w:r>
          </w:p>
        </w:tc>
        <w:tc>
          <w:tcPr>
            <w:tcW w:w="0" w:type="auto"/>
            <w:noWrap/>
          </w:tcPr>
          <w:p w14:paraId="10FAFFE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837520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0.34</w:t>
            </w:r>
          </w:p>
        </w:tc>
        <w:tc>
          <w:tcPr>
            <w:tcW w:w="0" w:type="auto"/>
            <w:noWrap/>
          </w:tcPr>
          <w:p w14:paraId="4D52909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382A81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w:t>
            </w:r>
          </w:p>
        </w:tc>
        <w:tc>
          <w:tcPr>
            <w:tcW w:w="0" w:type="auto"/>
            <w:noWrap/>
          </w:tcPr>
          <w:p w14:paraId="7678022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74F8679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1724 </w:t>
            </w:r>
          </w:p>
        </w:tc>
        <w:tc>
          <w:tcPr>
            <w:tcW w:w="0" w:type="auto"/>
            <w:noWrap/>
          </w:tcPr>
          <w:p w14:paraId="78ABE83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75F7B1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0.42 </w:t>
            </w:r>
          </w:p>
        </w:tc>
        <w:tc>
          <w:tcPr>
            <w:tcW w:w="0" w:type="auto"/>
            <w:noWrap/>
          </w:tcPr>
          <w:p w14:paraId="3A573A5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23.46%</w:t>
            </w:r>
          </w:p>
        </w:tc>
        <w:tc>
          <w:tcPr>
            <w:tcW w:w="1323" w:type="dxa"/>
            <w:noWrap/>
          </w:tcPr>
          <w:p w14:paraId="3F66ED7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3.156%</w:t>
            </w:r>
          </w:p>
        </w:tc>
        <w:tc>
          <w:tcPr>
            <w:tcW w:w="850" w:type="dxa"/>
            <w:noWrap/>
          </w:tcPr>
          <w:p w14:paraId="6AB07C0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11</w:t>
            </w:r>
          </w:p>
        </w:tc>
      </w:tr>
      <w:tr w:rsidR="006D1C3F" w14:paraId="050FA7A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049715FD" w14:textId="77777777" w:rsidR="006D1C3F" w:rsidRDefault="006D1C3F">
            <w:pPr>
              <w:snapToGrid w:val="0"/>
              <w:ind w:firstLineChars="0" w:firstLine="0"/>
              <w:jc w:val="center"/>
              <w:rPr>
                <w:rFonts w:eastAsia="等线"/>
                <w:b/>
                <w:bCs/>
                <w:color w:val="000000"/>
                <w:sz w:val="20"/>
                <w:szCs w:val="20"/>
              </w:rPr>
            </w:pPr>
          </w:p>
        </w:tc>
        <w:tc>
          <w:tcPr>
            <w:tcW w:w="0" w:type="auto"/>
            <w:noWrap/>
          </w:tcPr>
          <w:p w14:paraId="33333625"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Lor-Ale</w:t>
            </w:r>
          </w:p>
        </w:tc>
        <w:tc>
          <w:tcPr>
            <w:tcW w:w="0" w:type="auto"/>
            <w:noWrap/>
          </w:tcPr>
          <w:p w14:paraId="4EB0FBD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25.76</w:t>
            </w:r>
          </w:p>
        </w:tc>
        <w:tc>
          <w:tcPr>
            <w:tcW w:w="0" w:type="auto"/>
            <w:noWrap/>
          </w:tcPr>
          <w:p w14:paraId="76BB1FA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03B9553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0.2527</w:t>
            </w:r>
          </w:p>
        </w:tc>
        <w:tc>
          <w:tcPr>
            <w:tcW w:w="0" w:type="auto"/>
            <w:noWrap/>
          </w:tcPr>
          <w:p w14:paraId="7807881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53FC6AB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0.89</w:t>
            </w:r>
          </w:p>
        </w:tc>
        <w:tc>
          <w:tcPr>
            <w:tcW w:w="0" w:type="auto"/>
            <w:noWrap/>
          </w:tcPr>
          <w:p w14:paraId="1595D2D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0.578 </w:t>
            </w:r>
          </w:p>
        </w:tc>
        <w:tc>
          <w:tcPr>
            <w:tcW w:w="0" w:type="auto"/>
            <w:noWrap/>
          </w:tcPr>
          <w:p w14:paraId="2FC6EB2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0.82</w:t>
            </w:r>
          </w:p>
        </w:tc>
        <w:tc>
          <w:tcPr>
            <w:tcW w:w="0" w:type="auto"/>
            <w:noWrap/>
          </w:tcPr>
          <w:p w14:paraId="7D374D71"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4DA2DCF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7C02CACF"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122B6F6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351779 </w:t>
            </w:r>
          </w:p>
        </w:tc>
        <w:tc>
          <w:tcPr>
            <w:tcW w:w="0" w:type="auto"/>
            <w:noWrap/>
          </w:tcPr>
          <w:p w14:paraId="275E3E6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658CC9C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0.83 </w:t>
            </w:r>
          </w:p>
        </w:tc>
        <w:tc>
          <w:tcPr>
            <w:tcW w:w="0" w:type="auto"/>
            <w:noWrap/>
          </w:tcPr>
          <w:p w14:paraId="6526121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35.02%</w:t>
            </w:r>
          </w:p>
        </w:tc>
        <w:tc>
          <w:tcPr>
            <w:tcW w:w="1323" w:type="dxa"/>
            <w:noWrap/>
          </w:tcPr>
          <w:p w14:paraId="0090CFA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4.712%</w:t>
            </w:r>
          </w:p>
        </w:tc>
        <w:tc>
          <w:tcPr>
            <w:tcW w:w="850" w:type="dxa"/>
            <w:noWrap/>
          </w:tcPr>
          <w:p w14:paraId="4E7BF91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3</w:t>
            </w:r>
          </w:p>
        </w:tc>
      </w:tr>
      <w:tr w:rsidR="006D1C3F" w14:paraId="5AE5B1FB"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noWrap/>
            <w:vAlign w:val="center"/>
          </w:tcPr>
          <w:p w14:paraId="449F4466" w14:textId="77777777" w:rsidR="006D1C3F" w:rsidRDefault="006D1C3F">
            <w:pPr>
              <w:snapToGrid w:val="0"/>
              <w:ind w:firstLineChars="0" w:firstLine="0"/>
              <w:jc w:val="center"/>
              <w:rPr>
                <w:rFonts w:eastAsia="等线"/>
                <w:b/>
                <w:bCs/>
                <w:color w:val="000000"/>
                <w:sz w:val="20"/>
                <w:szCs w:val="20"/>
              </w:rPr>
            </w:pPr>
          </w:p>
        </w:tc>
        <w:tc>
          <w:tcPr>
            <w:tcW w:w="0" w:type="auto"/>
            <w:noWrap/>
          </w:tcPr>
          <w:p w14:paraId="2D0FE6A1"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Lor-Bri</w:t>
            </w:r>
          </w:p>
        </w:tc>
        <w:tc>
          <w:tcPr>
            <w:tcW w:w="0" w:type="auto"/>
            <w:noWrap/>
          </w:tcPr>
          <w:p w14:paraId="560F85B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17.63</w:t>
            </w:r>
          </w:p>
        </w:tc>
        <w:tc>
          <w:tcPr>
            <w:tcW w:w="0" w:type="auto"/>
            <w:noWrap/>
          </w:tcPr>
          <w:p w14:paraId="2C8934B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0.611 </w:t>
            </w:r>
          </w:p>
        </w:tc>
        <w:tc>
          <w:tcPr>
            <w:tcW w:w="0" w:type="auto"/>
            <w:noWrap/>
          </w:tcPr>
          <w:p w14:paraId="26B820A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0.64</w:t>
            </w:r>
          </w:p>
        </w:tc>
        <w:tc>
          <w:tcPr>
            <w:tcW w:w="0" w:type="auto"/>
            <w:noWrap/>
          </w:tcPr>
          <w:p w14:paraId="00C98E2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0.134 </w:t>
            </w:r>
          </w:p>
        </w:tc>
        <w:tc>
          <w:tcPr>
            <w:tcW w:w="0" w:type="auto"/>
            <w:noWrap/>
          </w:tcPr>
          <w:p w14:paraId="4F5EF55C"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noWrap/>
          </w:tcPr>
          <w:p w14:paraId="08F7B50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noWrap/>
          </w:tcPr>
          <w:p w14:paraId="21E95E8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0.79</w:t>
            </w:r>
          </w:p>
        </w:tc>
        <w:tc>
          <w:tcPr>
            <w:tcW w:w="0" w:type="auto"/>
            <w:noWrap/>
          </w:tcPr>
          <w:p w14:paraId="10DB703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0.938 </w:t>
            </w:r>
          </w:p>
        </w:tc>
        <w:tc>
          <w:tcPr>
            <w:tcW w:w="0" w:type="auto"/>
            <w:noWrap/>
          </w:tcPr>
          <w:p w14:paraId="4D6C3F9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noWrap/>
          </w:tcPr>
          <w:p w14:paraId="4CD0C01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noWrap/>
          </w:tcPr>
          <w:p w14:paraId="7F657D87"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179297 </w:t>
            </w:r>
          </w:p>
        </w:tc>
        <w:tc>
          <w:tcPr>
            <w:tcW w:w="0" w:type="auto"/>
            <w:noWrap/>
          </w:tcPr>
          <w:p w14:paraId="738DA21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0.493 </w:t>
            </w:r>
          </w:p>
        </w:tc>
        <w:tc>
          <w:tcPr>
            <w:tcW w:w="0" w:type="auto"/>
            <w:noWrap/>
          </w:tcPr>
          <w:p w14:paraId="1B8F7A7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0.42 </w:t>
            </w:r>
          </w:p>
        </w:tc>
        <w:tc>
          <w:tcPr>
            <w:tcW w:w="0" w:type="auto"/>
            <w:noWrap/>
          </w:tcPr>
          <w:p w14:paraId="6A59C65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23.40%</w:t>
            </w:r>
          </w:p>
        </w:tc>
        <w:tc>
          <w:tcPr>
            <w:tcW w:w="1323" w:type="dxa"/>
            <w:noWrap/>
          </w:tcPr>
          <w:p w14:paraId="111A469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3.148%</w:t>
            </w:r>
          </w:p>
        </w:tc>
        <w:tc>
          <w:tcPr>
            <w:tcW w:w="850" w:type="dxa"/>
            <w:noWrap/>
          </w:tcPr>
          <w:p w14:paraId="381363B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12</w:t>
            </w:r>
          </w:p>
        </w:tc>
      </w:tr>
      <w:tr w:rsidR="006D1C3F" w14:paraId="3740D2A6" w14:textId="77777777" w:rsidTr="006D1C3F">
        <w:trPr>
          <w:trHeight w:val="340"/>
          <w:jc w:val="center"/>
        </w:trPr>
        <w:tc>
          <w:tcPr>
            <w:cnfStyle w:val="001000000000" w:firstRow="0" w:lastRow="0" w:firstColumn="1" w:lastColumn="0" w:oddVBand="0" w:evenVBand="0" w:oddHBand="0" w:evenHBand="0" w:firstRowFirstColumn="0" w:firstRowLastColumn="0" w:lastRowFirstColumn="0" w:lastRowLastColumn="0"/>
            <w:tcW w:w="1038" w:type="dxa"/>
            <w:vMerge/>
            <w:tcBorders>
              <w:bottom w:val="single" w:sz="12" w:space="0" w:color="auto"/>
            </w:tcBorders>
            <w:noWrap/>
            <w:vAlign w:val="center"/>
          </w:tcPr>
          <w:p w14:paraId="38E9DB1A" w14:textId="77777777" w:rsidR="006D1C3F" w:rsidRDefault="006D1C3F">
            <w:pPr>
              <w:snapToGrid w:val="0"/>
              <w:ind w:firstLineChars="0" w:firstLine="0"/>
              <w:jc w:val="center"/>
              <w:rPr>
                <w:rFonts w:eastAsia="等线"/>
                <w:b/>
                <w:bCs/>
                <w:color w:val="000000"/>
                <w:sz w:val="20"/>
                <w:szCs w:val="20"/>
              </w:rPr>
            </w:pPr>
          </w:p>
        </w:tc>
        <w:tc>
          <w:tcPr>
            <w:tcW w:w="0" w:type="auto"/>
            <w:tcBorders>
              <w:bottom w:val="single" w:sz="12" w:space="0" w:color="auto"/>
            </w:tcBorders>
            <w:noWrap/>
          </w:tcPr>
          <w:p w14:paraId="7E874404" w14:textId="77777777" w:rsidR="006D1C3F" w:rsidRDefault="00000000">
            <w:pPr>
              <w:widowControl/>
              <w:snapToGrid w:val="0"/>
              <w:spacing w:line="240" w:lineRule="auto"/>
              <w:ind w:firstLineChars="0" w:firstLine="0"/>
              <w:jc w:val="center"/>
              <w:textAlignment w:val="center"/>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Lor-Cer</w:t>
            </w:r>
          </w:p>
        </w:tc>
        <w:tc>
          <w:tcPr>
            <w:tcW w:w="0" w:type="auto"/>
            <w:tcBorders>
              <w:bottom w:val="single" w:sz="12" w:space="0" w:color="auto"/>
            </w:tcBorders>
            <w:noWrap/>
          </w:tcPr>
          <w:p w14:paraId="264949E9"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5.73</w:t>
            </w:r>
          </w:p>
        </w:tc>
        <w:tc>
          <w:tcPr>
            <w:tcW w:w="0" w:type="auto"/>
            <w:tcBorders>
              <w:bottom w:val="single" w:sz="12" w:space="0" w:color="auto"/>
            </w:tcBorders>
            <w:noWrap/>
          </w:tcPr>
          <w:p w14:paraId="64A53E3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0.041 </w:t>
            </w:r>
          </w:p>
        </w:tc>
        <w:tc>
          <w:tcPr>
            <w:tcW w:w="0" w:type="auto"/>
            <w:tcBorders>
              <w:bottom w:val="single" w:sz="12" w:space="0" w:color="auto"/>
            </w:tcBorders>
            <w:noWrap/>
          </w:tcPr>
          <w:p w14:paraId="3251BF1E"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tcBorders>
              <w:bottom w:val="single" w:sz="12" w:space="0" w:color="auto"/>
            </w:tcBorders>
            <w:noWrap/>
          </w:tcPr>
          <w:p w14:paraId="051DBFA3"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tcBorders>
              <w:bottom w:val="single" w:sz="12" w:space="0" w:color="auto"/>
            </w:tcBorders>
            <w:noWrap/>
          </w:tcPr>
          <w:p w14:paraId="614D8C9B"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1.00</w:t>
            </w:r>
          </w:p>
        </w:tc>
        <w:tc>
          <w:tcPr>
            <w:tcW w:w="0" w:type="auto"/>
            <w:tcBorders>
              <w:bottom w:val="single" w:sz="12" w:space="0" w:color="auto"/>
            </w:tcBorders>
            <w:noWrap/>
          </w:tcPr>
          <w:p w14:paraId="7717FF94"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0.000 </w:t>
            </w:r>
          </w:p>
        </w:tc>
        <w:tc>
          <w:tcPr>
            <w:tcW w:w="0" w:type="auto"/>
            <w:tcBorders>
              <w:bottom w:val="single" w:sz="12" w:space="0" w:color="auto"/>
            </w:tcBorders>
            <w:noWrap/>
          </w:tcPr>
          <w:p w14:paraId="6EB4D8D5"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0.70</w:t>
            </w:r>
          </w:p>
        </w:tc>
        <w:tc>
          <w:tcPr>
            <w:tcW w:w="0" w:type="auto"/>
            <w:tcBorders>
              <w:bottom w:val="single" w:sz="12" w:space="0" w:color="auto"/>
            </w:tcBorders>
            <w:noWrap/>
          </w:tcPr>
          <w:p w14:paraId="2AEF5E3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0.749 </w:t>
            </w:r>
          </w:p>
        </w:tc>
        <w:tc>
          <w:tcPr>
            <w:tcW w:w="0" w:type="auto"/>
            <w:tcBorders>
              <w:bottom w:val="single" w:sz="12" w:space="0" w:color="auto"/>
            </w:tcBorders>
            <w:noWrap/>
          </w:tcPr>
          <w:p w14:paraId="3BFD2630"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w:t>
            </w:r>
          </w:p>
        </w:tc>
        <w:tc>
          <w:tcPr>
            <w:tcW w:w="0" w:type="auto"/>
            <w:tcBorders>
              <w:bottom w:val="single" w:sz="12" w:space="0" w:color="auto"/>
            </w:tcBorders>
            <w:noWrap/>
          </w:tcPr>
          <w:p w14:paraId="79AED59A"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1.000 </w:t>
            </w:r>
          </w:p>
        </w:tc>
        <w:tc>
          <w:tcPr>
            <w:tcW w:w="0" w:type="auto"/>
            <w:tcBorders>
              <w:bottom w:val="single" w:sz="12" w:space="0" w:color="auto"/>
            </w:tcBorders>
            <w:noWrap/>
          </w:tcPr>
          <w:p w14:paraId="434570C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105073 </w:t>
            </w:r>
          </w:p>
        </w:tc>
        <w:tc>
          <w:tcPr>
            <w:tcW w:w="0" w:type="auto"/>
            <w:tcBorders>
              <w:bottom w:val="single" w:sz="12" w:space="0" w:color="auto"/>
            </w:tcBorders>
            <w:noWrap/>
          </w:tcPr>
          <w:p w14:paraId="5A054C0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0.705 </w:t>
            </w:r>
          </w:p>
        </w:tc>
        <w:tc>
          <w:tcPr>
            <w:tcW w:w="0" w:type="auto"/>
            <w:tcBorders>
              <w:bottom w:val="single" w:sz="12" w:space="0" w:color="auto"/>
            </w:tcBorders>
            <w:noWrap/>
          </w:tcPr>
          <w:p w14:paraId="184377ED"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 xml:space="preserve">0.17 </w:t>
            </w:r>
          </w:p>
        </w:tc>
        <w:tc>
          <w:tcPr>
            <w:tcW w:w="0" w:type="auto"/>
            <w:tcBorders>
              <w:bottom w:val="single" w:sz="12" w:space="0" w:color="auto"/>
            </w:tcBorders>
            <w:noWrap/>
          </w:tcPr>
          <w:p w14:paraId="6F5C7378"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18.11%</w:t>
            </w:r>
          </w:p>
        </w:tc>
        <w:tc>
          <w:tcPr>
            <w:tcW w:w="1323" w:type="dxa"/>
            <w:tcBorders>
              <w:bottom w:val="single" w:sz="12" w:space="0" w:color="auto"/>
            </w:tcBorders>
            <w:noWrap/>
          </w:tcPr>
          <w:p w14:paraId="48C6C186"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sz w:val="20"/>
                <w:szCs w:val="20"/>
              </w:rPr>
            </w:pPr>
            <w:r>
              <w:rPr>
                <w:b w:val="0"/>
                <w:bCs w:val="0"/>
              </w:rPr>
              <w:t>2.437%</w:t>
            </w:r>
          </w:p>
        </w:tc>
        <w:tc>
          <w:tcPr>
            <w:tcW w:w="850" w:type="dxa"/>
            <w:tcBorders>
              <w:bottom w:val="single" w:sz="12" w:space="0" w:color="auto"/>
            </w:tcBorders>
            <w:noWrap/>
          </w:tcPr>
          <w:p w14:paraId="0BFB0022" w14:textId="77777777" w:rsidR="006D1C3F" w:rsidRDefault="00000000">
            <w:pPr>
              <w:widowControl/>
              <w:snapToGrid w:val="0"/>
              <w:spacing w:line="240" w:lineRule="auto"/>
              <w:ind w:firstLineChars="0" w:firstLine="0"/>
              <w:jc w:val="center"/>
              <w:textAlignment w:val="bottom"/>
              <w:cnfStyle w:val="000000000000" w:firstRow="0" w:lastRow="0" w:firstColumn="0" w:lastColumn="0" w:oddVBand="0" w:evenVBand="0" w:oddHBand="0" w:evenHBand="0" w:firstRowFirstColumn="0" w:firstRowLastColumn="0" w:lastRowFirstColumn="0" w:lastRowLastColumn="0"/>
              <w:rPr>
                <w:rFonts w:eastAsia="等线"/>
                <w:b w:val="0"/>
                <w:bCs w:val="0"/>
                <w:color w:val="000000"/>
                <w:sz w:val="20"/>
                <w:szCs w:val="20"/>
              </w:rPr>
            </w:pPr>
            <w:r>
              <w:rPr>
                <w:b w:val="0"/>
                <w:bCs w:val="0"/>
              </w:rPr>
              <w:t>20</w:t>
            </w:r>
          </w:p>
        </w:tc>
      </w:tr>
    </w:tbl>
    <w:p w14:paraId="4CDDE9EB" w14:textId="77777777" w:rsidR="006D1C3F" w:rsidRDefault="00000000">
      <w:pPr>
        <w:spacing w:line="240" w:lineRule="auto"/>
        <w:ind w:firstLineChars="0" w:firstLine="0"/>
        <w:rPr>
          <w:b w:val="0"/>
          <w:bCs w:val="0"/>
          <w:color w:val="000000"/>
          <w:kern w:val="0"/>
          <w:sz w:val="16"/>
          <w:szCs w:val="16"/>
          <w:lang w:bidi="ar"/>
        </w:rPr>
      </w:pPr>
      <w:r>
        <w:rPr>
          <w:rFonts w:hint="eastAsia"/>
          <w:b w:val="0"/>
          <w:bCs w:val="0"/>
          <w:color w:val="000000"/>
          <w:kern w:val="0"/>
          <w:sz w:val="16"/>
          <w:szCs w:val="16"/>
          <w:lang w:bidi="ar"/>
        </w:rPr>
        <w:t>*</w:t>
      </w:r>
      <w:r>
        <w:t xml:space="preserve"> </w:t>
      </w:r>
      <w:r>
        <w:rPr>
          <w:b w:val="0"/>
          <w:bCs w:val="0"/>
          <w:color w:val="000000"/>
          <w:kern w:val="0"/>
          <w:sz w:val="16"/>
          <w:szCs w:val="16"/>
          <w:lang w:bidi="ar"/>
        </w:rPr>
        <w:t>PFS, progression-free survival; AE3, severe adverse events (grade</w:t>
      </w:r>
      <w:r>
        <w:rPr>
          <w:rFonts w:hint="eastAsia"/>
          <w:b w:val="0"/>
          <w:bCs w:val="0"/>
          <w:color w:val="000000"/>
          <w:kern w:val="0"/>
          <w:sz w:val="16"/>
          <w:szCs w:val="16"/>
          <w:lang w:bidi="ar"/>
        </w:rPr>
        <w:t>≥</w:t>
      </w:r>
      <w:r>
        <w:rPr>
          <w:b w:val="0"/>
          <w:bCs w:val="0"/>
          <w:color w:val="000000"/>
          <w:kern w:val="0"/>
          <w:sz w:val="16"/>
          <w:szCs w:val="16"/>
          <w:lang w:bidi="ar"/>
        </w:rPr>
        <w:t>3); AE1, mild adverse events (grade 1–2); DCR, disease control rate; MODE, route of administration; COST, treatment cost.X1–X6 represent the min-max normalized values for their respective adjacent clinical attributes.</w:t>
      </w:r>
      <w:r>
        <w:t xml:space="preserve"> </w:t>
      </w:r>
      <w:r>
        <w:rPr>
          <w:b w:val="0"/>
          <w:bCs w:val="0"/>
          <w:color w:val="000000"/>
          <w:kern w:val="0"/>
          <w:sz w:val="16"/>
          <w:szCs w:val="16"/>
          <w:lang w:bidi="ar"/>
        </w:rPr>
        <w:t xml:space="preserve">Ale, </w:t>
      </w:r>
      <w:proofErr w:type="spellStart"/>
      <w:r>
        <w:rPr>
          <w:b w:val="0"/>
          <w:bCs w:val="0"/>
          <w:color w:val="000000"/>
          <w:kern w:val="0"/>
          <w:sz w:val="16"/>
          <w:szCs w:val="16"/>
          <w:lang w:bidi="ar"/>
        </w:rPr>
        <w:t>Alectinib</w:t>
      </w:r>
      <w:proofErr w:type="spellEnd"/>
      <w:r>
        <w:rPr>
          <w:b w:val="0"/>
          <w:bCs w:val="0"/>
          <w:color w:val="000000"/>
          <w:kern w:val="0"/>
          <w:sz w:val="16"/>
          <w:szCs w:val="16"/>
          <w:lang w:bidi="ar"/>
        </w:rPr>
        <w:t xml:space="preserve">; Bri, </w:t>
      </w:r>
      <w:proofErr w:type="spellStart"/>
      <w:r>
        <w:rPr>
          <w:b w:val="0"/>
          <w:bCs w:val="0"/>
          <w:color w:val="000000"/>
          <w:kern w:val="0"/>
          <w:sz w:val="16"/>
          <w:szCs w:val="16"/>
          <w:lang w:bidi="ar"/>
        </w:rPr>
        <w:t>Brigatinib</w:t>
      </w:r>
      <w:proofErr w:type="spellEnd"/>
      <w:r>
        <w:rPr>
          <w:b w:val="0"/>
          <w:bCs w:val="0"/>
          <w:color w:val="000000"/>
          <w:kern w:val="0"/>
          <w:sz w:val="16"/>
          <w:szCs w:val="16"/>
          <w:lang w:bidi="ar"/>
        </w:rPr>
        <w:t xml:space="preserve">; Cer, </w:t>
      </w:r>
      <w:proofErr w:type="spellStart"/>
      <w:r>
        <w:rPr>
          <w:b w:val="0"/>
          <w:bCs w:val="0"/>
          <w:color w:val="000000"/>
          <w:kern w:val="0"/>
          <w:sz w:val="16"/>
          <w:szCs w:val="16"/>
          <w:lang w:bidi="ar"/>
        </w:rPr>
        <w:t>Ceritinib</w:t>
      </w:r>
      <w:proofErr w:type="spellEnd"/>
      <w:r>
        <w:rPr>
          <w:b w:val="0"/>
          <w:bCs w:val="0"/>
          <w:color w:val="000000"/>
          <w:kern w:val="0"/>
          <w:sz w:val="16"/>
          <w:szCs w:val="16"/>
          <w:lang w:bidi="ar"/>
        </w:rPr>
        <w:t xml:space="preserve">; Che, Chemotherapy; Cri, Crizotinib; Ens, </w:t>
      </w:r>
      <w:proofErr w:type="spellStart"/>
      <w:r>
        <w:rPr>
          <w:b w:val="0"/>
          <w:bCs w:val="0"/>
          <w:color w:val="000000"/>
          <w:kern w:val="0"/>
          <w:sz w:val="16"/>
          <w:szCs w:val="16"/>
          <w:lang w:bidi="ar"/>
        </w:rPr>
        <w:t>Ensartinib</w:t>
      </w:r>
      <w:proofErr w:type="spellEnd"/>
      <w:r>
        <w:rPr>
          <w:b w:val="0"/>
          <w:bCs w:val="0"/>
          <w:color w:val="000000"/>
          <w:kern w:val="0"/>
          <w:sz w:val="16"/>
          <w:szCs w:val="16"/>
          <w:lang w:bidi="ar"/>
        </w:rPr>
        <w:t xml:space="preserve">; Env, </w:t>
      </w:r>
      <w:proofErr w:type="spellStart"/>
      <w:r>
        <w:rPr>
          <w:b w:val="0"/>
          <w:bCs w:val="0"/>
          <w:color w:val="000000"/>
          <w:kern w:val="0"/>
          <w:sz w:val="16"/>
          <w:szCs w:val="16"/>
          <w:lang w:bidi="ar"/>
        </w:rPr>
        <w:t>Envonalkib</w:t>
      </w:r>
      <w:proofErr w:type="spellEnd"/>
      <w:r>
        <w:rPr>
          <w:b w:val="0"/>
          <w:bCs w:val="0"/>
          <w:color w:val="000000"/>
          <w:kern w:val="0"/>
          <w:sz w:val="16"/>
          <w:szCs w:val="16"/>
          <w:lang w:bidi="ar"/>
        </w:rPr>
        <w:t xml:space="preserve">; </w:t>
      </w:r>
      <w:proofErr w:type="spellStart"/>
      <w:r>
        <w:rPr>
          <w:b w:val="0"/>
          <w:bCs w:val="0"/>
          <w:color w:val="000000"/>
          <w:kern w:val="0"/>
          <w:sz w:val="16"/>
          <w:szCs w:val="16"/>
          <w:lang w:bidi="ar"/>
        </w:rPr>
        <w:t>Iru</w:t>
      </w:r>
      <w:proofErr w:type="spellEnd"/>
      <w:r>
        <w:rPr>
          <w:b w:val="0"/>
          <w:bCs w:val="0"/>
          <w:color w:val="000000"/>
          <w:kern w:val="0"/>
          <w:sz w:val="16"/>
          <w:szCs w:val="16"/>
          <w:lang w:bidi="ar"/>
        </w:rPr>
        <w:t xml:space="preserve">, </w:t>
      </w:r>
      <w:proofErr w:type="spellStart"/>
      <w:r>
        <w:rPr>
          <w:b w:val="0"/>
          <w:bCs w:val="0"/>
          <w:color w:val="000000"/>
          <w:kern w:val="0"/>
          <w:sz w:val="16"/>
          <w:szCs w:val="16"/>
          <w:lang w:bidi="ar"/>
        </w:rPr>
        <w:t>Iruplinalkib</w:t>
      </w:r>
      <w:proofErr w:type="spellEnd"/>
      <w:r>
        <w:rPr>
          <w:b w:val="0"/>
          <w:bCs w:val="0"/>
          <w:color w:val="000000"/>
          <w:kern w:val="0"/>
          <w:sz w:val="16"/>
          <w:szCs w:val="16"/>
          <w:lang w:bidi="ar"/>
        </w:rPr>
        <w:t xml:space="preserve">; Lor, </w:t>
      </w:r>
      <w:proofErr w:type="spellStart"/>
      <w:r>
        <w:rPr>
          <w:b w:val="0"/>
          <w:bCs w:val="0"/>
          <w:color w:val="000000"/>
          <w:kern w:val="0"/>
          <w:sz w:val="16"/>
          <w:szCs w:val="16"/>
          <w:lang w:bidi="ar"/>
        </w:rPr>
        <w:t>Lorlatini</w:t>
      </w:r>
      <w:proofErr w:type="spellEnd"/>
      <w:r>
        <w:rPr>
          <w:rFonts w:hint="eastAsia"/>
          <w:b w:val="0"/>
          <w:bCs w:val="0"/>
          <w:color w:val="000000"/>
          <w:kern w:val="0"/>
          <w:sz w:val="16"/>
          <w:szCs w:val="16"/>
          <w:lang w:bidi="ar"/>
        </w:rPr>
        <w:t>.</w:t>
      </w:r>
    </w:p>
    <w:p w14:paraId="7863BE60" w14:textId="77777777" w:rsidR="006D1C3F" w:rsidRDefault="006D1C3F">
      <w:pPr>
        <w:ind w:firstLineChars="0" w:firstLine="0"/>
        <w:rPr>
          <w:b w:val="0"/>
          <w:bCs w:val="0"/>
          <w:color w:val="000000"/>
          <w:kern w:val="0"/>
          <w:sz w:val="16"/>
          <w:szCs w:val="16"/>
          <w:lang w:bidi="ar"/>
        </w:rPr>
        <w:sectPr w:rsidR="006D1C3F">
          <w:pgSz w:w="16838" w:h="11906" w:orient="landscape"/>
          <w:pgMar w:top="1800" w:right="1440" w:bottom="1800" w:left="1440" w:header="851" w:footer="992" w:gutter="0"/>
          <w:cols w:space="425"/>
          <w:docGrid w:type="lines" w:linePitch="312"/>
        </w:sectPr>
      </w:pPr>
    </w:p>
    <w:p w14:paraId="258B5932" w14:textId="77777777" w:rsidR="006D1C3F" w:rsidRDefault="00000000">
      <w:pPr>
        <w:keepNext/>
        <w:keepLines/>
        <w:pageBreakBefore/>
        <w:spacing w:before="340" w:after="156" w:line="240" w:lineRule="auto"/>
        <w:ind w:firstLineChars="0" w:firstLine="0"/>
        <w:outlineLvl w:val="0"/>
        <w:rPr>
          <w:rFonts w:eastAsia="Times New Roman" w:cstheme="minorBidi"/>
          <w:b w:val="0"/>
          <w:bCs w:val="0"/>
          <w:kern w:val="44"/>
        </w:rPr>
      </w:pPr>
      <w:bookmarkStart w:id="29" w:name="_Hlk211978223"/>
      <w:bookmarkStart w:id="30" w:name="_Toc225844816"/>
      <w:r>
        <w:rPr>
          <w:rFonts w:eastAsia="Times New Roman" w:cstheme="minorBidi" w:hint="eastAsia"/>
          <w:b w:val="0"/>
          <w:bCs w:val="0"/>
          <w:kern w:val="44"/>
        </w:rPr>
        <w:lastRenderedPageBreak/>
        <w:t>Table S12 Incremental Cost-Effectiveness Ratios (ICERs) for Selected Sequential Strategies</w:t>
      </w:r>
      <w:bookmarkEnd w:id="30"/>
    </w:p>
    <w:tbl>
      <w:tblPr>
        <w:tblW w:w="9405" w:type="dxa"/>
        <w:jc w:val="center"/>
        <w:tblLayout w:type="fixed"/>
        <w:tblCellMar>
          <w:top w:w="32" w:type="dxa"/>
          <w:left w:w="64" w:type="dxa"/>
          <w:bottom w:w="32" w:type="dxa"/>
          <w:right w:w="64" w:type="dxa"/>
        </w:tblCellMar>
        <w:tblLook w:val="04A0" w:firstRow="1" w:lastRow="0" w:firstColumn="1" w:lastColumn="0" w:noHBand="0" w:noVBand="1"/>
      </w:tblPr>
      <w:tblGrid>
        <w:gridCol w:w="1413"/>
        <w:gridCol w:w="1469"/>
        <w:gridCol w:w="1459"/>
        <w:gridCol w:w="1266"/>
        <w:gridCol w:w="1266"/>
        <w:gridCol w:w="1266"/>
        <w:gridCol w:w="1266"/>
      </w:tblGrid>
      <w:tr w:rsidR="006D1C3F" w14:paraId="3C8BE95C" w14:textId="77777777">
        <w:trPr>
          <w:tblHeade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6DE9916D" w14:textId="77777777" w:rsidR="006D1C3F" w:rsidRDefault="00000000">
            <w:pPr>
              <w:snapToGrid w:val="0"/>
              <w:spacing w:line="240" w:lineRule="auto"/>
              <w:ind w:firstLineChars="0" w:firstLine="0"/>
              <w:jc w:val="center"/>
              <w:rPr>
                <w:rFonts w:cstheme="minorBidi"/>
                <w:bCs w:val="0"/>
                <w:sz w:val="18"/>
                <w:szCs w:val="18"/>
              </w:rPr>
            </w:pPr>
            <w:r>
              <w:rPr>
                <w:rFonts w:cstheme="minorBidi" w:hint="eastAsia"/>
                <w:bCs w:val="0"/>
                <w:sz w:val="18"/>
                <w:szCs w:val="18"/>
              </w:rPr>
              <w:t>Sequential Strategy</w:t>
            </w:r>
          </w:p>
        </w:tc>
        <w:tc>
          <w:tcPr>
            <w:tcW w:w="1469" w:type="dxa"/>
            <w:tcBorders>
              <w:top w:val="single" w:sz="4" w:space="0" w:color="auto"/>
              <w:left w:val="single" w:sz="4" w:space="0" w:color="auto"/>
              <w:bottom w:val="single" w:sz="4" w:space="0" w:color="auto"/>
              <w:right w:val="single" w:sz="4" w:space="0" w:color="auto"/>
            </w:tcBorders>
            <w:noWrap/>
            <w:vAlign w:val="center"/>
          </w:tcPr>
          <w:p w14:paraId="347D00A1" w14:textId="77777777" w:rsidR="006D1C3F" w:rsidRDefault="00000000">
            <w:pPr>
              <w:snapToGrid w:val="0"/>
              <w:spacing w:line="240" w:lineRule="auto"/>
              <w:ind w:firstLineChars="0" w:firstLine="0"/>
              <w:jc w:val="center"/>
              <w:rPr>
                <w:rFonts w:cstheme="minorBidi"/>
                <w:bCs w:val="0"/>
                <w:sz w:val="18"/>
                <w:szCs w:val="18"/>
              </w:rPr>
            </w:pPr>
            <w:r>
              <w:rPr>
                <w:rFonts w:cstheme="minorBidi" w:hint="eastAsia"/>
                <w:bCs w:val="0"/>
                <w:sz w:val="18"/>
                <w:szCs w:val="18"/>
              </w:rPr>
              <w:t>sequential path types</w:t>
            </w:r>
          </w:p>
        </w:tc>
        <w:tc>
          <w:tcPr>
            <w:tcW w:w="14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A8DE80C" w14:textId="77777777" w:rsidR="006D1C3F" w:rsidRDefault="00000000">
            <w:pPr>
              <w:snapToGrid w:val="0"/>
              <w:spacing w:line="240" w:lineRule="auto"/>
              <w:ind w:firstLineChars="0" w:firstLine="0"/>
              <w:jc w:val="center"/>
              <w:rPr>
                <w:rFonts w:cstheme="minorBidi"/>
                <w:bCs w:val="0"/>
                <w:sz w:val="18"/>
                <w:szCs w:val="18"/>
              </w:rPr>
            </w:pPr>
            <w:r>
              <w:rPr>
                <w:rFonts w:cstheme="minorBidi" w:hint="eastAsia"/>
                <w:bCs w:val="0"/>
                <w:sz w:val="18"/>
                <w:szCs w:val="18"/>
              </w:rPr>
              <w:t>Total Costs ($)</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10BD9BE" w14:textId="77777777" w:rsidR="006D1C3F" w:rsidRDefault="00000000">
            <w:pPr>
              <w:snapToGrid w:val="0"/>
              <w:spacing w:line="240" w:lineRule="auto"/>
              <w:ind w:firstLineChars="0" w:firstLine="0"/>
              <w:jc w:val="center"/>
              <w:rPr>
                <w:rFonts w:cstheme="minorBidi"/>
                <w:bCs w:val="0"/>
                <w:sz w:val="18"/>
                <w:szCs w:val="18"/>
              </w:rPr>
            </w:pPr>
            <w:r>
              <w:rPr>
                <w:rFonts w:cstheme="minorBidi" w:hint="eastAsia"/>
                <w:bCs w:val="0"/>
                <w:sz w:val="18"/>
                <w:szCs w:val="18"/>
              </w:rPr>
              <w:t>QALYs</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EAD2F81" w14:textId="77777777" w:rsidR="006D1C3F" w:rsidRDefault="00000000">
            <w:pPr>
              <w:snapToGrid w:val="0"/>
              <w:spacing w:line="240" w:lineRule="auto"/>
              <w:ind w:firstLineChars="0" w:firstLine="0"/>
              <w:jc w:val="center"/>
              <w:rPr>
                <w:rFonts w:cstheme="minorBidi"/>
                <w:bCs w:val="0"/>
                <w:sz w:val="18"/>
                <w:szCs w:val="18"/>
              </w:rPr>
            </w:pPr>
            <w:r>
              <w:rPr>
                <w:rFonts w:cstheme="minorBidi" w:hint="eastAsia"/>
                <w:bCs w:val="0"/>
                <w:sz w:val="18"/>
                <w:szCs w:val="18"/>
              </w:rPr>
              <w:t>Incremental Cost ($)</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5044DD8" w14:textId="77777777" w:rsidR="006D1C3F" w:rsidRDefault="00000000">
            <w:pPr>
              <w:snapToGrid w:val="0"/>
              <w:spacing w:line="240" w:lineRule="auto"/>
              <w:ind w:firstLineChars="0" w:firstLine="0"/>
              <w:jc w:val="center"/>
              <w:rPr>
                <w:rFonts w:cstheme="minorBidi"/>
                <w:bCs w:val="0"/>
                <w:sz w:val="18"/>
                <w:szCs w:val="18"/>
              </w:rPr>
            </w:pPr>
            <w:r>
              <w:rPr>
                <w:rFonts w:cstheme="minorBidi" w:hint="eastAsia"/>
                <w:bCs w:val="0"/>
                <w:sz w:val="18"/>
                <w:szCs w:val="18"/>
              </w:rPr>
              <w:t>Incremental QALYs</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12B1331" w14:textId="77777777" w:rsidR="006D1C3F" w:rsidRDefault="00000000">
            <w:pPr>
              <w:snapToGrid w:val="0"/>
              <w:spacing w:line="240" w:lineRule="auto"/>
              <w:ind w:firstLineChars="0" w:firstLine="0"/>
              <w:jc w:val="center"/>
              <w:rPr>
                <w:rFonts w:cstheme="minorBidi"/>
                <w:bCs w:val="0"/>
                <w:sz w:val="18"/>
                <w:szCs w:val="18"/>
              </w:rPr>
            </w:pPr>
            <w:r>
              <w:rPr>
                <w:rFonts w:cstheme="minorBidi" w:hint="eastAsia"/>
                <w:bCs w:val="0"/>
                <w:sz w:val="18"/>
                <w:szCs w:val="18"/>
              </w:rPr>
              <w:t>ICER ($/QALY)</w:t>
            </w:r>
          </w:p>
        </w:tc>
      </w:tr>
      <w:tr w:rsidR="006D1C3F" w14:paraId="16FA3923" w14:textId="77777777">
        <w:trPr>
          <w:tblHeade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5E844EDA" w14:textId="77777777" w:rsidR="006D1C3F" w:rsidRDefault="00000000">
            <w:pPr>
              <w:snapToGrid w:val="0"/>
              <w:ind w:firstLineChars="0" w:firstLine="0"/>
              <w:jc w:val="center"/>
              <w:rPr>
                <w:rFonts w:cstheme="minorBidi"/>
                <w:b w:val="0"/>
                <w:sz w:val="18"/>
                <w:szCs w:val="18"/>
              </w:rPr>
            </w:pPr>
            <w:proofErr w:type="spellStart"/>
            <w:r>
              <w:rPr>
                <w:rFonts w:cstheme="minorBidi" w:hint="eastAsia"/>
                <w:b w:val="0"/>
                <w:sz w:val="18"/>
                <w:szCs w:val="18"/>
              </w:rPr>
              <w:t>Che+Che+BSC</w:t>
            </w:r>
            <w:proofErr w:type="spellEnd"/>
          </w:p>
        </w:tc>
        <w:tc>
          <w:tcPr>
            <w:tcW w:w="1469" w:type="dxa"/>
            <w:tcBorders>
              <w:top w:val="single" w:sz="4" w:space="0" w:color="auto"/>
              <w:left w:val="single" w:sz="4" w:space="0" w:color="auto"/>
              <w:bottom w:val="single" w:sz="4" w:space="0" w:color="auto"/>
              <w:right w:val="single" w:sz="4" w:space="0" w:color="auto"/>
            </w:tcBorders>
            <w:noWrap/>
            <w:vAlign w:val="center"/>
          </w:tcPr>
          <w:p w14:paraId="14D1F8A2" w14:textId="77777777" w:rsidR="006D1C3F" w:rsidRDefault="00000000">
            <w:pPr>
              <w:snapToGrid w:val="0"/>
              <w:ind w:firstLineChars="0" w:firstLine="0"/>
              <w:jc w:val="center"/>
              <w:rPr>
                <w:rFonts w:cstheme="minorBidi"/>
                <w:b w:val="0"/>
                <w:sz w:val="18"/>
                <w:szCs w:val="18"/>
              </w:rPr>
            </w:pPr>
            <w:r>
              <w:rPr>
                <w:rFonts w:cstheme="minorBidi" w:hint="eastAsia"/>
                <w:b w:val="0"/>
                <w:sz w:val="18"/>
                <w:szCs w:val="18"/>
              </w:rPr>
              <w:t>Most Cost-Effective</w:t>
            </w:r>
          </w:p>
        </w:tc>
        <w:tc>
          <w:tcPr>
            <w:tcW w:w="14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63C26DB" w14:textId="77777777" w:rsidR="006D1C3F" w:rsidRDefault="00000000">
            <w:pPr>
              <w:snapToGrid w:val="0"/>
              <w:ind w:firstLineChars="0" w:firstLine="0"/>
              <w:jc w:val="center"/>
              <w:rPr>
                <w:b w:val="0"/>
                <w:szCs w:val="20"/>
              </w:rPr>
            </w:pPr>
            <w:r>
              <w:rPr>
                <w:b w:val="0"/>
                <w:szCs w:val="20"/>
              </w:rPr>
              <w:t>25,445.8</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CAB8EC0" w14:textId="77777777" w:rsidR="006D1C3F" w:rsidRDefault="00000000">
            <w:pPr>
              <w:snapToGrid w:val="0"/>
              <w:ind w:firstLineChars="0" w:firstLine="0"/>
              <w:jc w:val="center"/>
              <w:rPr>
                <w:b w:val="0"/>
                <w:szCs w:val="20"/>
              </w:rPr>
            </w:pPr>
            <w:r>
              <w:rPr>
                <w:b w:val="0"/>
                <w:szCs w:val="20"/>
              </w:rPr>
              <w:t>1.6</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C904ADF" w14:textId="77777777" w:rsidR="006D1C3F" w:rsidRDefault="00000000">
            <w:pPr>
              <w:snapToGrid w:val="0"/>
              <w:ind w:firstLineChars="0" w:firstLine="0"/>
              <w:jc w:val="center"/>
              <w:rPr>
                <w:b w:val="0"/>
                <w:szCs w:val="20"/>
              </w:rPr>
            </w:pPr>
            <w:r>
              <w:rPr>
                <w:b w:val="0"/>
                <w:szCs w:val="20"/>
              </w:rPr>
              <w:t>-</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6950ECD" w14:textId="77777777" w:rsidR="006D1C3F" w:rsidRDefault="00000000">
            <w:pPr>
              <w:snapToGrid w:val="0"/>
              <w:ind w:firstLineChars="0" w:firstLine="0"/>
              <w:jc w:val="center"/>
              <w:rPr>
                <w:b w:val="0"/>
                <w:szCs w:val="20"/>
              </w:rPr>
            </w:pPr>
            <w:r>
              <w:rPr>
                <w:b w:val="0"/>
                <w:szCs w:val="20"/>
              </w:rPr>
              <w:t>-</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F659462" w14:textId="77777777" w:rsidR="006D1C3F" w:rsidRDefault="00000000">
            <w:pPr>
              <w:snapToGrid w:val="0"/>
              <w:ind w:firstLineChars="0" w:firstLine="0"/>
              <w:jc w:val="center"/>
              <w:rPr>
                <w:b w:val="0"/>
                <w:szCs w:val="20"/>
              </w:rPr>
            </w:pPr>
            <w:r>
              <w:rPr>
                <w:b w:val="0"/>
                <w:szCs w:val="20"/>
              </w:rPr>
              <w:t>-</w:t>
            </w:r>
          </w:p>
        </w:tc>
      </w:tr>
      <w:tr w:rsidR="006D1C3F" w14:paraId="6DABB4D9" w14:textId="77777777">
        <w:trPr>
          <w:tblHeade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186EBCC6" w14:textId="77777777" w:rsidR="006D1C3F" w:rsidRDefault="00000000">
            <w:pPr>
              <w:snapToGrid w:val="0"/>
              <w:ind w:firstLineChars="0" w:firstLine="0"/>
              <w:jc w:val="center"/>
              <w:rPr>
                <w:rFonts w:cstheme="minorBidi"/>
                <w:b w:val="0"/>
                <w:sz w:val="18"/>
                <w:szCs w:val="18"/>
              </w:rPr>
            </w:pPr>
            <w:proofErr w:type="spellStart"/>
            <w:r>
              <w:rPr>
                <w:rFonts w:cstheme="minorBidi" w:hint="eastAsia"/>
                <w:b w:val="0"/>
                <w:sz w:val="18"/>
                <w:szCs w:val="18"/>
              </w:rPr>
              <w:t>Ale+Ens+BSC</w:t>
            </w:r>
            <w:proofErr w:type="spellEnd"/>
          </w:p>
        </w:tc>
        <w:tc>
          <w:tcPr>
            <w:tcW w:w="1469" w:type="dxa"/>
            <w:tcBorders>
              <w:top w:val="single" w:sz="4" w:space="0" w:color="auto"/>
              <w:left w:val="single" w:sz="4" w:space="0" w:color="auto"/>
              <w:bottom w:val="single" w:sz="4" w:space="0" w:color="auto"/>
              <w:right w:val="single" w:sz="4" w:space="0" w:color="auto"/>
            </w:tcBorders>
            <w:noWrap/>
            <w:vAlign w:val="center"/>
          </w:tcPr>
          <w:p w14:paraId="6B4CAF39" w14:textId="77777777" w:rsidR="006D1C3F" w:rsidRDefault="00000000">
            <w:pPr>
              <w:snapToGrid w:val="0"/>
              <w:ind w:firstLineChars="0" w:firstLine="0"/>
              <w:jc w:val="center"/>
              <w:rPr>
                <w:rFonts w:cstheme="minorBidi"/>
                <w:b w:val="0"/>
                <w:sz w:val="18"/>
                <w:szCs w:val="18"/>
              </w:rPr>
            </w:pPr>
            <w:r>
              <w:rPr>
                <w:rFonts w:cstheme="minorBidi" w:hint="eastAsia"/>
                <w:b w:val="0"/>
                <w:sz w:val="18"/>
                <w:szCs w:val="18"/>
              </w:rPr>
              <w:t>Highest Physician-Patient Preference</w:t>
            </w:r>
          </w:p>
        </w:tc>
        <w:tc>
          <w:tcPr>
            <w:tcW w:w="14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7EB1FDB" w14:textId="77777777" w:rsidR="006D1C3F" w:rsidRDefault="00000000">
            <w:pPr>
              <w:snapToGrid w:val="0"/>
              <w:ind w:firstLineChars="0" w:firstLine="0"/>
              <w:jc w:val="center"/>
              <w:rPr>
                <w:b w:val="0"/>
                <w:szCs w:val="20"/>
              </w:rPr>
            </w:pPr>
            <w:r>
              <w:rPr>
                <w:b w:val="0"/>
                <w:szCs w:val="20"/>
              </w:rPr>
              <w:t>155,960.3</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2320208" w14:textId="77777777" w:rsidR="006D1C3F" w:rsidRDefault="00000000">
            <w:pPr>
              <w:snapToGrid w:val="0"/>
              <w:ind w:firstLineChars="0" w:firstLine="0"/>
              <w:jc w:val="center"/>
              <w:rPr>
                <w:b w:val="0"/>
                <w:szCs w:val="20"/>
              </w:rPr>
            </w:pPr>
            <w:r>
              <w:rPr>
                <w:b w:val="0"/>
                <w:szCs w:val="20"/>
              </w:rPr>
              <w:t>5.2</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384AEEC" w14:textId="77777777" w:rsidR="006D1C3F" w:rsidRDefault="00000000">
            <w:pPr>
              <w:snapToGrid w:val="0"/>
              <w:ind w:firstLineChars="0" w:firstLine="0"/>
              <w:jc w:val="center"/>
              <w:rPr>
                <w:b w:val="0"/>
                <w:szCs w:val="20"/>
              </w:rPr>
            </w:pPr>
            <w:r>
              <w:rPr>
                <w:b w:val="0"/>
                <w:szCs w:val="20"/>
              </w:rPr>
              <w:t>130,514.5</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437482F" w14:textId="77777777" w:rsidR="006D1C3F" w:rsidRDefault="00000000">
            <w:pPr>
              <w:snapToGrid w:val="0"/>
              <w:ind w:firstLineChars="0" w:firstLine="0"/>
              <w:jc w:val="center"/>
              <w:rPr>
                <w:b w:val="0"/>
                <w:szCs w:val="20"/>
              </w:rPr>
            </w:pPr>
            <w:r>
              <w:rPr>
                <w:b w:val="0"/>
                <w:szCs w:val="20"/>
              </w:rPr>
              <w:t>3.6</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7D9129C" w14:textId="77777777" w:rsidR="006D1C3F" w:rsidRDefault="00000000">
            <w:pPr>
              <w:snapToGrid w:val="0"/>
              <w:ind w:firstLineChars="0" w:firstLine="0"/>
              <w:jc w:val="center"/>
              <w:rPr>
                <w:b w:val="0"/>
                <w:szCs w:val="20"/>
              </w:rPr>
            </w:pPr>
            <w:r>
              <w:rPr>
                <w:b w:val="0"/>
                <w:szCs w:val="20"/>
              </w:rPr>
              <w:t>36,254</w:t>
            </w:r>
          </w:p>
        </w:tc>
      </w:tr>
      <w:tr w:rsidR="006D1C3F" w14:paraId="630E4A33" w14:textId="77777777">
        <w:trPr>
          <w:tblHeader/>
          <w:jc w:val="center"/>
        </w:trPr>
        <w:tc>
          <w:tcPr>
            <w:tcW w:w="1413" w:type="dxa"/>
            <w:tcBorders>
              <w:top w:val="single" w:sz="4" w:space="0" w:color="auto"/>
              <w:left w:val="single" w:sz="4" w:space="0" w:color="auto"/>
              <w:bottom w:val="single" w:sz="4" w:space="0" w:color="auto"/>
              <w:right w:val="single" w:sz="4" w:space="0" w:color="auto"/>
            </w:tcBorders>
            <w:noWrap/>
            <w:vAlign w:val="center"/>
          </w:tcPr>
          <w:p w14:paraId="6F45E24A" w14:textId="77777777" w:rsidR="006D1C3F" w:rsidRDefault="00000000">
            <w:pPr>
              <w:snapToGrid w:val="0"/>
              <w:ind w:firstLineChars="0" w:firstLine="0"/>
              <w:jc w:val="center"/>
              <w:rPr>
                <w:rFonts w:cstheme="minorBidi"/>
                <w:b w:val="0"/>
                <w:sz w:val="18"/>
                <w:szCs w:val="18"/>
              </w:rPr>
            </w:pPr>
            <w:proofErr w:type="spellStart"/>
            <w:r>
              <w:rPr>
                <w:rFonts w:cstheme="minorBidi" w:hint="eastAsia"/>
                <w:b w:val="0"/>
                <w:sz w:val="18"/>
                <w:szCs w:val="18"/>
              </w:rPr>
              <w:t>Lor+Ale+BSC</w:t>
            </w:r>
            <w:proofErr w:type="spellEnd"/>
          </w:p>
        </w:tc>
        <w:tc>
          <w:tcPr>
            <w:tcW w:w="1469" w:type="dxa"/>
            <w:tcBorders>
              <w:top w:val="single" w:sz="4" w:space="0" w:color="auto"/>
              <w:left w:val="single" w:sz="4" w:space="0" w:color="auto"/>
              <w:bottom w:val="single" w:sz="4" w:space="0" w:color="auto"/>
              <w:right w:val="single" w:sz="4" w:space="0" w:color="auto"/>
            </w:tcBorders>
            <w:noWrap/>
            <w:vAlign w:val="center"/>
          </w:tcPr>
          <w:p w14:paraId="67071BA7" w14:textId="77777777" w:rsidR="006D1C3F" w:rsidRDefault="00000000">
            <w:pPr>
              <w:snapToGrid w:val="0"/>
              <w:ind w:firstLineChars="0" w:firstLine="0"/>
              <w:jc w:val="center"/>
              <w:rPr>
                <w:rFonts w:cstheme="minorBidi"/>
                <w:b w:val="0"/>
                <w:sz w:val="18"/>
                <w:szCs w:val="18"/>
              </w:rPr>
            </w:pPr>
            <w:r>
              <w:rPr>
                <w:rFonts w:cstheme="minorBidi" w:hint="eastAsia"/>
                <w:b w:val="0"/>
                <w:sz w:val="18"/>
                <w:szCs w:val="18"/>
              </w:rPr>
              <w:t>Highest Clinical Effectiveness</w:t>
            </w:r>
          </w:p>
        </w:tc>
        <w:tc>
          <w:tcPr>
            <w:tcW w:w="145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6BCCFBB" w14:textId="77777777" w:rsidR="006D1C3F" w:rsidRDefault="00000000">
            <w:pPr>
              <w:snapToGrid w:val="0"/>
              <w:ind w:firstLineChars="0" w:firstLine="0"/>
              <w:jc w:val="center"/>
              <w:rPr>
                <w:b w:val="0"/>
                <w:szCs w:val="20"/>
              </w:rPr>
            </w:pPr>
            <w:r>
              <w:rPr>
                <w:b w:val="0"/>
                <w:szCs w:val="20"/>
              </w:rPr>
              <w:t>300,331.8</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479E849" w14:textId="77777777" w:rsidR="006D1C3F" w:rsidRDefault="00000000">
            <w:pPr>
              <w:snapToGrid w:val="0"/>
              <w:ind w:firstLineChars="0" w:firstLine="0"/>
              <w:jc w:val="center"/>
              <w:rPr>
                <w:b w:val="0"/>
                <w:szCs w:val="20"/>
              </w:rPr>
            </w:pPr>
            <w:r>
              <w:rPr>
                <w:b w:val="0"/>
                <w:szCs w:val="20"/>
              </w:rPr>
              <w:t>8.4</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3D130EE" w14:textId="77777777" w:rsidR="006D1C3F" w:rsidRDefault="00000000">
            <w:pPr>
              <w:snapToGrid w:val="0"/>
              <w:ind w:firstLineChars="0" w:firstLine="0"/>
              <w:jc w:val="center"/>
              <w:rPr>
                <w:b w:val="0"/>
                <w:szCs w:val="20"/>
              </w:rPr>
            </w:pPr>
            <w:r>
              <w:rPr>
                <w:b w:val="0"/>
                <w:szCs w:val="20"/>
              </w:rPr>
              <w:t>274,886.0</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B4EF053" w14:textId="77777777" w:rsidR="006D1C3F" w:rsidRDefault="00000000">
            <w:pPr>
              <w:snapToGrid w:val="0"/>
              <w:ind w:firstLineChars="0" w:firstLine="0"/>
              <w:jc w:val="center"/>
              <w:rPr>
                <w:b w:val="0"/>
                <w:szCs w:val="20"/>
              </w:rPr>
            </w:pPr>
            <w:r>
              <w:rPr>
                <w:b w:val="0"/>
                <w:szCs w:val="20"/>
              </w:rPr>
              <w:t>6.8</w:t>
            </w:r>
          </w:p>
        </w:tc>
        <w:tc>
          <w:tcPr>
            <w:tcW w:w="12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E66A680" w14:textId="77777777" w:rsidR="006D1C3F" w:rsidRDefault="00000000">
            <w:pPr>
              <w:snapToGrid w:val="0"/>
              <w:ind w:firstLineChars="0" w:firstLine="0"/>
              <w:jc w:val="center"/>
              <w:rPr>
                <w:b w:val="0"/>
                <w:szCs w:val="20"/>
              </w:rPr>
            </w:pPr>
            <w:r>
              <w:rPr>
                <w:b w:val="0"/>
                <w:szCs w:val="20"/>
              </w:rPr>
              <w:t>40,424</w:t>
            </w:r>
          </w:p>
        </w:tc>
      </w:tr>
      <w:tr w:rsidR="006D1C3F" w14:paraId="072E8FE6" w14:textId="77777777">
        <w:trPr>
          <w:trHeight w:val="899"/>
          <w:tblHeader/>
          <w:jc w:val="center"/>
        </w:trPr>
        <w:tc>
          <w:tcPr>
            <w:tcW w:w="9405" w:type="dxa"/>
            <w:gridSpan w:val="7"/>
            <w:tcBorders>
              <w:top w:val="single" w:sz="4" w:space="0" w:color="auto"/>
              <w:left w:val="nil"/>
              <w:bottom w:val="nil"/>
              <w:right w:val="nil"/>
            </w:tcBorders>
            <w:noWrap/>
            <w:vAlign w:val="center"/>
          </w:tcPr>
          <w:p w14:paraId="36416E3B" w14:textId="77777777" w:rsidR="006D1C3F" w:rsidRDefault="00000000">
            <w:pPr>
              <w:snapToGrid w:val="0"/>
              <w:ind w:firstLineChars="0" w:firstLine="0"/>
              <w:jc w:val="left"/>
              <w:rPr>
                <w:b w:val="0"/>
                <w:szCs w:val="20"/>
              </w:rPr>
            </w:pPr>
            <w:r>
              <w:rPr>
                <w:rFonts w:hint="eastAsia"/>
                <w:b w:val="0"/>
                <w:sz w:val="16"/>
                <w:szCs w:val="16"/>
              </w:rPr>
              <w:t>*</w:t>
            </w:r>
            <w:r>
              <w:rPr>
                <w:b w:val="0"/>
                <w:sz w:val="16"/>
                <w:szCs w:val="16"/>
              </w:rPr>
              <w:t xml:space="preserve"> ICER calculations were performed pairwise against the most cost-effective baseline strategy (</w:t>
            </w:r>
            <w:proofErr w:type="spellStart"/>
            <w:r>
              <w:rPr>
                <w:b w:val="0"/>
                <w:sz w:val="16"/>
                <w:szCs w:val="16"/>
              </w:rPr>
              <w:t>Che+Che+BSC</w:t>
            </w:r>
            <w:proofErr w:type="spellEnd"/>
            <w:r>
              <w:rPr>
                <w:b w:val="0"/>
                <w:sz w:val="16"/>
                <w:szCs w:val="16"/>
              </w:rPr>
              <w:t xml:space="preserve">). ICER, incremental cost-effectiveness ratio; QALY, quality-adjusted life-year; BSC, best supportive care; Che, Chemotherapy; Ale, </w:t>
            </w:r>
            <w:proofErr w:type="spellStart"/>
            <w:r>
              <w:rPr>
                <w:b w:val="0"/>
                <w:sz w:val="16"/>
                <w:szCs w:val="16"/>
              </w:rPr>
              <w:t>Alectinib</w:t>
            </w:r>
            <w:proofErr w:type="spellEnd"/>
            <w:r>
              <w:rPr>
                <w:b w:val="0"/>
                <w:sz w:val="16"/>
                <w:szCs w:val="16"/>
              </w:rPr>
              <w:t xml:space="preserve">; Ens, </w:t>
            </w:r>
            <w:proofErr w:type="spellStart"/>
            <w:r>
              <w:rPr>
                <w:b w:val="0"/>
                <w:sz w:val="16"/>
                <w:szCs w:val="16"/>
              </w:rPr>
              <w:t>Ensartinib</w:t>
            </w:r>
            <w:proofErr w:type="spellEnd"/>
            <w:r>
              <w:rPr>
                <w:b w:val="0"/>
                <w:sz w:val="16"/>
                <w:szCs w:val="16"/>
              </w:rPr>
              <w:t xml:space="preserve">; Lor, </w:t>
            </w:r>
            <w:proofErr w:type="spellStart"/>
            <w:r>
              <w:rPr>
                <w:b w:val="0"/>
                <w:sz w:val="16"/>
                <w:szCs w:val="16"/>
              </w:rPr>
              <w:t>Lorlatinib</w:t>
            </w:r>
            <w:proofErr w:type="spellEnd"/>
            <w:r>
              <w:rPr>
                <w:b w:val="0"/>
                <w:sz w:val="16"/>
                <w:szCs w:val="16"/>
              </w:rPr>
              <w:t>.</w:t>
            </w:r>
          </w:p>
        </w:tc>
      </w:tr>
    </w:tbl>
    <w:p w14:paraId="14BA7A7C" w14:textId="38E7D801" w:rsidR="00B702F2" w:rsidRPr="002928E5" w:rsidRDefault="00B702F2" w:rsidP="00B702F2">
      <w:pPr>
        <w:keepNext/>
        <w:keepLines/>
        <w:pageBreakBefore/>
        <w:spacing w:before="340" w:after="156" w:line="240" w:lineRule="auto"/>
        <w:ind w:firstLineChars="0" w:firstLine="0"/>
        <w:outlineLvl w:val="0"/>
        <w:rPr>
          <w:rFonts w:eastAsiaTheme="minorEastAsia" w:cstheme="minorBidi"/>
          <w:b w:val="0"/>
          <w:bCs w:val="0"/>
          <w:kern w:val="44"/>
        </w:rPr>
      </w:pPr>
      <w:bookmarkStart w:id="31" w:name="_Toc225844817"/>
      <w:r>
        <w:rPr>
          <w:rFonts w:eastAsia="Times New Roman" w:cstheme="minorBidi" w:hint="eastAsia"/>
          <w:b w:val="0"/>
          <w:bCs w:val="0"/>
          <w:kern w:val="44"/>
        </w:rPr>
        <w:lastRenderedPageBreak/>
        <w:t>Table S1</w:t>
      </w:r>
      <w:r>
        <w:rPr>
          <w:rFonts w:asciiTheme="minorEastAsia" w:eastAsiaTheme="minorEastAsia" w:hAnsiTheme="minorEastAsia" w:cstheme="minorBidi" w:hint="eastAsia"/>
          <w:b w:val="0"/>
          <w:bCs w:val="0"/>
          <w:kern w:val="44"/>
        </w:rPr>
        <w:t>3</w:t>
      </w:r>
      <w:r>
        <w:rPr>
          <w:rFonts w:eastAsia="Times New Roman" w:cstheme="minorBidi" w:hint="eastAsia"/>
          <w:b w:val="0"/>
          <w:bCs w:val="0"/>
          <w:kern w:val="44"/>
        </w:rPr>
        <w:t xml:space="preserve"> </w:t>
      </w:r>
      <w:r w:rsidR="002928E5" w:rsidRPr="002928E5">
        <w:rPr>
          <w:rFonts w:eastAsia="Times New Roman" w:cstheme="minorBidi"/>
          <w:b w:val="0"/>
          <w:bCs w:val="0"/>
          <w:kern w:val="44"/>
        </w:rPr>
        <w:t>Scenario Analysis on Extrapolation Methods for Key Sequential Strategies</w:t>
      </w:r>
      <w:bookmarkEnd w:id="31"/>
    </w:p>
    <w:tbl>
      <w:tblPr>
        <w:tblW w:w="5414" w:type="dxa"/>
        <w:jc w:val="center"/>
        <w:tblLayout w:type="fixed"/>
        <w:tblCellMar>
          <w:top w:w="32" w:type="dxa"/>
          <w:left w:w="64" w:type="dxa"/>
          <w:bottom w:w="32" w:type="dxa"/>
          <w:right w:w="64" w:type="dxa"/>
        </w:tblCellMar>
        <w:tblLook w:val="04A0" w:firstRow="1" w:lastRow="0" w:firstColumn="1" w:lastColumn="0" w:noHBand="0" w:noVBand="1"/>
      </w:tblPr>
      <w:tblGrid>
        <w:gridCol w:w="1413"/>
        <w:gridCol w:w="1469"/>
        <w:gridCol w:w="1266"/>
        <w:gridCol w:w="1266"/>
      </w:tblGrid>
      <w:tr w:rsidR="003A4448" w14:paraId="20236479" w14:textId="77777777" w:rsidTr="003A4448">
        <w:trPr>
          <w:tblHeader/>
          <w:jc w:val="center"/>
        </w:trPr>
        <w:tc>
          <w:tcPr>
            <w:tcW w:w="1413" w:type="dxa"/>
            <w:tcBorders>
              <w:top w:val="single" w:sz="6" w:space="0" w:color="auto"/>
              <w:left w:val="single" w:sz="6" w:space="0" w:color="auto"/>
              <w:bottom w:val="single" w:sz="6" w:space="0" w:color="auto"/>
              <w:right w:val="single" w:sz="6" w:space="0" w:color="auto"/>
            </w:tcBorders>
            <w:noWrap/>
            <w:vAlign w:val="center"/>
          </w:tcPr>
          <w:p w14:paraId="50F990C8" w14:textId="51113390" w:rsidR="003A4448" w:rsidRDefault="003A4448" w:rsidP="002928E5">
            <w:pPr>
              <w:snapToGrid w:val="0"/>
              <w:spacing w:line="240" w:lineRule="auto"/>
              <w:ind w:firstLineChars="0" w:firstLine="0"/>
              <w:jc w:val="center"/>
              <w:rPr>
                <w:rFonts w:cstheme="minorBidi"/>
                <w:bCs w:val="0"/>
                <w:sz w:val="18"/>
                <w:szCs w:val="18"/>
              </w:rPr>
            </w:pPr>
            <w:r w:rsidRPr="002928E5">
              <w:rPr>
                <w:rFonts w:cstheme="minorBidi"/>
                <w:bCs w:val="0"/>
                <w:sz w:val="18"/>
                <w:szCs w:val="18"/>
              </w:rPr>
              <w:t>Sequential Strategy</w:t>
            </w:r>
          </w:p>
        </w:tc>
        <w:tc>
          <w:tcPr>
            <w:tcW w:w="1469" w:type="dxa"/>
            <w:tcBorders>
              <w:top w:val="single" w:sz="6" w:space="0" w:color="auto"/>
              <w:left w:val="single" w:sz="6" w:space="0" w:color="auto"/>
              <w:bottom w:val="single" w:sz="6" w:space="0" w:color="auto"/>
              <w:right w:val="single" w:sz="6" w:space="0" w:color="auto"/>
            </w:tcBorders>
            <w:noWrap/>
            <w:vAlign w:val="center"/>
          </w:tcPr>
          <w:p w14:paraId="1134292B" w14:textId="00B0A2A8" w:rsidR="003A4448" w:rsidRDefault="003A4448" w:rsidP="002928E5">
            <w:pPr>
              <w:snapToGrid w:val="0"/>
              <w:spacing w:line="240" w:lineRule="auto"/>
              <w:ind w:firstLineChars="0" w:firstLine="0"/>
              <w:jc w:val="center"/>
              <w:rPr>
                <w:rFonts w:cstheme="minorBidi"/>
                <w:bCs w:val="0"/>
                <w:sz w:val="18"/>
                <w:szCs w:val="18"/>
              </w:rPr>
            </w:pPr>
            <w:r w:rsidRPr="002928E5">
              <w:rPr>
                <w:rFonts w:cstheme="minorBidi"/>
                <w:bCs w:val="0"/>
                <w:sz w:val="18"/>
                <w:szCs w:val="18"/>
              </w:rPr>
              <w:t>Extrapolation Method</w:t>
            </w:r>
          </w:p>
        </w:tc>
        <w:tc>
          <w:tcPr>
            <w:tcW w:w="1266" w:type="dxa"/>
            <w:tcBorders>
              <w:top w:val="single" w:sz="6" w:space="0" w:color="auto"/>
              <w:left w:val="single" w:sz="6" w:space="0" w:color="auto"/>
              <w:bottom w:val="single" w:sz="6" w:space="0" w:color="auto"/>
              <w:right w:val="single" w:sz="6" w:space="0" w:color="auto"/>
            </w:tcBorders>
            <w:noWrap/>
            <w:vAlign w:val="center"/>
          </w:tcPr>
          <w:p w14:paraId="637735DB" w14:textId="3C1C47E7" w:rsidR="003A4448" w:rsidRDefault="003A4448" w:rsidP="002928E5">
            <w:pPr>
              <w:snapToGrid w:val="0"/>
              <w:spacing w:line="240" w:lineRule="auto"/>
              <w:ind w:firstLineChars="0" w:firstLine="0"/>
              <w:jc w:val="center"/>
              <w:rPr>
                <w:rFonts w:cstheme="minorBidi"/>
                <w:bCs w:val="0"/>
                <w:sz w:val="18"/>
                <w:szCs w:val="18"/>
              </w:rPr>
            </w:pPr>
            <w:r w:rsidRPr="002928E5">
              <w:rPr>
                <w:rFonts w:cstheme="minorBidi"/>
                <w:bCs w:val="0"/>
                <w:sz w:val="18"/>
                <w:szCs w:val="18"/>
              </w:rPr>
              <w:t>QALYs</w:t>
            </w:r>
          </w:p>
        </w:tc>
        <w:tc>
          <w:tcPr>
            <w:tcW w:w="1266" w:type="dxa"/>
            <w:tcBorders>
              <w:top w:val="single" w:sz="6" w:space="0" w:color="auto"/>
              <w:left w:val="single" w:sz="6" w:space="0" w:color="auto"/>
              <w:bottom w:val="single" w:sz="6" w:space="0" w:color="auto"/>
              <w:right w:val="single" w:sz="6" w:space="0" w:color="auto"/>
            </w:tcBorders>
            <w:noWrap/>
            <w:vAlign w:val="center"/>
          </w:tcPr>
          <w:p w14:paraId="6F5A0220" w14:textId="1140EEB5" w:rsidR="003A4448" w:rsidRDefault="003A4448" w:rsidP="002928E5">
            <w:pPr>
              <w:snapToGrid w:val="0"/>
              <w:spacing w:line="240" w:lineRule="auto"/>
              <w:ind w:firstLineChars="0" w:firstLine="0"/>
              <w:jc w:val="center"/>
              <w:rPr>
                <w:rFonts w:cstheme="minorBidi"/>
                <w:bCs w:val="0"/>
                <w:sz w:val="18"/>
                <w:szCs w:val="18"/>
              </w:rPr>
            </w:pPr>
            <w:r w:rsidRPr="002928E5">
              <w:rPr>
                <w:rFonts w:cstheme="minorBidi"/>
                <w:bCs w:val="0"/>
                <w:sz w:val="18"/>
                <w:szCs w:val="18"/>
              </w:rPr>
              <w:t>NMB</w:t>
            </w:r>
          </w:p>
        </w:tc>
      </w:tr>
      <w:tr w:rsidR="003A4448" w14:paraId="331A8F13" w14:textId="77777777" w:rsidTr="003A4448">
        <w:trPr>
          <w:tblHeader/>
          <w:jc w:val="center"/>
        </w:trPr>
        <w:tc>
          <w:tcPr>
            <w:tcW w:w="1413" w:type="dxa"/>
            <w:vMerge w:val="restart"/>
            <w:tcBorders>
              <w:top w:val="single" w:sz="6" w:space="0" w:color="auto"/>
              <w:left w:val="single" w:sz="6" w:space="0" w:color="auto"/>
              <w:right w:val="single" w:sz="6" w:space="0" w:color="auto"/>
            </w:tcBorders>
            <w:noWrap/>
            <w:vAlign w:val="center"/>
          </w:tcPr>
          <w:p w14:paraId="08D230EE" w14:textId="6E0EFF6F" w:rsidR="003A4448" w:rsidRDefault="003A4448" w:rsidP="002928E5">
            <w:pPr>
              <w:snapToGrid w:val="0"/>
              <w:ind w:firstLineChars="0" w:firstLine="0"/>
              <w:jc w:val="center"/>
              <w:rPr>
                <w:rFonts w:cstheme="minorBidi"/>
                <w:b w:val="0"/>
                <w:sz w:val="18"/>
                <w:szCs w:val="18"/>
              </w:rPr>
            </w:pPr>
            <w:proofErr w:type="spellStart"/>
            <w:r w:rsidRPr="002928E5">
              <w:rPr>
                <w:rFonts w:cstheme="minorBidi"/>
                <w:b w:val="0"/>
                <w:sz w:val="18"/>
                <w:szCs w:val="18"/>
              </w:rPr>
              <w:t>Che+Che+BSC</w:t>
            </w:r>
            <w:proofErr w:type="spellEnd"/>
          </w:p>
        </w:tc>
        <w:tc>
          <w:tcPr>
            <w:tcW w:w="1469" w:type="dxa"/>
            <w:tcBorders>
              <w:top w:val="single" w:sz="6" w:space="0" w:color="auto"/>
              <w:left w:val="single" w:sz="6" w:space="0" w:color="auto"/>
              <w:bottom w:val="single" w:sz="6" w:space="0" w:color="auto"/>
              <w:right w:val="single" w:sz="6" w:space="0" w:color="auto"/>
            </w:tcBorders>
            <w:noWrap/>
            <w:vAlign w:val="center"/>
          </w:tcPr>
          <w:p w14:paraId="02ABCC11" w14:textId="146DDD96" w:rsidR="003A4448" w:rsidRDefault="003A4448" w:rsidP="002928E5">
            <w:pPr>
              <w:snapToGrid w:val="0"/>
              <w:ind w:firstLineChars="0" w:firstLine="0"/>
              <w:jc w:val="center"/>
              <w:rPr>
                <w:rFonts w:cstheme="minorBidi"/>
                <w:b w:val="0"/>
                <w:sz w:val="18"/>
                <w:szCs w:val="18"/>
              </w:rPr>
            </w:pPr>
            <w:r w:rsidRPr="002928E5">
              <w:rPr>
                <w:rFonts w:cstheme="minorBidi"/>
                <w:b w:val="0"/>
                <w:sz w:val="18"/>
                <w:szCs w:val="18"/>
              </w:rPr>
              <w:t>Base-case</w:t>
            </w:r>
          </w:p>
        </w:tc>
        <w:tc>
          <w:tcPr>
            <w:tcW w:w="1266" w:type="dxa"/>
            <w:tcBorders>
              <w:top w:val="single" w:sz="6" w:space="0" w:color="auto"/>
              <w:left w:val="single" w:sz="6" w:space="0" w:color="auto"/>
              <w:bottom w:val="single" w:sz="6" w:space="0" w:color="auto"/>
              <w:right w:val="single" w:sz="6" w:space="0" w:color="auto"/>
            </w:tcBorders>
            <w:noWrap/>
            <w:vAlign w:val="center"/>
          </w:tcPr>
          <w:p w14:paraId="56F3170C" w14:textId="783726D4" w:rsidR="003A4448" w:rsidRDefault="003A4448" w:rsidP="002928E5">
            <w:pPr>
              <w:snapToGrid w:val="0"/>
              <w:ind w:firstLineChars="0" w:firstLine="0"/>
              <w:jc w:val="center"/>
              <w:rPr>
                <w:b w:val="0"/>
                <w:szCs w:val="20"/>
              </w:rPr>
            </w:pPr>
            <w:r w:rsidRPr="002928E5">
              <w:rPr>
                <w:rFonts w:cstheme="minorBidi"/>
                <w:b w:val="0"/>
                <w:sz w:val="18"/>
                <w:szCs w:val="18"/>
              </w:rPr>
              <w:t>1.58</w:t>
            </w:r>
          </w:p>
        </w:tc>
        <w:tc>
          <w:tcPr>
            <w:tcW w:w="1266" w:type="dxa"/>
            <w:tcBorders>
              <w:top w:val="single" w:sz="6" w:space="0" w:color="auto"/>
              <w:left w:val="single" w:sz="6" w:space="0" w:color="auto"/>
              <w:bottom w:val="single" w:sz="6" w:space="0" w:color="auto"/>
              <w:right w:val="single" w:sz="6" w:space="0" w:color="auto"/>
            </w:tcBorders>
            <w:noWrap/>
            <w:vAlign w:val="center"/>
          </w:tcPr>
          <w:p w14:paraId="46C80339" w14:textId="13286625" w:rsidR="003A4448" w:rsidRDefault="003A4448" w:rsidP="002928E5">
            <w:pPr>
              <w:snapToGrid w:val="0"/>
              <w:ind w:firstLineChars="0" w:firstLine="0"/>
              <w:jc w:val="center"/>
              <w:rPr>
                <w:b w:val="0"/>
                <w:szCs w:val="20"/>
              </w:rPr>
            </w:pPr>
            <w:r w:rsidRPr="002928E5">
              <w:rPr>
                <w:rFonts w:cstheme="minorBidi"/>
                <w:b w:val="0"/>
                <w:sz w:val="18"/>
                <w:szCs w:val="18"/>
              </w:rPr>
              <w:t>16180</w:t>
            </w:r>
          </w:p>
        </w:tc>
      </w:tr>
      <w:tr w:rsidR="003A4448" w14:paraId="09074BAF" w14:textId="77777777" w:rsidTr="003A4448">
        <w:trPr>
          <w:tblHeader/>
          <w:jc w:val="center"/>
        </w:trPr>
        <w:tc>
          <w:tcPr>
            <w:tcW w:w="1413" w:type="dxa"/>
            <w:vMerge/>
            <w:tcBorders>
              <w:left w:val="single" w:sz="6" w:space="0" w:color="auto"/>
              <w:bottom w:val="single" w:sz="6" w:space="0" w:color="auto"/>
              <w:right w:val="single" w:sz="6" w:space="0" w:color="auto"/>
            </w:tcBorders>
            <w:noWrap/>
            <w:vAlign w:val="center"/>
          </w:tcPr>
          <w:p w14:paraId="1CEF9C4E" w14:textId="02F2A639" w:rsidR="003A4448" w:rsidRDefault="003A4448" w:rsidP="002928E5">
            <w:pPr>
              <w:snapToGrid w:val="0"/>
              <w:ind w:firstLineChars="0" w:firstLine="0"/>
              <w:jc w:val="center"/>
              <w:rPr>
                <w:rFonts w:cstheme="minorBidi"/>
                <w:b w:val="0"/>
                <w:sz w:val="18"/>
                <w:szCs w:val="18"/>
              </w:rPr>
            </w:pPr>
          </w:p>
        </w:tc>
        <w:tc>
          <w:tcPr>
            <w:tcW w:w="1469" w:type="dxa"/>
            <w:tcBorders>
              <w:top w:val="single" w:sz="6" w:space="0" w:color="auto"/>
              <w:left w:val="single" w:sz="6" w:space="0" w:color="auto"/>
              <w:bottom w:val="single" w:sz="6" w:space="0" w:color="auto"/>
              <w:right w:val="single" w:sz="6" w:space="0" w:color="auto"/>
            </w:tcBorders>
            <w:noWrap/>
            <w:vAlign w:val="center"/>
          </w:tcPr>
          <w:p w14:paraId="2F4C0BFE" w14:textId="32ED3BF8" w:rsidR="003A4448" w:rsidRDefault="003A4448" w:rsidP="002928E5">
            <w:pPr>
              <w:snapToGrid w:val="0"/>
              <w:ind w:firstLineChars="0" w:firstLine="0"/>
              <w:jc w:val="center"/>
              <w:rPr>
                <w:rFonts w:cstheme="minorBidi"/>
                <w:b w:val="0"/>
                <w:sz w:val="18"/>
                <w:szCs w:val="18"/>
              </w:rPr>
            </w:pPr>
            <w:r w:rsidRPr="002928E5">
              <w:rPr>
                <w:rFonts w:cstheme="minorBidi"/>
                <w:b w:val="0"/>
                <w:sz w:val="18"/>
                <w:szCs w:val="18"/>
              </w:rPr>
              <w:t>Conservative (Weibull)</w:t>
            </w:r>
          </w:p>
        </w:tc>
        <w:tc>
          <w:tcPr>
            <w:tcW w:w="1266" w:type="dxa"/>
            <w:tcBorders>
              <w:top w:val="single" w:sz="6" w:space="0" w:color="auto"/>
              <w:left w:val="single" w:sz="6" w:space="0" w:color="auto"/>
              <w:bottom w:val="single" w:sz="6" w:space="0" w:color="auto"/>
              <w:right w:val="single" w:sz="6" w:space="0" w:color="auto"/>
            </w:tcBorders>
            <w:noWrap/>
            <w:vAlign w:val="center"/>
          </w:tcPr>
          <w:p w14:paraId="04626EC4" w14:textId="307F2077" w:rsidR="003A4448" w:rsidRDefault="003A4448" w:rsidP="002928E5">
            <w:pPr>
              <w:snapToGrid w:val="0"/>
              <w:ind w:firstLineChars="0" w:firstLine="0"/>
              <w:jc w:val="center"/>
              <w:rPr>
                <w:b w:val="0"/>
                <w:szCs w:val="20"/>
              </w:rPr>
            </w:pPr>
            <w:r w:rsidRPr="002928E5">
              <w:rPr>
                <w:rFonts w:cstheme="minorBidi"/>
                <w:b w:val="0"/>
                <w:sz w:val="18"/>
                <w:szCs w:val="18"/>
              </w:rPr>
              <w:t>1.38</w:t>
            </w:r>
          </w:p>
        </w:tc>
        <w:tc>
          <w:tcPr>
            <w:tcW w:w="1266" w:type="dxa"/>
            <w:tcBorders>
              <w:top w:val="single" w:sz="6" w:space="0" w:color="auto"/>
              <w:left w:val="single" w:sz="6" w:space="0" w:color="auto"/>
              <w:bottom w:val="single" w:sz="6" w:space="0" w:color="auto"/>
              <w:right w:val="single" w:sz="6" w:space="0" w:color="auto"/>
            </w:tcBorders>
            <w:noWrap/>
            <w:vAlign w:val="center"/>
          </w:tcPr>
          <w:p w14:paraId="4F401052" w14:textId="4D102BB7" w:rsidR="003A4448" w:rsidRDefault="003A4448" w:rsidP="002928E5">
            <w:pPr>
              <w:snapToGrid w:val="0"/>
              <w:ind w:firstLineChars="0" w:firstLine="0"/>
              <w:jc w:val="center"/>
              <w:rPr>
                <w:b w:val="0"/>
                <w:szCs w:val="20"/>
              </w:rPr>
            </w:pPr>
            <w:r w:rsidRPr="002928E5">
              <w:rPr>
                <w:rFonts w:cstheme="minorBidi"/>
                <w:b w:val="0"/>
                <w:sz w:val="18"/>
                <w:szCs w:val="18"/>
              </w:rPr>
              <w:t>13751</w:t>
            </w:r>
          </w:p>
        </w:tc>
      </w:tr>
      <w:tr w:rsidR="003A4448" w14:paraId="111A04DD" w14:textId="77777777" w:rsidTr="003A4448">
        <w:trPr>
          <w:tblHeader/>
          <w:jc w:val="center"/>
        </w:trPr>
        <w:tc>
          <w:tcPr>
            <w:tcW w:w="1413" w:type="dxa"/>
            <w:vMerge w:val="restart"/>
            <w:tcBorders>
              <w:top w:val="single" w:sz="6" w:space="0" w:color="auto"/>
              <w:left w:val="single" w:sz="6" w:space="0" w:color="auto"/>
              <w:right w:val="single" w:sz="6" w:space="0" w:color="auto"/>
            </w:tcBorders>
            <w:noWrap/>
            <w:vAlign w:val="center"/>
          </w:tcPr>
          <w:p w14:paraId="77EF3663" w14:textId="7D04A4A0" w:rsidR="003A4448" w:rsidRDefault="003A4448" w:rsidP="002928E5">
            <w:pPr>
              <w:snapToGrid w:val="0"/>
              <w:ind w:firstLineChars="0" w:firstLine="0"/>
              <w:jc w:val="center"/>
              <w:rPr>
                <w:rFonts w:cstheme="minorBidi"/>
                <w:b w:val="0"/>
                <w:sz w:val="18"/>
                <w:szCs w:val="18"/>
              </w:rPr>
            </w:pPr>
            <w:proofErr w:type="spellStart"/>
            <w:r w:rsidRPr="002928E5">
              <w:rPr>
                <w:rFonts w:cstheme="minorBidi"/>
                <w:b w:val="0"/>
                <w:sz w:val="18"/>
                <w:szCs w:val="18"/>
              </w:rPr>
              <w:t>Ale+Ens+BSC</w:t>
            </w:r>
            <w:proofErr w:type="spellEnd"/>
          </w:p>
        </w:tc>
        <w:tc>
          <w:tcPr>
            <w:tcW w:w="1469" w:type="dxa"/>
            <w:tcBorders>
              <w:top w:val="single" w:sz="6" w:space="0" w:color="auto"/>
              <w:left w:val="single" w:sz="6" w:space="0" w:color="auto"/>
              <w:bottom w:val="single" w:sz="6" w:space="0" w:color="auto"/>
              <w:right w:val="single" w:sz="6" w:space="0" w:color="auto"/>
            </w:tcBorders>
            <w:noWrap/>
            <w:vAlign w:val="center"/>
          </w:tcPr>
          <w:p w14:paraId="2F066E8D" w14:textId="65CD531D" w:rsidR="003A4448" w:rsidRDefault="003A4448" w:rsidP="002928E5">
            <w:pPr>
              <w:snapToGrid w:val="0"/>
              <w:ind w:firstLineChars="0" w:firstLine="0"/>
              <w:jc w:val="center"/>
              <w:rPr>
                <w:rFonts w:cstheme="minorBidi"/>
                <w:b w:val="0"/>
                <w:sz w:val="18"/>
                <w:szCs w:val="18"/>
              </w:rPr>
            </w:pPr>
            <w:r w:rsidRPr="002928E5">
              <w:rPr>
                <w:rFonts w:cstheme="minorBidi"/>
                <w:b w:val="0"/>
                <w:sz w:val="18"/>
                <w:szCs w:val="18"/>
              </w:rPr>
              <w:t>Base-case</w:t>
            </w:r>
          </w:p>
        </w:tc>
        <w:tc>
          <w:tcPr>
            <w:tcW w:w="1266" w:type="dxa"/>
            <w:tcBorders>
              <w:top w:val="single" w:sz="6" w:space="0" w:color="auto"/>
              <w:left w:val="single" w:sz="6" w:space="0" w:color="auto"/>
              <w:bottom w:val="single" w:sz="6" w:space="0" w:color="auto"/>
              <w:right w:val="single" w:sz="6" w:space="0" w:color="auto"/>
            </w:tcBorders>
            <w:noWrap/>
            <w:vAlign w:val="center"/>
          </w:tcPr>
          <w:p w14:paraId="3A1D7BD6" w14:textId="2982B5D1" w:rsidR="003A4448" w:rsidRDefault="003A4448" w:rsidP="002928E5">
            <w:pPr>
              <w:snapToGrid w:val="0"/>
              <w:ind w:firstLineChars="0" w:firstLine="0"/>
              <w:jc w:val="center"/>
              <w:rPr>
                <w:b w:val="0"/>
                <w:szCs w:val="20"/>
              </w:rPr>
            </w:pPr>
            <w:r w:rsidRPr="002928E5">
              <w:rPr>
                <w:rFonts w:cstheme="minorBidi"/>
                <w:b w:val="0"/>
                <w:sz w:val="18"/>
                <w:szCs w:val="18"/>
              </w:rPr>
              <w:t>5.26</w:t>
            </w:r>
          </w:p>
        </w:tc>
        <w:tc>
          <w:tcPr>
            <w:tcW w:w="1266" w:type="dxa"/>
            <w:tcBorders>
              <w:top w:val="single" w:sz="6" w:space="0" w:color="auto"/>
              <w:left w:val="single" w:sz="6" w:space="0" w:color="auto"/>
              <w:bottom w:val="single" w:sz="6" w:space="0" w:color="auto"/>
              <w:right w:val="single" w:sz="6" w:space="0" w:color="auto"/>
            </w:tcBorders>
            <w:noWrap/>
            <w:vAlign w:val="center"/>
          </w:tcPr>
          <w:p w14:paraId="1824993C" w14:textId="27A5B1BC" w:rsidR="003A4448" w:rsidRDefault="003A4448" w:rsidP="002928E5">
            <w:pPr>
              <w:snapToGrid w:val="0"/>
              <w:ind w:firstLineChars="0" w:firstLine="0"/>
              <w:jc w:val="center"/>
              <w:rPr>
                <w:b w:val="0"/>
                <w:szCs w:val="20"/>
              </w:rPr>
            </w:pPr>
            <w:r w:rsidRPr="002928E5">
              <w:rPr>
                <w:rFonts w:cstheme="minorBidi"/>
                <w:b w:val="0"/>
                <w:sz w:val="18"/>
                <w:szCs w:val="18"/>
              </w:rPr>
              <w:t>-20678</w:t>
            </w:r>
          </w:p>
        </w:tc>
      </w:tr>
      <w:tr w:rsidR="003A4448" w14:paraId="369E1AEC" w14:textId="77777777" w:rsidTr="003A4448">
        <w:trPr>
          <w:tblHeader/>
          <w:jc w:val="center"/>
        </w:trPr>
        <w:tc>
          <w:tcPr>
            <w:tcW w:w="1413" w:type="dxa"/>
            <w:vMerge/>
            <w:tcBorders>
              <w:left w:val="single" w:sz="6" w:space="0" w:color="auto"/>
              <w:bottom w:val="single" w:sz="6" w:space="0" w:color="auto"/>
              <w:right w:val="single" w:sz="6" w:space="0" w:color="auto"/>
            </w:tcBorders>
            <w:noWrap/>
            <w:vAlign w:val="center"/>
          </w:tcPr>
          <w:p w14:paraId="66548055" w14:textId="47CF2EAA" w:rsidR="003A4448" w:rsidRDefault="003A4448" w:rsidP="002928E5">
            <w:pPr>
              <w:snapToGrid w:val="0"/>
              <w:ind w:firstLineChars="0" w:firstLine="0"/>
              <w:jc w:val="center"/>
              <w:rPr>
                <w:rFonts w:cstheme="minorBidi" w:hint="eastAsia"/>
                <w:b w:val="0"/>
                <w:sz w:val="18"/>
                <w:szCs w:val="18"/>
              </w:rPr>
            </w:pPr>
          </w:p>
        </w:tc>
        <w:tc>
          <w:tcPr>
            <w:tcW w:w="1469" w:type="dxa"/>
            <w:tcBorders>
              <w:top w:val="single" w:sz="6" w:space="0" w:color="auto"/>
              <w:left w:val="single" w:sz="6" w:space="0" w:color="auto"/>
              <w:bottom w:val="single" w:sz="6" w:space="0" w:color="auto"/>
              <w:right w:val="single" w:sz="6" w:space="0" w:color="auto"/>
            </w:tcBorders>
            <w:noWrap/>
            <w:vAlign w:val="center"/>
          </w:tcPr>
          <w:p w14:paraId="52CC1BD0" w14:textId="115AB1A5" w:rsidR="003A4448" w:rsidRDefault="003A4448" w:rsidP="002928E5">
            <w:pPr>
              <w:snapToGrid w:val="0"/>
              <w:ind w:firstLineChars="0" w:firstLine="0"/>
              <w:jc w:val="center"/>
              <w:rPr>
                <w:rFonts w:cstheme="minorBidi" w:hint="eastAsia"/>
                <w:b w:val="0"/>
                <w:sz w:val="18"/>
                <w:szCs w:val="18"/>
              </w:rPr>
            </w:pPr>
            <w:r w:rsidRPr="002928E5">
              <w:rPr>
                <w:rFonts w:cstheme="minorBidi"/>
                <w:b w:val="0"/>
                <w:sz w:val="18"/>
                <w:szCs w:val="18"/>
              </w:rPr>
              <w:t>Conservative (Weibull)</w:t>
            </w:r>
          </w:p>
        </w:tc>
        <w:tc>
          <w:tcPr>
            <w:tcW w:w="1266" w:type="dxa"/>
            <w:tcBorders>
              <w:top w:val="single" w:sz="6" w:space="0" w:color="auto"/>
              <w:left w:val="single" w:sz="6" w:space="0" w:color="auto"/>
              <w:bottom w:val="single" w:sz="6" w:space="0" w:color="auto"/>
              <w:right w:val="single" w:sz="6" w:space="0" w:color="auto"/>
            </w:tcBorders>
            <w:noWrap/>
            <w:vAlign w:val="center"/>
          </w:tcPr>
          <w:p w14:paraId="5AD45BE8" w14:textId="28979A20" w:rsidR="003A4448" w:rsidRDefault="003A4448" w:rsidP="002928E5">
            <w:pPr>
              <w:snapToGrid w:val="0"/>
              <w:ind w:firstLineChars="0" w:firstLine="0"/>
              <w:jc w:val="center"/>
              <w:rPr>
                <w:b w:val="0"/>
                <w:szCs w:val="20"/>
              </w:rPr>
            </w:pPr>
            <w:r w:rsidRPr="002928E5">
              <w:rPr>
                <w:rFonts w:cstheme="minorBidi"/>
                <w:b w:val="0"/>
                <w:sz w:val="18"/>
                <w:szCs w:val="18"/>
              </w:rPr>
              <w:t>3.91</w:t>
            </w:r>
          </w:p>
        </w:tc>
        <w:tc>
          <w:tcPr>
            <w:tcW w:w="1266" w:type="dxa"/>
            <w:tcBorders>
              <w:top w:val="single" w:sz="6" w:space="0" w:color="auto"/>
              <w:left w:val="single" w:sz="6" w:space="0" w:color="auto"/>
              <w:bottom w:val="single" w:sz="6" w:space="0" w:color="auto"/>
              <w:right w:val="single" w:sz="6" w:space="0" w:color="auto"/>
            </w:tcBorders>
            <w:noWrap/>
            <w:vAlign w:val="center"/>
          </w:tcPr>
          <w:p w14:paraId="1FD6BB0F" w14:textId="5B007B5D" w:rsidR="003A4448" w:rsidRDefault="003A4448" w:rsidP="002928E5">
            <w:pPr>
              <w:snapToGrid w:val="0"/>
              <w:ind w:firstLineChars="0" w:firstLine="0"/>
              <w:jc w:val="center"/>
              <w:rPr>
                <w:b w:val="0"/>
                <w:szCs w:val="20"/>
              </w:rPr>
            </w:pPr>
            <w:r w:rsidRPr="002928E5">
              <w:rPr>
                <w:rFonts w:cstheme="minorBidi"/>
                <w:b w:val="0"/>
                <w:sz w:val="18"/>
                <w:szCs w:val="18"/>
              </w:rPr>
              <w:t>-13875</w:t>
            </w:r>
          </w:p>
        </w:tc>
      </w:tr>
      <w:tr w:rsidR="003A4448" w14:paraId="5012CAEB" w14:textId="77777777" w:rsidTr="003A4448">
        <w:trPr>
          <w:tblHeader/>
          <w:jc w:val="center"/>
        </w:trPr>
        <w:tc>
          <w:tcPr>
            <w:tcW w:w="1413" w:type="dxa"/>
            <w:vMerge w:val="restart"/>
            <w:tcBorders>
              <w:top w:val="single" w:sz="6" w:space="0" w:color="auto"/>
              <w:left w:val="single" w:sz="6" w:space="0" w:color="auto"/>
              <w:right w:val="single" w:sz="6" w:space="0" w:color="auto"/>
            </w:tcBorders>
            <w:noWrap/>
            <w:vAlign w:val="center"/>
          </w:tcPr>
          <w:p w14:paraId="6A7B98A3" w14:textId="3C899266" w:rsidR="003A4448" w:rsidRDefault="003A4448" w:rsidP="002928E5">
            <w:pPr>
              <w:snapToGrid w:val="0"/>
              <w:ind w:firstLineChars="0" w:firstLine="0"/>
              <w:jc w:val="center"/>
              <w:rPr>
                <w:rFonts w:cstheme="minorBidi" w:hint="eastAsia"/>
                <w:b w:val="0"/>
                <w:sz w:val="18"/>
                <w:szCs w:val="18"/>
              </w:rPr>
            </w:pPr>
            <w:proofErr w:type="spellStart"/>
            <w:r w:rsidRPr="002928E5">
              <w:rPr>
                <w:rFonts w:cstheme="minorBidi"/>
                <w:b w:val="0"/>
                <w:sz w:val="18"/>
                <w:szCs w:val="18"/>
              </w:rPr>
              <w:t>Lor+Ale+BSC</w:t>
            </w:r>
            <w:proofErr w:type="spellEnd"/>
          </w:p>
        </w:tc>
        <w:tc>
          <w:tcPr>
            <w:tcW w:w="1469" w:type="dxa"/>
            <w:tcBorders>
              <w:top w:val="single" w:sz="6" w:space="0" w:color="auto"/>
              <w:left w:val="single" w:sz="6" w:space="0" w:color="auto"/>
              <w:bottom w:val="single" w:sz="6" w:space="0" w:color="auto"/>
              <w:right w:val="single" w:sz="6" w:space="0" w:color="auto"/>
            </w:tcBorders>
            <w:noWrap/>
            <w:vAlign w:val="center"/>
          </w:tcPr>
          <w:p w14:paraId="229B9B4E" w14:textId="04C23750" w:rsidR="003A4448" w:rsidRDefault="003A4448" w:rsidP="002928E5">
            <w:pPr>
              <w:snapToGrid w:val="0"/>
              <w:ind w:firstLineChars="0" w:firstLine="0"/>
              <w:jc w:val="center"/>
              <w:rPr>
                <w:rFonts w:cstheme="minorBidi" w:hint="eastAsia"/>
                <w:b w:val="0"/>
                <w:sz w:val="18"/>
                <w:szCs w:val="18"/>
              </w:rPr>
            </w:pPr>
            <w:r w:rsidRPr="002928E5">
              <w:rPr>
                <w:rFonts w:cstheme="minorBidi"/>
                <w:b w:val="0"/>
                <w:sz w:val="18"/>
                <w:szCs w:val="18"/>
              </w:rPr>
              <w:t>Base-case</w:t>
            </w:r>
          </w:p>
        </w:tc>
        <w:tc>
          <w:tcPr>
            <w:tcW w:w="1266" w:type="dxa"/>
            <w:tcBorders>
              <w:top w:val="single" w:sz="6" w:space="0" w:color="auto"/>
              <w:left w:val="single" w:sz="6" w:space="0" w:color="auto"/>
              <w:bottom w:val="single" w:sz="6" w:space="0" w:color="auto"/>
              <w:right w:val="single" w:sz="6" w:space="0" w:color="auto"/>
            </w:tcBorders>
            <w:noWrap/>
            <w:vAlign w:val="center"/>
          </w:tcPr>
          <w:p w14:paraId="45DC95A5" w14:textId="45855C7A" w:rsidR="003A4448" w:rsidRDefault="003A4448" w:rsidP="002928E5">
            <w:pPr>
              <w:snapToGrid w:val="0"/>
              <w:ind w:firstLineChars="0" w:firstLine="0"/>
              <w:jc w:val="center"/>
              <w:rPr>
                <w:b w:val="0"/>
                <w:szCs w:val="20"/>
              </w:rPr>
            </w:pPr>
            <w:r w:rsidRPr="002928E5">
              <w:rPr>
                <w:rFonts w:cstheme="minorBidi"/>
                <w:b w:val="0"/>
                <w:sz w:val="18"/>
                <w:szCs w:val="18"/>
              </w:rPr>
              <w:t>8.41</w:t>
            </w:r>
          </w:p>
        </w:tc>
        <w:tc>
          <w:tcPr>
            <w:tcW w:w="1266" w:type="dxa"/>
            <w:tcBorders>
              <w:top w:val="single" w:sz="6" w:space="0" w:color="auto"/>
              <w:left w:val="single" w:sz="6" w:space="0" w:color="auto"/>
              <w:bottom w:val="single" w:sz="6" w:space="0" w:color="auto"/>
              <w:right w:val="single" w:sz="6" w:space="0" w:color="auto"/>
            </w:tcBorders>
            <w:noWrap/>
            <w:vAlign w:val="center"/>
          </w:tcPr>
          <w:p w14:paraId="3A65C351" w14:textId="28399042" w:rsidR="003A4448" w:rsidRDefault="003A4448" w:rsidP="002928E5">
            <w:pPr>
              <w:snapToGrid w:val="0"/>
              <w:ind w:firstLineChars="0" w:firstLine="0"/>
              <w:jc w:val="center"/>
              <w:rPr>
                <w:b w:val="0"/>
                <w:szCs w:val="20"/>
              </w:rPr>
            </w:pPr>
            <w:r w:rsidRPr="002928E5">
              <w:rPr>
                <w:rFonts w:cstheme="minorBidi"/>
                <w:b w:val="0"/>
                <w:sz w:val="18"/>
                <w:szCs w:val="18"/>
              </w:rPr>
              <w:t>-81799</w:t>
            </w:r>
          </w:p>
        </w:tc>
      </w:tr>
      <w:tr w:rsidR="003A4448" w14:paraId="45079483" w14:textId="77777777" w:rsidTr="003A4448">
        <w:trPr>
          <w:trHeight w:val="527"/>
          <w:tblHeader/>
          <w:jc w:val="center"/>
        </w:trPr>
        <w:tc>
          <w:tcPr>
            <w:tcW w:w="1413" w:type="dxa"/>
            <w:vMerge/>
            <w:tcBorders>
              <w:left w:val="single" w:sz="6" w:space="0" w:color="auto"/>
              <w:bottom w:val="single" w:sz="6" w:space="0" w:color="auto"/>
              <w:right w:val="single" w:sz="6" w:space="0" w:color="auto"/>
            </w:tcBorders>
            <w:noWrap/>
            <w:vAlign w:val="center"/>
          </w:tcPr>
          <w:p w14:paraId="7BFF736E" w14:textId="07370430" w:rsidR="003A4448" w:rsidRDefault="003A4448" w:rsidP="002928E5">
            <w:pPr>
              <w:snapToGrid w:val="0"/>
              <w:ind w:firstLineChars="0" w:firstLine="0"/>
              <w:jc w:val="center"/>
              <w:rPr>
                <w:rFonts w:cstheme="minorBidi" w:hint="eastAsia"/>
                <w:b w:val="0"/>
                <w:sz w:val="18"/>
                <w:szCs w:val="18"/>
              </w:rPr>
            </w:pPr>
          </w:p>
        </w:tc>
        <w:tc>
          <w:tcPr>
            <w:tcW w:w="1469" w:type="dxa"/>
            <w:tcBorders>
              <w:top w:val="single" w:sz="6" w:space="0" w:color="auto"/>
              <w:left w:val="single" w:sz="6" w:space="0" w:color="auto"/>
              <w:bottom w:val="single" w:sz="6" w:space="0" w:color="auto"/>
              <w:right w:val="single" w:sz="6" w:space="0" w:color="auto"/>
            </w:tcBorders>
            <w:noWrap/>
            <w:vAlign w:val="center"/>
          </w:tcPr>
          <w:p w14:paraId="11FC4FE7" w14:textId="56440501" w:rsidR="003A4448" w:rsidRDefault="003A4448" w:rsidP="002928E5">
            <w:pPr>
              <w:snapToGrid w:val="0"/>
              <w:ind w:firstLineChars="0" w:firstLine="0"/>
              <w:jc w:val="center"/>
              <w:rPr>
                <w:rFonts w:cstheme="minorBidi" w:hint="eastAsia"/>
                <w:b w:val="0"/>
                <w:sz w:val="18"/>
                <w:szCs w:val="18"/>
              </w:rPr>
            </w:pPr>
            <w:r w:rsidRPr="002928E5">
              <w:rPr>
                <w:rFonts w:cstheme="minorBidi"/>
                <w:b w:val="0"/>
                <w:sz w:val="18"/>
                <w:szCs w:val="18"/>
              </w:rPr>
              <w:t>Conservative (Weibull)</w:t>
            </w:r>
          </w:p>
        </w:tc>
        <w:tc>
          <w:tcPr>
            <w:tcW w:w="1266" w:type="dxa"/>
            <w:tcBorders>
              <w:top w:val="single" w:sz="6" w:space="0" w:color="auto"/>
              <w:left w:val="single" w:sz="6" w:space="0" w:color="auto"/>
              <w:bottom w:val="single" w:sz="6" w:space="0" w:color="auto"/>
              <w:right w:val="single" w:sz="6" w:space="0" w:color="auto"/>
            </w:tcBorders>
            <w:noWrap/>
            <w:vAlign w:val="center"/>
          </w:tcPr>
          <w:p w14:paraId="5B967C22" w14:textId="0ABB6B82" w:rsidR="003A4448" w:rsidRDefault="003A4448" w:rsidP="002928E5">
            <w:pPr>
              <w:snapToGrid w:val="0"/>
              <w:ind w:firstLineChars="0" w:firstLine="0"/>
              <w:jc w:val="center"/>
              <w:rPr>
                <w:b w:val="0"/>
                <w:szCs w:val="20"/>
              </w:rPr>
            </w:pPr>
            <w:r w:rsidRPr="002928E5">
              <w:rPr>
                <w:rFonts w:cstheme="minorBidi"/>
                <w:b w:val="0"/>
                <w:sz w:val="18"/>
                <w:szCs w:val="18"/>
              </w:rPr>
              <w:t>6.03</w:t>
            </w:r>
          </w:p>
        </w:tc>
        <w:tc>
          <w:tcPr>
            <w:tcW w:w="1266" w:type="dxa"/>
            <w:tcBorders>
              <w:top w:val="single" w:sz="6" w:space="0" w:color="auto"/>
              <w:left w:val="single" w:sz="6" w:space="0" w:color="auto"/>
              <w:bottom w:val="single" w:sz="6" w:space="0" w:color="auto"/>
              <w:right w:val="single" w:sz="6" w:space="0" w:color="auto"/>
            </w:tcBorders>
            <w:noWrap/>
            <w:vAlign w:val="center"/>
          </w:tcPr>
          <w:p w14:paraId="372507C8" w14:textId="5317FE57" w:rsidR="003A4448" w:rsidRDefault="003A4448" w:rsidP="002928E5">
            <w:pPr>
              <w:snapToGrid w:val="0"/>
              <w:ind w:firstLineChars="0" w:firstLine="0"/>
              <w:jc w:val="center"/>
              <w:rPr>
                <w:b w:val="0"/>
                <w:szCs w:val="20"/>
              </w:rPr>
            </w:pPr>
            <w:r w:rsidRPr="002928E5">
              <w:rPr>
                <w:rFonts w:cstheme="minorBidi"/>
                <w:b w:val="0"/>
                <w:sz w:val="18"/>
                <w:szCs w:val="18"/>
              </w:rPr>
              <w:t>-54434</w:t>
            </w:r>
          </w:p>
        </w:tc>
      </w:tr>
    </w:tbl>
    <w:p w14:paraId="256A6AEE" w14:textId="0C3ED4A1" w:rsidR="002928E5" w:rsidRPr="002928E5" w:rsidRDefault="002928E5" w:rsidP="002928E5">
      <w:pPr>
        <w:spacing w:line="240" w:lineRule="auto"/>
        <w:ind w:firstLine="320"/>
        <w:jc w:val="left"/>
        <w:rPr>
          <w:b w:val="0"/>
          <w:sz w:val="16"/>
          <w:szCs w:val="16"/>
        </w:rPr>
      </w:pPr>
      <w:r>
        <w:rPr>
          <w:rFonts w:hint="eastAsia"/>
          <w:b w:val="0"/>
          <w:sz w:val="16"/>
          <w:szCs w:val="16"/>
        </w:rPr>
        <w:t>*</w:t>
      </w:r>
      <w:r w:rsidRPr="002928E5">
        <w:rPr>
          <w:b w:val="0"/>
          <w:sz w:val="16"/>
          <w:szCs w:val="16"/>
        </w:rPr>
        <w:t xml:space="preserve">The Base-case utilized flexible parametric models selected via AIC/BIC, while the Conservative Scenario applied the traditional Weibull distribution to restrict long-term survival tails. </w:t>
      </w:r>
    </w:p>
    <w:p w14:paraId="20532274" w14:textId="77777777" w:rsidR="006D1C3F" w:rsidRDefault="00000000">
      <w:pPr>
        <w:keepNext/>
        <w:keepLines/>
        <w:pageBreakBefore/>
        <w:spacing w:before="340" w:after="156" w:line="240" w:lineRule="auto"/>
        <w:ind w:firstLineChars="0" w:firstLine="0"/>
        <w:outlineLvl w:val="0"/>
        <w:rPr>
          <w:rFonts w:eastAsiaTheme="minorEastAsia" w:cstheme="minorBidi"/>
          <w:b w:val="0"/>
          <w:bCs w:val="0"/>
          <w:kern w:val="44"/>
        </w:rPr>
      </w:pPr>
      <w:bookmarkStart w:id="32" w:name="_Toc225844818"/>
      <w:r>
        <w:rPr>
          <w:rFonts w:eastAsia="Times New Roman" w:cstheme="minorBidi" w:hint="eastAsia"/>
          <w:b w:val="0"/>
          <w:bCs w:val="0"/>
          <w:kern w:val="44"/>
        </w:rPr>
        <w:lastRenderedPageBreak/>
        <w:t>F</w:t>
      </w:r>
      <w:r>
        <w:rPr>
          <w:rFonts w:eastAsia="Times New Roman" w:cstheme="minorBidi"/>
          <w:b w:val="0"/>
          <w:bCs w:val="0"/>
          <w:kern w:val="44"/>
        </w:rPr>
        <w:t>igure S1 Visualization and Evidence Synthesis for Treatment Strategies and Sequential Pathways</w:t>
      </w:r>
      <w:bookmarkEnd w:id="32"/>
    </w:p>
    <w:p w14:paraId="305D82F3" w14:textId="77777777" w:rsidR="006D1C3F" w:rsidRDefault="00000000">
      <w:pPr>
        <w:widowControl/>
        <w:spacing w:line="240" w:lineRule="auto"/>
        <w:ind w:firstLineChars="0" w:firstLine="0"/>
        <w:jc w:val="left"/>
        <w:rPr>
          <w:rFonts w:eastAsiaTheme="minorEastAsia" w:cstheme="minorBidi"/>
          <w:b w:val="0"/>
          <w:bCs w:val="0"/>
          <w:kern w:val="44"/>
          <w:szCs w:val="20"/>
        </w:rPr>
      </w:pPr>
      <w:r>
        <w:rPr>
          <w:rFonts w:eastAsia="Times New Roman" w:cstheme="minorBidi"/>
          <w:b w:val="0"/>
          <w:bCs w:val="0"/>
          <w:noProof/>
          <w:kern w:val="44"/>
          <w:szCs w:val="20"/>
        </w:rPr>
        <w:drawing>
          <wp:inline distT="0" distB="0" distL="0" distR="0" wp14:anchorId="1C1BE575" wp14:editId="753E7837">
            <wp:extent cx="5476875" cy="2975610"/>
            <wp:effectExtent l="0" t="0" r="0" b="0"/>
            <wp:docPr id="1475664934" name="图片 5" descr="表格, Word&#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64934" name="图片 5" descr="表格, Word&#10;&#10;AI 生成的内容可能不正确。"/>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478665" cy="2976675"/>
                    </a:xfrm>
                    <a:prstGeom prst="rect">
                      <a:avLst/>
                    </a:prstGeom>
                    <a:noFill/>
                  </pic:spPr>
                </pic:pic>
              </a:graphicData>
            </a:graphic>
          </wp:inline>
        </w:drawing>
      </w:r>
    </w:p>
    <w:p w14:paraId="0E7570B5" w14:textId="77777777" w:rsidR="006D1C3F" w:rsidRDefault="00000000">
      <w:pPr>
        <w:widowControl/>
        <w:spacing w:line="240" w:lineRule="auto"/>
        <w:ind w:firstLineChars="0" w:firstLine="0"/>
        <w:jc w:val="left"/>
        <w:rPr>
          <w:rFonts w:eastAsia="Times New Roman" w:cstheme="minorBidi"/>
          <w:b w:val="0"/>
          <w:bCs w:val="0"/>
          <w:kern w:val="44"/>
          <w:sz w:val="18"/>
          <w:szCs w:val="18"/>
        </w:rPr>
      </w:pPr>
      <w:r>
        <w:rPr>
          <w:rFonts w:eastAsia="Times New Roman" w:cstheme="minorBidi"/>
          <w:b w:val="0"/>
          <w:bCs w:val="0"/>
          <w:kern w:val="44"/>
          <w:szCs w:val="20"/>
        </w:rPr>
        <w:t xml:space="preserve">Note: Evidence source </w:t>
      </w:r>
      <w:proofErr w:type="gramStart"/>
      <w:r>
        <w:rPr>
          <w:rFonts w:eastAsia="Times New Roman" w:cstheme="minorBidi"/>
          <w:b w:val="0"/>
          <w:bCs w:val="0"/>
          <w:kern w:val="44"/>
          <w:szCs w:val="20"/>
        </w:rPr>
        <w:t>refer</w:t>
      </w:r>
      <w:proofErr w:type="gramEnd"/>
      <w:r>
        <w:rPr>
          <w:rFonts w:eastAsia="Times New Roman" w:cstheme="minorBidi"/>
          <w:b w:val="0"/>
          <w:bCs w:val="0"/>
          <w:kern w:val="44"/>
          <w:szCs w:val="20"/>
        </w:rPr>
        <w:t xml:space="preserve"> to Table S</w:t>
      </w:r>
      <w:r>
        <w:rPr>
          <w:rFonts w:asciiTheme="minorEastAsia" w:eastAsiaTheme="minorEastAsia" w:hAnsiTheme="minorEastAsia" w:cstheme="minorBidi" w:hint="eastAsia"/>
          <w:b w:val="0"/>
          <w:bCs w:val="0"/>
          <w:kern w:val="44"/>
          <w:szCs w:val="20"/>
        </w:rPr>
        <w:t>1</w:t>
      </w:r>
      <w:r>
        <w:rPr>
          <w:rFonts w:eastAsia="Times New Roman" w:cstheme="minorBidi"/>
          <w:b w:val="0"/>
          <w:bCs w:val="0"/>
          <w:kern w:val="44"/>
          <w:szCs w:val="20"/>
        </w:rPr>
        <w:t>.</w:t>
      </w:r>
    </w:p>
    <w:p w14:paraId="4A718DB8" w14:textId="77777777" w:rsidR="006D1C3F" w:rsidRDefault="00000000">
      <w:pPr>
        <w:keepNext/>
        <w:keepLines/>
        <w:pageBreakBefore/>
        <w:spacing w:before="340" w:after="156" w:line="240" w:lineRule="auto"/>
        <w:ind w:firstLineChars="0" w:firstLine="0"/>
        <w:outlineLvl w:val="0"/>
        <w:rPr>
          <w:rFonts w:eastAsia="Times New Roman" w:cstheme="minorBidi"/>
          <w:b w:val="0"/>
          <w:bCs w:val="0"/>
          <w:kern w:val="44"/>
        </w:rPr>
      </w:pPr>
      <w:bookmarkStart w:id="33" w:name="_Toc225844819"/>
      <w:r>
        <w:rPr>
          <w:rFonts w:eastAsia="Times New Roman" w:cstheme="minorBidi"/>
          <w:b w:val="0"/>
          <w:bCs w:val="0"/>
          <w:kern w:val="44"/>
        </w:rPr>
        <w:lastRenderedPageBreak/>
        <w:t>Figure S</w:t>
      </w:r>
      <w:r>
        <w:rPr>
          <w:rFonts w:asciiTheme="minorEastAsia" w:eastAsiaTheme="minorEastAsia" w:hAnsiTheme="minorEastAsia" w:cstheme="minorBidi" w:hint="eastAsia"/>
          <w:b w:val="0"/>
          <w:bCs w:val="0"/>
          <w:kern w:val="44"/>
        </w:rPr>
        <w:t>2</w:t>
      </w:r>
      <w:bookmarkEnd w:id="29"/>
      <w:r>
        <w:rPr>
          <w:rFonts w:eastAsia="Times New Roman" w:cstheme="minorBidi"/>
          <w:b w:val="0"/>
          <w:bCs w:val="0"/>
          <w:kern w:val="44"/>
        </w:rPr>
        <w:t xml:space="preserve"> Modeled Relative Efficacy between Sequential Therapies Based on Survival Data</w:t>
      </w:r>
      <w:bookmarkEnd w:id="33"/>
    </w:p>
    <w:tbl>
      <w:tblPr>
        <w:tblStyle w:val="2"/>
        <w:tblpPr w:leftFromText="180" w:rightFromText="180" w:vertAnchor="text" w:horzAnchor="page" w:tblpX="1809" w:tblpY="18"/>
        <w:tblOverlap w:val="never"/>
        <w:tblW w:w="0" w:type="auto"/>
        <w:tblInd w:w="0" w:type="dxa"/>
        <w:tblBorders>
          <w:insideH w:val="none" w:sz="0" w:space="0" w:color="auto"/>
          <w:insideV w:val="none" w:sz="0" w:space="0" w:color="auto"/>
        </w:tblBorders>
        <w:tblCellMar>
          <w:left w:w="108" w:type="dxa"/>
          <w:right w:w="108" w:type="dxa"/>
        </w:tblCellMar>
        <w:tblLook w:val="04A0" w:firstRow="1" w:lastRow="0" w:firstColumn="1" w:lastColumn="0" w:noHBand="0" w:noVBand="1"/>
      </w:tblPr>
      <w:tblGrid>
        <w:gridCol w:w="8296"/>
      </w:tblGrid>
      <w:tr w:rsidR="006D1C3F" w14:paraId="755E0DE3" w14:textId="77777777">
        <w:tc>
          <w:tcPr>
            <w:tcW w:w="8522" w:type="dxa"/>
          </w:tcPr>
          <w:p w14:paraId="0156AE01" w14:textId="77777777" w:rsidR="006D1C3F" w:rsidRDefault="00000000">
            <w:pPr>
              <w:spacing w:line="240" w:lineRule="auto"/>
              <w:ind w:firstLineChars="0" w:firstLine="0"/>
              <w:rPr>
                <w:b w:val="0"/>
                <w:bCs w:val="0"/>
                <w:sz w:val="21"/>
              </w:rPr>
            </w:pPr>
            <w:r>
              <w:rPr>
                <w:rFonts w:hint="eastAsia"/>
                <w:sz w:val="21"/>
              </w:rPr>
              <w:t>OS</w:t>
            </w:r>
          </w:p>
        </w:tc>
      </w:tr>
      <w:tr w:rsidR="006D1C3F" w14:paraId="3FA30211" w14:textId="77777777">
        <w:tc>
          <w:tcPr>
            <w:tcW w:w="8522" w:type="dxa"/>
          </w:tcPr>
          <w:p w14:paraId="3447C024" w14:textId="77777777" w:rsidR="006D1C3F" w:rsidRDefault="00000000">
            <w:pPr>
              <w:spacing w:line="240" w:lineRule="auto"/>
              <w:ind w:firstLineChars="0" w:firstLine="0"/>
              <w:jc w:val="center"/>
              <w:rPr>
                <w:b w:val="0"/>
                <w:bCs w:val="0"/>
                <w:sz w:val="21"/>
              </w:rPr>
            </w:pPr>
            <w:r>
              <w:rPr>
                <w:rFonts w:hint="eastAsia"/>
                <w:b w:val="0"/>
                <w:bCs w:val="0"/>
                <w:sz w:val="21"/>
              </w:rPr>
              <w:t>A</w:t>
            </w:r>
          </w:p>
        </w:tc>
      </w:tr>
      <w:tr w:rsidR="006D1C3F" w14:paraId="02E491CC" w14:textId="77777777">
        <w:tc>
          <w:tcPr>
            <w:tcW w:w="8522" w:type="dxa"/>
          </w:tcPr>
          <w:p w14:paraId="6B93099C" w14:textId="77777777" w:rsidR="006D1C3F" w:rsidRDefault="00000000">
            <w:pPr>
              <w:spacing w:line="240" w:lineRule="auto"/>
              <w:ind w:firstLineChars="0" w:firstLine="0"/>
              <w:jc w:val="left"/>
              <w:rPr>
                <w:b w:val="0"/>
                <w:bCs w:val="0"/>
                <w:sz w:val="21"/>
              </w:rPr>
            </w:pPr>
            <w:r>
              <w:rPr>
                <w:rFonts w:ascii="等线" w:eastAsia="等线" w:hAnsi="等线"/>
                <w:b w:val="0"/>
                <w:bCs w:val="0"/>
                <w:noProof/>
                <w:sz w:val="21"/>
                <w:szCs w:val="22"/>
              </w:rPr>
              <w:drawing>
                <wp:inline distT="0" distB="0" distL="114300" distR="114300" wp14:anchorId="7896D774" wp14:editId="4DD4788C">
                  <wp:extent cx="5004435" cy="3900170"/>
                  <wp:effectExtent l="0" t="0" r="5715" b="508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5"/>
                          <a:stretch>
                            <a:fillRect/>
                          </a:stretch>
                        </pic:blipFill>
                        <pic:spPr>
                          <a:xfrm>
                            <a:off x="0" y="0"/>
                            <a:ext cx="5004435" cy="3900170"/>
                          </a:xfrm>
                          <a:prstGeom prst="rect">
                            <a:avLst/>
                          </a:prstGeom>
                          <a:noFill/>
                          <a:ln>
                            <a:noFill/>
                          </a:ln>
                        </pic:spPr>
                      </pic:pic>
                    </a:graphicData>
                  </a:graphic>
                </wp:inline>
              </w:drawing>
            </w:r>
          </w:p>
        </w:tc>
      </w:tr>
      <w:tr w:rsidR="006D1C3F" w14:paraId="1A3D2EED" w14:textId="77777777">
        <w:tc>
          <w:tcPr>
            <w:tcW w:w="8522" w:type="dxa"/>
          </w:tcPr>
          <w:p w14:paraId="15B9F6C9" w14:textId="77777777" w:rsidR="006D1C3F" w:rsidRDefault="00000000">
            <w:pPr>
              <w:spacing w:line="240" w:lineRule="auto"/>
              <w:ind w:firstLineChars="0" w:firstLine="0"/>
              <w:jc w:val="center"/>
              <w:rPr>
                <w:b w:val="0"/>
                <w:bCs w:val="0"/>
                <w:sz w:val="21"/>
              </w:rPr>
            </w:pPr>
            <w:r>
              <w:rPr>
                <w:rFonts w:hint="eastAsia"/>
                <w:b w:val="0"/>
                <w:bCs w:val="0"/>
                <w:sz w:val="21"/>
              </w:rPr>
              <w:t>B</w:t>
            </w:r>
          </w:p>
        </w:tc>
      </w:tr>
      <w:tr w:rsidR="006D1C3F" w14:paraId="3E1A2C2F" w14:textId="77777777">
        <w:tc>
          <w:tcPr>
            <w:tcW w:w="8522" w:type="dxa"/>
          </w:tcPr>
          <w:p w14:paraId="383E0387" w14:textId="77777777" w:rsidR="006D1C3F" w:rsidRDefault="00000000">
            <w:pPr>
              <w:spacing w:line="240" w:lineRule="auto"/>
              <w:ind w:firstLineChars="0" w:firstLine="0"/>
              <w:jc w:val="center"/>
              <w:rPr>
                <w:b w:val="0"/>
                <w:bCs w:val="0"/>
                <w:sz w:val="21"/>
              </w:rPr>
            </w:pPr>
            <w:r>
              <w:rPr>
                <w:rFonts w:ascii="等线" w:eastAsia="等线" w:hAnsi="等线"/>
                <w:b w:val="0"/>
                <w:bCs w:val="0"/>
                <w:noProof/>
                <w:sz w:val="21"/>
                <w:szCs w:val="22"/>
              </w:rPr>
              <w:lastRenderedPageBreak/>
              <w:drawing>
                <wp:inline distT="0" distB="0" distL="114300" distR="114300" wp14:anchorId="6B2172FD" wp14:editId="7D4555D5">
                  <wp:extent cx="5271135" cy="3785870"/>
                  <wp:effectExtent l="0" t="0" r="5715" b="5080"/>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16"/>
                          <a:stretch>
                            <a:fillRect/>
                          </a:stretch>
                        </pic:blipFill>
                        <pic:spPr>
                          <a:xfrm>
                            <a:off x="0" y="0"/>
                            <a:ext cx="5271135" cy="3785870"/>
                          </a:xfrm>
                          <a:prstGeom prst="rect">
                            <a:avLst/>
                          </a:prstGeom>
                          <a:noFill/>
                          <a:ln>
                            <a:noFill/>
                          </a:ln>
                        </pic:spPr>
                      </pic:pic>
                    </a:graphicData>
                  </a:graphic>
                </wp:inline>
              </w:drawing>
            </w:r>
          </w:p>
        </w:tc>
      </w:tr>
      <w:tr w:rsidR="006D1C3F" w14:paraId="4B7E82E2" w14:textId="77777777">
        <w:tc>
          <w:tcPr>
            <w:tcW w:w="8522" w:type="dxa"/>
          </w:tcPr>
          <w:p w14:paraId="0D1DCE42" w14:textId="77777777" w:rsidR="006D1C3F" w:rsidRDefault="00000000">
            <w:pPr>
              <w:spacing w:line="240" w:lineRule="auto"/>
              <w:ind w:firstLineChars="0" w:firstLine="0"/>
              <w:jc w:val="center"/>
              <w:rPr>
                <w:b w:val="0"/>
                <w:bCs w:val="0"/>
                <w:sz w:val="21"/>
              </w:rPr>
            </w:pPr>
            <w:r>
              <w:rPr>
                <w:rFonts w:hint="eastAsia"/>
                <w:b w:val="0"/>
                <w:bCs w:val="0"/>
                <w:sz w:val="21"/>
              </w:rPr>
              <w:t>C</w:t>
            </w:r>
          </w:p>
        </w:tc>
      </w:tr>
      <w:tr w:rsidR="006D1C3F" w14:paraId="6B0598DB" w14:textId="77777777">
        <w:tc>
          <w:tcPr>
            <w:tcW w:w="8522" w:type="dxa"/>
          </w:tcPr>
          <w:p w14:paraId="4F6FE7D3" w14:textId="77777777" w:rsidR="006D1C3F" w:rsidRDefault="00000000">
            <w:pPr>
              <w:spacing w:line="240" w:lineRule="auto"/>
              <w:ind w:firstLineChars="0" w:firstLine="0"/>
              <w:jc w:val="center"/>
              <w:rPr>
                <w:rFonts w:ascii="Calibri" w:hAnsi="Calibri"/>
                <w:b w:val="0"/>
                <w:bCs w:val="0"/>
                <w:sz w:val="21"/>
              </w:rPr>
            </w:pPr>
            <w:r>
              <w:rPr>
                <w:rFonts w:ascii="等线" w:eastAsia="等线" w:hAnsi="等线"/>
                <w:b w:val="0"/>
                <w:bCs w:val="0"/>
                <w:noProof/>
                <w:sz w:val="21"/>
                <w:szCs w:val="22"/>
              </w:rPr>
              <w:drawing>
                <wp:inline distT="0" distB="0" distL="114300" distR="114300" wp14:anchorId="67FACB61" wp14:editId="1B5943F3">
                  <wp:extent cx="5210810" cy="3934460"/>
                  <wp:effectExtent l="0" t="0" r="8890" b="889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17"/>
                          <a:stretch>
                            <a:fillRect/>
                          </a:stretch>
                        </pic:blipFill>
                        <pic:spPr>
                          <a:xfrm>
                            <a:off x="0" y="0"/>
                            <a:ext cx="5210810" cy="3934460"/>
                          </a:xfrm>
                          <a:prstGeom prst="rect">
                            <a:avLst/>
                          </a:prstGeom>
                          <a:noFill/>
                          <a:ln>
                            <a:noFill/>
                          </a:ln>
                        </pic:spPr>
                      </pic:pic>
                    </a:graphicData>
                  </a:graphic>
                </wp:inline>
              </w:drawing>
            </w:r>
          </w:p>
          <w:p w14:paraId="131D6DAF" w14:textId="77777777" w:rsidR="006D1C3F" w:rsidRDefault="00000000">
            <w:pPr>
              <w:shd w:val="clear" w:color="auto" w:fill="FFFFFF"/>
              <w:spacing w:before="100" w:beforeAutospacing="1" w:after="156" w:afterAutospacing="1" w:line="240" w:lineRule="auto"/>
              <w:ind w:firstLineChars="0" w:firstLine="0"/>
              <w:rPr>
                <w:rFonts w:ascii="Calibri" w:hAnsi="Calibri"/>
                <w:b w:val="0"/>
                <w:bCs w:val="0"/>
                <w:sz w:val="21"/>
              </w:rPr>
            </w:pPr>
            <w:r>
              <w:rPr>
                <w:rFonts w:hint="eastAsia"/>
                <w:b w:val="0"/>
                <w:bCs w:val="0"/>
                <w:color w:val="000000"/>
                <w:kern w:val="0"/>
                <w:sz w:val="16"/>
                <w:szCs w:val="16"/>
                <w:lang w:bidi="ar"/>
              </w:rPr>
              <w:t xml:space="preserve">* </w:t>
            </w:r>
            <w:r>
              <w:rPr>
                <w:rFonts w:eastAsia="TimesNewRomanPSMT"/>
                <w:b w:val="0"/>
                <w:bCs w:val="0"/>
                <w:szCs w:val="20"/>
              </w:rPr>
              <w:t>Due to the large number of 35 sequential pathways, we divided them into three groups based on their median overall survival (</w:t>
            </w:r>
            <w:r>
              <w:rPr>
                <w:rFonts w:eastAsia="TimesNewRomanPSMT" w:hint="eastAsia"/>
                <w:b w:val="0"/>
                <w:bCs w:val="0"/>
                <w:szCs w:val="20"/>
              </w:rPr>
              <w:t>median OS</w:t>
            </w:r>
            <w:r>
              <w:rPr>
                <w:rFonts w:eastAsia="TimesNewRomanPSMT"/>
                <w:b w:val="0"/>
                <w:bCs w:val="0"/>
                <w:szCs w:val="20"/>
              </w:rPr>
              <w:t>):</w:t>
            </w:r>
            <w:r>
              <w:rPr>
                <w:rFonts w:eastAsia="TimesNewRomanPSMT" w:hint="eastAsia"/>
                <w:b w:val="0"/>
                <w:bCs w:val="0"/>
                <w:szCs w:val="20"/>
              </w:rPr>
              <w:t xml:space="preserve"> </w:t>
            </w:r>
            <w:r>
              <w:rPr>
                <w:rFonts w:eastAsia="TimesNewRomanPSMT"/>
                <w:b w:val="0"/>
                <w:bCs w:val="0"/>
                <w:szCs w:val="20"/>
              </w:rPr>
              <w:t xml:space="preserve">Group A comprised the top 11 pathways with the highest </w:t>
            </w:r>
            <w:r>
              <w:rPr>
                <w:rFonts w:eastAsia="TimesNewRomanPSMT" w:hint="eastAsia"/>
                <w:b w:val="0"/>
                <w:bCs w:val="0"/>
                <w:szCs w:val="20"/>
              </w:rPr>
              <w:t xml:space="preserve">median </w:t>
            </w:r>
            <w:r>
              <w:rPr>
                <w:rFonts w:eastAsia="TimesNewRomanPSMT" w:hint="eastAsia"/>
                <w:b w:val="0"/>
                <w:bCs w:val="0"/>
                <w:szCs w:val="20"/>
              </w:rPr>
              <w:lastRenderedPageBreak/>
              <w:t>OS</w:t>
            </w:r>
            <w:r>
              <w:rPr>
                <w:rFonts w:eastAsia="TimesNewRomanPSMT"/>
                <w:b w:val="0"/>
                <w:bCs w:val="0"/>
                <w:szCs w:val="20"/>
              </w:rPr>
              <w:t>,</w:t>
            </w:r>
            <w:r>
              <w:rPr>
                <w:rFonts w:eastAsia="TimesNewRomanPSMT" w:hint="eastAsia"/>
                <w:b w:val="0"/>
                <w:bCs w:val="0"/>
                <w:szCs w:val="20"/>
              </w:rPr>
              <w:t xml:space="preserve"> </w:t>
            </w:r>
            <w:r>
              <w:rPr>
                <w:rFonts w:eastAsia="TimesNewRomanPSMT"/>
                <w:b w:val="0"/>
                <w:bCs w:val="0"/>
                <w:szCs w:val="20"/>
              </w:rPr>
              <w:t xml:space="preserve">Group B included pathways ranked 12 to 23, and Group C consisted of pathways ranked 24 to 35 with the lowest </w:t>
            </w:r>
            <w:r>
              <w:rPr>
                <w:rFonts w:eastAsia="TimesNewRomanPSMT" w:hint="eastAsia"/>
                <w:b w:val="0"/>
                <w:bCs w:val="0"/>
                <w:szCs w:val="20"/>
              </w:rPr>
              <w:t>median OS</w:t>
            </w:r>
            <w:r>
              <w:rPr>
                <w:rFonts w:eastAsia="TimesNewRomanPSMT" w:hint="eastAsia"/>
                <w:b w:val="0"/>
                <w:bCs w:val="0"/>
                <w:szCs w:val="20"/>
              </w:rPr>
              <w:t>（</w:t>
            </w:r>
            <w:proofErr w:type="spellStart"/>
            <w:r>
              <w:rPr>
                <w:rFonts w:eastAsia="TimesNewRomanPSMT" w:hint="eastAsia"/>
                <w:b w:val="0"/>
                <w:bCs w:val="0"/>
                <w:szCs w:val="20"/>
              </w:rPr>
              <w:t>OS</w:t>
            </w:r>
            <w:proofErr w:type="spellEnd"/>
            <w:r>
              <w:rPr>
                <w:rFonts w:eastAsia="TimesNewRomanPSMT" w:hint="eastAsia"/>
                <w:b w:val="0"/>
                <w:bCs w:val="0"/>
                <w:szCs w:val="20"/>
              </w:rPr>
              <w:t xml:space="preserve">, overall survival; Ale, </w:t>
            </w:r>
            <w:proofErr w:type="spellStart"/>
            <w:r>
              <w:rPr>
                <w:rFonts w:eastAsia="TimesNewRomanPSMT" w:hint="eastAsia"/>
                <w:b w:val="0"/>
                <w:bCs w:val="0"/>
                <w:szCs w:val="20"/>
              </w:rPr>
              <w:t>Alectinib</w:t>
            </w:r>
            <w:proofErr w:type="spellEnd"/>
            <w:r>
              <w:rPr>
                <w:rFonts w:eastAsia="TimesNewRomanPSMT" w:hint="eastAsia"/>
                <w:b w:val="0"/>
                <w:bCs w:val="0"/>
                <w:szCs w:val="20"/>
              </w:rPr>
              <w:t xml:space="preserve">; Bri, </w:t>
            </w:r>
            <w:proofErr w:type="spellStart"/>
            <w:r>
              <w:rPr>
                <w:rFonts w:eastAsia="TimesNewRomanPSMT" w:hint="eastAsia"/>
                <w:b w:val="0"/>
                <w:bCs w:val="0"/>
                <w:szCs w:val="20"/>
              </w:rPr>
              <w:t>Brigatinib</w:t>
            </w:r>
            <w:proofErr w:type="spellEnd"/>
            <w:r>
              <w:rPr>
                <w:rFonts w:eastAsia="TimesNewRomanPSMT" w:hint="eastAsia"/>
                <w:b w:val="0"/>
                <w:bCs w:val="0"/>
                <w:szCs w:val="20"/>
              </w:rPr>
              <w:t xml:space="preserve">; Cer, </w:t>
            </w:r>
            <w:proofErr w:type="spellStart"/>
            <w:r>
              <w:rPr>
                <w:rFonts w:eastAsia="TimesNewRomanPSMT" w:hint="eastAsia"/>
                <w:b w:val="0"/>
                <w:bCs w:val="0"/>
                <w:szCs w:val="20"/>
              </w:rPr>
              <w:t>Ceritinib</w:t>
            </w:r>
            <w:proofErr w:type="spellEnd"/>
            <w:r>
              <w:rPr>
                <w:rFonts w:eastAsia="TimesNewRomanPSMT" w:hint="eastAsia"/>
                <w:b w:val="0"/>
                <w:bCs w:val="0"/>
                <w:szCs w:val="20"/>
              </w:rPr>
              <w:t xml:space="preserve">; Che, Chemotherapy; Cri, Crizotinib; Ens, </w:t>
            </w:r>
            <w:proofErr w:type="spellStart"/>
            <w:r>
              <w:rPr>
                <w:rFonts w:eastAsia="TimesNewRomanPSMT" w:hint="eastAsia"/>
                <w:b w:val="0"/>
                <w:bCs w:val="0"/>
                <w:szCs w:val="20"/>
              </w:rPr>
              <w:t>Ensartinib</w:t>
            </w:r>
            <w:proofErr w:type="spellEnd"/>
            <w:r>
              <w:rPr>
                <w:rFonts w:eastAsia="TimesNewRomanPSMT" w:hint="eastAsia"/>
                <w:b w:val="0"/>
                <w:bCs w:val="0"/>
                <w:szCs w:val="20"/>
              </w:rPr>
              <w:t xml:space="preserve">; Env, </w:t>
            </w:r>
            <w:proofErr w:type="spellStart"/>
            <w:r>
              <w:rPr>
                <w:rFonts w:eastAsia="TimesNewRomanPSMT" w:hint="eastAsia"/>
                <w:b w:val="0"/>
                <w:bCs w:val="0"/>
                <w:szCs w:val="20"/>
              </w:rPr>
              <w:t>Envonalkib</w:t>
            </w:r>
            <w:proofErr w:type="spellEnd"/>
            <w:r>
              <w:rPr>
                <w:rFonts w:eastAsia="TimesNewRomanPSMT" w:hint="eastAsia"/>
                <w:b w:val="0"/>
                <w:bCs w:val="0"/>
                <w:szCs w:val="20"/>
              </w:rPr>
              <w:t xml:space="preserve">; </w:t>
            </w:r>
            <w:proofErr w:type="spellStart"/>
            <w:r>
              <w:rPr>
                <w:rFonts w:eastAsia="TimesNewRomanPSMT" w:hint="eastAsia"/>
                <w:b w:val="0"/>
                <w:bCs w:val="0"/>
                <w:szCs w:val="20"/>
              </w:rPr>
              <w:t>Iru</w:t>
            </w:r>
            <w:proofErr w:type="spellEnd"/>
            <w:r>
              <w:rPr>
                <w:rFonts w:eastAsia="TimesNewRomanPSMT" w:hint="eastAsia"/>
                <w:b w:val="0"/>
                <w:bCs w:val="0"/>
                <w:szCs w:val="20"/>
              </w:rPr>
              <w:t xml:space="preserve">, </w:t>
            </w:r>
            <w:proofErr w:type="spellStart"/>
            <w:r>
              <w:rPr>
                <w:rFonts w:eastAsia="TimesNewRomanPSMT" w:hint="eastAsia"/>
                <w:b w:val="0"/>
                <w:bCs w:val="0"/>
                <w:szCs w:val="20"/>
              </w:rPr>
              <w:t>Iruplinalkib</w:t>
            </w:r>
            <w:proofErr w:type="spellEnd"/>
            <w:r>
              <w:rPr>
                <w:rFonts w:eastAsia="TimesNewRomanPSMT" w:hint="eastAsia"/>
                <w:b w:val="0"/>
                <w:bCs w:val="0"/>
                <w:szCs w:val="20"/>
              </w:rPr>
              <w:t xml:space="preserve">; Lor, </w:t>
            </w:r>
            <w:proofErr w:type="spellStart"/>
            <w:r>
              <w:rPr>
                <w:rFonts w:eastAsia="TimesNewRomanPSMT" w:hint="eastAsia"/>
                <w:b w:val="0"/>
                <w:bCs w:val="0"/>
                <w:szCs w:val="20"/>
              </w:rPr>
              <w:t>Lorlatinib</w:t>
            </w:r>
            <w:proofErr w:type="spellEnd"/>
            <w:r>
              <w:rPr>
                <w:rFonts w:eastAsia="TimesNewRomanPSMT" w:hint="eastAsia"/>
                <w:b w:val="0"/>
                <w:bCs w:val="0"/>
                <w:szCs w:val="20"/>
              </w:rPr>
              <w:t xml:space="preserve">; </w:t>
            </w:r>
            <w:proofErr w:type="spellStart"/>
            <w:r>
              <w:rPr>
                <w:rFonts w:eastAsia="TimesNewRomanPSMT" w:hint="eastAsia"/>
                <w:b w:val="0"/>
                <w:bCs w:val="0"/>
                <w:szCs w:val="20"/>
              </w:rPr>
              <w:t>BSC,Best</w:t>
            </w:r>
            <w:proofErr w:type="spellEnd"/>
            <w:r>
              <w:rPr>
                <w:rFonts w:eastAsia="TimesNewRomanPSMT" w:hint="eastAsia"/>
                <w:b w:val="0"/>
                <w:bCs w:val="0"/>
                <w:szCs w:val="20"/>
              </w:rPr>
              <w:t xml:space="preserve"> Supportive Care.</w:t>
            </w:r>
            <w:r>
              <w:rPr>
                <w:rFonts w:eastAsia="TimesNewRomanPSMT" w:hint="eastAsia"/>
                <w:b w:val="0"/>
                <w:bCs w:val="0"/>
                <w:szCs w:val="20"/>
              </w:rPr>
              <w:t>）</w:t>
            </w:r>
            <w:r>
              <w:rPr>
                <w:rFonts w:eastAsia="TimesNewRomanPSMT" w:hint="eastAsia"/>
                <w:b w:val="0"/>
                <w:bCs w:val="0"/>
                <w:szCs w:val="20"/>
              </w:rPr>
              <w:t xml:space="preserve"> </w:t>
            </w:r>
          </w:p>
        </w:tc>
      </w:tr>
    </w:tbl>
    <w:p w14:paraId="50C5F1EF" w14:textId="77777777" w:rsidR="006D1C3F" w:rsidRDefault="00000000">
      <w:pPr>
        <w:keepNext/>
        <w:keepLines/>
        <w:pageBreakBefore/>
        <w:spacing w:before="340" w:after="156" w:line="240" w:lineRule="auto"/>
        <w:ind w:firstLineChars="0" w:firstLine="0"/>
        <w:outlineLvl w:val="0"/>
        <w:rPr>
          <w:rFonts w:eastAsia="Times New Roman" w:cstheme="minorBidi"/>
          <w:b w:val="0"/>
          <w:bCs w:val="0"/>
          <w:kern w:val="44"/>
        </w:rPr>
      </w:pPr>
      <w:bookmarkStart w:id="34" w:name="_Toc225844820"/>
      <w:r>
        <w:rPr>
          <w:rFonts w:eastAsia="Times New Roman" w:cstheme="minorBidi"/>
          <w:b w:val="0"/>
          <w:bCs w:val="0"/>
          <w:kern w:val="44"/>
        </w:rPr>
        <w:lastRenderedPageBreak/>
        <w:t xml:space="preserve">Figure </w:t>
      </w:r>
      <w:r>
        <w:rPr>
          <w:rFonts w:eastAsia="Times New Roman" w:cstheme="minorBidi" w:hint="eastAsia"/>
          <w:b w:val="0"/>
          <w:bCs w:val="0"/>
          <w:kern w:val="44"/>
        </w:rPr>
        <w:t>S</w:t>
      </w:r>
      <w:bookmarkEnd w:id="24"/>
      <w:r>
        <w:rPr>
          <w:rFonts w:asciiTheme="minorEastAsia" w:eastAsiaTheme="minorEastAsia" w:hAnsiTheme="minorEastAsia" w:cstheme="minorBidi" w:hint="eastAsia"/>
          <w:b w:val="0"/>
          <w:bCs w:val="0"/>
          <w:kern w:val="44"/>
        </w:rPr>
        <w:t>3</w:t>
      </w:r>
      <w:r>
        <w:rPr>
          <w:rFonts w:eastAsia="Times New Roman" w:cstheme="minorBidi"/>
          <w:b w:val="0"/>
          <w:bCs w:val="0"/>
          <w:kern w:val="44"/>
        </w:rPr>
        <w:t xml:space="preserve"> Sequential Path</w:t>
      </w:r>
      <w:r>
        <w:rPr>
          <w:rFonts w:eastAsiaTheme="minorEastAsia" w:cstheme="minorBidi" w:hint="eastAsia"/>
          <w:b w:val="0"/>
          <w:bCs w:val="0"/>
          <w:kern w:val="44"/>
        </w:rPr>
        <w:t>ways</w:t>
      </w:r>
      <w:r>
        <w:rPr>
          <w:rFonts w:eastAsia="Times New Roman" w:cstheme="minorBidi"/>
          <w:b w:val="0"/>
          <w:bCs w:val="0"/>
          <w:kern w:val="44"/>
        </w:rPr>
        <w:t xml:space="preserve"> Structure</w:t>
      </w:r>
      <w:bookmarkEnd w:id="34"/>
    </w:p>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6D1C3F" w14:paraId="128F849F" w14:textId="77777777">
        <w:trPr>
          <w:trHeight w:val="326"/>
          <w:jc w:val="center"/>
        </w:trPr>
        <w:tc>
          <w:tcPr>
            <w:tcW w:w="5000" w:type="pct"/>
          </w:tcPr>
          <w:p w14:paraId="54DF38B6" w14:textId="77777777" w:rsidR="006D1C3F" w:rsidRDefault="00000000">
            <w:pPr>
              <w:pStyle w:val="af"/>
              <w:ind w:firstLineChars="0" w:firstLine="0"/>
              <w:jc w:val="left"/>
            </w:pPr>
            <w:r>
              <w:rPr>
                <w:rFonts w:hint="eastAsia"/>
                <w:noProof/>
              </w:rPr>
              <w:drawing>
                <wp:inline distT="0" distB="0" distL="114300" distR="114300" wp14:anchorId="4A90707B" wp14:editId="22380929">
                  <wp:extent cx="5265420" cy="6470015"/>
                  <wp:effectExtent l="0" t="0" r="190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8"/>
                          <a:stretch>
                            <a:fillRect/>
                          </a:stretch>
                        </pic:blipFill>
                        <pic:spPr>
                          <a:xfrm>
                            <a:off x="0" y="0"/>
                            <a:ext cx="5265420" cy="6470015"/>
                          </a:xfrm>
                          <a:prstGeom prst="rect">
                            <a:avLst/>
                          </a:prstGeom>
                          <a:noFill/>
                          <a:ln>
                            <a:noFill/>
                          </a:ln>
                        </pic:spPr>
                      </pic:pic>
                    </a:graphicData>
                  </a:graphic>
                </wp:inline>
              </w:drawing>
            </w:r>
          </w:p>
        </w:tc>
      </w:tr>
    </w:tbl>
    <w:p w14:paraId="26DF8DD2" w14:textId="77777777" w:rsidR="006D1C3F" w:rsidRDefault="006D1C3F"/>
    <w:p w14:paraId="695084C2" w14:textId="77777777" w:rsidR="006D1C3F" w:rsidRDefault="00000000">
      <w:pPr>
        <w:keepNext/>
        <w:keepLines/>
        <w:pageBreakBefore/>
        <w:spacing w:before="340" w:after="156" w:line="240" w:lineRule="auto"/>
        <w:ind w:firstLineChars="0" w:firstLine="0"/>
        <w:outlineLvl w:val="0"/>
        <w:rPr>
          <w:rFonts w:eastAsia="Times New Roman" w:cstheme="minorBidi"/>
          <w:b w:val="0"/>
          <w:bCs w:val="0"/>
          <w:kern w:val="44"/>
        </w:rPr>
      </w:pPr>
      <w:bookmarkStart w:id="35" w:name="_Hlk211978260"/>
      <w:bookmarkStart w:id="36" w:name="_Toc225844821"/>
      <w:r>
        <w:rPr>
          <w:rFonts w:eastAsia="Times New Roman" w:cstheme="minorBidi"/>
          <w:b w:val="0"/>
          <w:bCs w:val="0"/>
          <w:kern w:val="44"/>
        </w:rPr>
        <w:lastRenderedPageBreak/>
        <w:t xml:space="preserve">Figure </w:t>
      </w:r>
      <w:r>
        <w:rPr>
          <w:rFonts w:eastAsia="Times New Roman" w:cstheme="minorBidi" w:hint="eastAsia"/>
          <w:b w:val="0"/>
          <w:bCs w:val="0"/>
          <w:kern w:val="44"/>
        </w:rPr>
        <w:t>S</w:t>
      </w:r>
      <w:r>
        <w:rPr>
          <w:rFonts w:cstheme="minorBidi" w:hint="eastAsia"/>
          <w:b w:val="0"/>
          <w:bCs w:val="0"/>
          <w:kern w:val="44"/>
        </w:rPr>
        <w:t>4</w:t>
      </w:r>
      <w:bookmarkEnd w:id="35"/>
      <w:r>
        <w:rPr>
          <w:rFonts w:eastAsia="Times New Roman" w:cstheme="minorBidi" w:hint="eastAsia"/>
          <w:b w:val="0"/>
          <w:bCs w:val="0"/>
          <w:kern w:val="44"/>
        </w:rPr>
        <w:t xml:space="preserve"> Cost-Effectiveness Results</w:t>
      </w:r>
      <w:bookmarkEnd w:id="36"/>
    </w:p>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6D1C3F" w14:paraId="0C9F254C" w14:textId="77777777">
        <w:trPr>
          <w:trHeight w:val="326"/>
          <w:jc w:val="center"/>
        </w:trPr>
        <w:tc>
          <w:tcPr>
            <w:tcW w:w="5000" w:type="pct"/>
          </w:tcPr>
          <w:tbl>
            <w:tblPr>
              <w:tblStyle w:val="aa"/>
              <w:tblW w:w="0" w:type="auto"/>
              <w:tblLook w:val="04A0" w:firstRow="1" w:lastRow="0" w:firstColumn="1" w:lastColumn="0" w:noHBand="0" w:noVBand="1"/>
            </w:tblPr>
            <w:tblGrid>
              <w:gridCol w:w="8080"/>
            </w:tblGrid>
            <w:tr w:rsidR="006D1C3F" w14:paraId="5206FE14" w14:textId="77777777">
              <w:tc>
                <w:tcPr>
                  <w:tcW w:w="8522" w:type="dxa"/>
                  <w:tcBorders>
                    <w:top w:val="single" w:sz="4" w:space="0" w:color="auto"/>
                    <w:left w:val="single" w:sz="4" w:space="0" w:color="auto"/>
                    <w:bottom w:val="nil"/>
                    <w:right w:val="single" w:sz="4" w:space="0" w:color="auto"/>
                  </w:tcBorders>
                </w:tcPr>
                <w:p w14:paraId="5101EDA7" w14:textId="77777777" w:rsidR="006D1C3F" w:rsidRDefault="00000000">
                  <w:pPr>
                    <w:widowControl/>
                    <w:ind w:firstLine="408"/>
                    <w:jc w:val="center"/>
                    <w:rPr>
                      <w:rFonts w:eastAsia="Adobe 黑体 Std R"/>
                      <w:szCs w:val="20"/>
                    </w:rPr>
                  </w:pPr>
                  <w:r>
                    <w:rPr>
                      <w:rFonts w:eastAsia="Adobe 黑体 Std R" w:hint="eastAsia"/>
                      <w:szCs w:val="20"/>
                      <w:lang w:bidi="ar"/>
                    </w:rPr>
                    <w:t>A</w:t>
                  </w:r>
                </w:p>
              </w:tc>
            </w:tr>
            <w:tr w:rsidR="006D1C3F" w14:paraId="5C48A946" w14:textId="77777777">
              <w:tc>
                <w:tcPr>
                  <w:tcW w:w="8522" w:type="dxa"/>
                  <w:tcBorders>
                    <w:top w:val="nil"/>
                    <w:left w:val="single" w:sz="4" w:space="0" w:color="auto"/>
                    <w:bottom w:val="nil"/>
                    <w:right w:val="single" w:sz="4" w:space="0" w:color="auto"/>
                  </w:tcBorders>
                </w:tcPr>
                <w:p w14:paraId="714E1A02" w14:textId="77777777" w:rsidR="006D1C3F" w:rsidRDefault="00000000">
                  <w:pPr>
                    <w:widowControl/>
                    <w:ind w:firstLine="400"/>
                    <w:jc w:val="left"/>
                    <w:rPr>
                      <w:rFonts w:eastAsia="Adobe 黑体 Std R"/>
                      <w:szCs w:val="20"/>
                    </w:rPr>
                  </w:pPr>
                  <w:r>
                    <w:rPr>
                      <w:rFonts w:eastAsia="等线" w:hint="eastAsia"/>
                      <w:noProof/>
                      <w:szCs w:val="20"/>
                      <w:lang w:bidi="ar"/>
                    </w:rPr>
                    <w:drawing>
                      <wp:inline distT="0" distB="0" distL="114300" distR="114300" wp14:anchorId="5AC421A4" wp14:editId="314B6FD0">
                        <wp:extent cx="4695825" cy="2049780"/>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4695825" cy="2049780"/>
                                </a:xfrm>
                                <a:prstGeom prst="rect">
                                  <a:avLst/>
                                </a:prstGeom>
                                <a:noFill/>
                                <a:ln>
                                  <a:noFill/>
                                </a:ln>
                              </pic:spPr>
                            </pic:pic>
                          </a:graphicData>
                        </a:graphic>
                      </wp:inline>
                    </w:drawing>
                  </w:r>
                </w:p>
              </w:tc>
            </w:tr>
            <w:tr w:rsidR="006D1C3F" w14:paraId="1C026115" w14:textId="77777777">
              <w:tc>
                <w:tcPr>
                  <w:tcW w:w="8522" w:type="dxa"/>
                  <w:tcBorders>
                    <w:top w:val="nil"/>
                    <w:left w:val="single" w:sz="4" w:space="0" w:color="auto"/>
                    <w:bottom w:val="nil"/>
                    <w:right w:val="single" w:sz="4" w:space="0" w:color="auto"/>
                  </w:tcBorders>
                </w:tcPr>
                <w:p w14:paraId="6A92C7A8" w14:textId="77777777" w:rsidR="006D1C3F" w:rsidRDefault="00000000">
                  <w:pPr>
                    <w:widowControl/>
                    <w:ind w:firstLine="408"/>
                    <w:jc w:val="center"/>
                    <w:rPr>
                      <w:rFonts w:eastAsia="Adobe 黑体 Std R"/>
                      <w:szCs w:val="20"/>
                    </w:rPr>
                  </w:pPr>
                  <w:r>
                    <w:rPr>
                      <w:rFonts w:eastAsia="Adobe 黑体 Std R" w:hint="eastAsia"/>
                      <w:szCs w:val="20"/>
                      <w:lang w:bidi="ar"/>
                    </w:rPr>
                    <w:t>B</w:t>
                  </w:r>
                </w:p>
              </w:tc>
            </w:tr>
            <w:tr w:rsidR="006D1C3F" w14:paraId="6C4F6FC4" w14:textId="77777777">
              <w:tc>
                <w:tcPr>
                  <w:tcW w:w="8522" w:type="dxa"/>
                  <w:tcBorders>
                    <w:top w:val="nil"/>
                    <w:left w:val="single" w:sz="4" w:space="0" w:color="auto"/>
                    <w:bottom w:val="nil"/>
                    <w:right w:val="single" w:sz="4" w:space="0" w:color="auto"/>
                  </w:tcBorders>
                </w:tcPr>
                <w:p w14:paraId="22532F6F" w14:textId="77777777" w:rsidR="006D1C3F" w:rsidRDefault="00000000">
                  <w:pPr>
                    <w:widowControl/>
                    <w:ind w:firstLine="367"/>
                    <w:jc w:val="left"/>
                    <w:rPr>
                      <w:rFonts w:ascii="Adobe 黑体 Std R" w:eastAsia="Adobe 黑体 Std R" w:hAnsi="Adobe 黑体 Std R" w:hint="eastAsia"/>
                      <w:sz w:val="18"/>
                      <w:szCs w:val="18"/>
                    </w:rPr>
                  </w:pPr>
                  <w:r>
                    <w:rPr>
                      <w:rFonts w:ascii="Adobe 黑体 Std R" w:eastAsia="Adobe 黑体 Std R" w:hAnsi="Adobe 黑体 Std R" w:hint="eastAsia"/>
                      <w:noProof/>
                      <w:sz w:val="18"/>
                      <w:szCs w:val="18"/>
                      <w:lang w:bidi="ar"/>
                    </w:rPr>
                    <w:drawing>
                      <wp:inline distT="0" distB="0" distL="114300" distR="114300" wp14:anchorId="360D533B" wp14:editId="383EE204">
                        <wp:extent cx="4910455" cy="3479800"/>
                        <wp:effectExtent l="0" t="0" r="4445"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0"/>
                                <a:stretch>
                                  <a:fillRect/>
                                </a:stretch>
                              </pic:blipFill>
                              <pic:spPr>
                                <a:xfrm>
                                  <a:off x="0" y="0"/>
                                  <a:ext cx="4910455" cy="3479800"/>
                                </a:xfrm>
                                <a:prstGeom prst="rect">
                                  <a:avLst/>
                                </a:prstGeom>
                                <a:noFill/>
                                <a:ln>
                                  <a:noFill/>
                                </a:ln>
                              </pic:spPr>
                            </pic:pic>
                          </a:graphicData>
                        </a:graphic>
                      </wp:inline>
                    </w:drawing>
                  </w:r>
                </w:p>
              </w:tc>
            </w:tr>
            <w:tr w:rsidR="006D1C3F" w14:paraId="2D4D7255" w14:textId="77777777">
              <w:tc>
                <w:tcPr>
                  <w:tcW w:w="8522" w:type="dxa"/>
                  <w:tcBorders>
                    <w:top w:val="nil"/>
                    <w:left w:val="single" w:sz="4" w:space="0" w:color="auto"/>
                    <w:bottom w:val="single" w:sz="4" w:space="0" w:color="auto"/>
                    <w:right w:val="single" w:sz="4" w:space="0" w:color="auto"/>
                  </w:tcBorders>
                </w:tcPr>
                <w:p w14:paraId="3E7FA61E" w14:textId="77777777" w:rsidR="006D1C3F" w:rsidRDefault="00000000">
                  <w:pPr>
                    <w:widowControl/>
                    <w:numPr>
                      <w:ilvl w:val="0"/>
                      <w:numId w:val="4"/>
                    </w:numPr>
                    <w:ind w:firstLine="400"/>
                    <w:jc w:val="left"/>
                    <w:rPr>
                      <w:rFonts w:ascii="等线" w:eastAsia="等线" w:hAnsi="等线" w:hint="eastAsia"/>
                      <w:szCs w:val="21"/>
                    </w:rPr>
                  </w:pPr>
                  <w:r>
                    <w:rPr>
                      <w:rFonts w:eastAsia="等线" w:hint="eastAsia"/>
                      <w:szCs w:val="20"/>
                      <w:lang w:bidi="ar"/>
                    </w:rPr>
                    <w:t xml:space="preserve">scatter plot (B) </w:t>
                  </w:r>
                  <w:r>
                    <w:rPr>
                      <w:rFonts w:eastAsia="Adobe 黑体 Std R" w:hint="eastAsia"/>
                      <w:szCs w:val="20"/>
                      <w:lang w:bidi="ar"/>
                    </w:rPr>
                    <w:t>Cost-Effectiveness Acceptability Curves</w:t>
                  </w:r>
                </w:p>
                <w:p w14:paraId="4214A6BD" w14:textId="77777777" w:rsidR="006D1C3F" w:rsidRDefault="00000000">
                  <w:pPr>
                    <w:widowControl/>
                    <w:ind w:leftChars="200" w:left="402" w:firstLineChars="0" w:firstLine="0"/>
                    <w:jc w:val="left"/>
                    <w:rPr>
                      <w:rFonts w:ascii="等线" w:eastAsia="等线" w:hAnsi="等线" w:hint="eastAsia"/>
                      <w:szCs w:val="21"/>
                    </w:rPr>
                  </w:pPr>
                  <w:r>
                    <w:rPr>
                      <w:rFonts w:eastAsia="等线" w:hint="eastAsia"/>
                      <w:b w:val="0"/>
                      <w:bCs w:val="0"/>
                      <w:szCs w:val="20"/>
                      <w:lang w:bidi="ar"/>
                    </w:rPr>
                    <w:t xml:space="preserve">Ale, </w:t>
                  </w:r>
                  <w:proofErr w:type="spellStart"/>
                  <w:r>
                    <w:rPr>
                      <w:rFonts w:eastAsia="等线" w:hint="eastAsia"/>
                      <w:b w:val="0"/>
                      <w:bCs w:val="0"/>
                      <w:szCs w:val="20"/>
                      <w:lang w:bidi="ar"/>
                    </w:rPr>
                    <w:t>Alectinib</w:t>
                  </w:r>
                  <w:proofErr w:type="spellEnd"/>
                  <w:r>
                    <w:rPr>
                      <w:rFonts w:eastAsia="等线" w:hint="eastAsia"/>
                      <w:b w:val="0"/>
                      <w:bCs w:val="0"/>
                      <w:szCs w:val="20"/>
                      <w:lang w:bidi="ar"/>
                    </w:rPr>
                    <w:t xml:space="preserve">; Bri, </w:t>
                  </w:r>
                  <w:proofErr w:type="spellStart"/>
                  <w:r>
                    <w:rPr>
                      <w:rFonts w:eastAsia="等线" w:hint="eastAsia"/>
                      <w:b w:val="0"/>
                      <w:bCs w:val="0"/>
                      <w:szCs w:val="20"/>
                      <w:lang w:bidi="ar"/>
                    </w:rPr>
                    <w:t>Brigatinib</w:t>
                  </w:r>
                  <w:proofErr w:type="spellEnd"/>
                  <w:r>
                    <w:rPr>
                      <w:rFonts w:eastAsia="等线" w:hint="eastAsia"/>
                      <w:b w:val="0"/>
                      <w:bCs w:val="0"/>
                      <w:szCs w:val="20"/>
                      <w:lang w:bidi="ar"/>
                    </w:rPr>
                    <w:t xml:space="preserve">; Cer, </w:t>
                  </w:r>
                  <w:proofErr w:type="spellStart"/>
                  <w:r>
                    <w:rPr>
                      <w:rFonts w:eastAsia="等线" w:hint="eastAsia"/>
                      <w:b w:val="0"/>
                      <w:bCs w:val="0"/>
                      <w:szCs w:val="20"/>
                      <w:lang w:bidi="ar"/>
                    </w:rPr>
                    <w:t>Ceritinib</w:t>
                  </w:r>
                  <w:proofErr w:type="spellEnd"/>
                  <w:r>
                    <w:rPr>
                      <w:rFonts w:eastAsia="等线" w:hint="eastAsia"/>
                      <w:b w:val="0"/>
                      <w:bCs w:val="0"/>
                      <w:szCs w:val="20"/>
                      <w:lang w:bidi="ar"/>
                    </w:rPr>
                    <w:t xml:space="preserve">; Che, Chemotherapy; Cri, Crizotinib; Ens, </w:t>
                  </w:r>
                  <w:proofErr w:type="spellStart"/>
                  <w:r>
                    <w:rPr>
                      <w:rFonts w:eastAsia="等线" w:hint="eastAsia"/>
                      <w:b w:val="0"/>
                      <w:bCs w:val="0"/>
                      <w:szCs w:val="20"/>
                      <w:lang w:bidi="ar"/>
                    </w:rPr>
                    <w:t>Ensartinib</w:t>
                  </w:r>
                  <w:proofErr w:type="spellEnd"/>
                  <w:r>
                    <w:rPr>
                      <w:rFonts w:eastAsia="等线" w:hint="eastAsia"/>
                      <w:b w:val="0"/>
                      <w:bCs w:val="0"/>
                      <w:szCs w:val="20"/>
                      <w:lang w:bidi="ar"/>
                    </w:rPr>
                    <w:t xml:space="preserve">; Env, </w:t>
                  </w:r>
                  <w:proofErr w:type="spellStart"/>
                  <w:r>
                    <w:rPr>
                      <w:rFonts w:eastAsia="等线" w:hint="eastAsia"/>
                      <w:b w:val="0"/>
                      <w:bCs w:val="0"/>
                      <w:szCs w:val="20"/>
                      <w:lang w:bidi="ar"/>
                    </w:rPr>
                    <w:t>Envonalkib</w:t>
                  </w:r>
                  <w:proofErr w:type="spellEnd"/>
                  <w:r>
                    <w:rPr>
                      <w:rFonts w:eastAsia="等线" w:hint="eastAsia"/>
                      <w:b w:val="0"/>
                      <w:bCs w:val="0"/>
                      <w:szCs w:val="20"/>
                      <w:lang w:bidi="ar"/>
                    </w:rPr>
                    <w:t xml:space="preserve">; </w:t>
                  </w:r>
                  <w:proofErr w:type="spellStart"/>
                  <w:r>
                    <w:rPr>
                      <w:rFonts w:eastAsia="等线" w:hint="eastAsia"/>
                      <w:b w:val="0"/>
                      <w:bCs w:val="0"/>
                      <w:szCs w:val="20"/>
                      <w:lang w:bidi="ar"/>
                    </w:rPr>
                    <w:t>Iru</w:t>
                  </w:r>
                  <w:proofErr w:type="spellEnd"/>
                  <w:r>
                    <w:rPr>
                      <w:rFonts w:eastAsia="等线" w:hint="eastAsia"/>
                      <w:b w:val="0"/>
                      <w:bCs w:val="0"/>
                      <w:szCs w:val="20"/>
                      <w:lang w:bidi="ar"/>
                    </w:rPr>
                    <w:t xml:space="preserve">, </w:t>
                  </w:r>
                  <w:proofErr w:type="spellStart"/>
                  <w:r>
                    <w:rPr>
                      <w:rFonts w:eastAsia="等线" w:hint="eastAsia"/>
                      <w:b w:val="0"/>
                      <w:bCs w:val="0"/>
                      <w:szCs w:val="20"/>
                      <w:lang w:bidi="ar"/>
                    </w:rPr>
                    <w:t>Iruplinalkib</w:t>
                  </w:r>
                  <w:proofErr w:type="spellEnd"/>
                  <w:r>
                    <w:rPr>
                      <w:rFonts w:eastAsia="等线" w:hint="eastAsia"/>
                      <w:b w:val="0"/>
                      <w:bCs w:val="0"/>
                      <w:szCs w:val="20"/>
                      <w:lang w:bidi="ar"/>
                    </w:rPr>
                    <w:t xml:space="preserve">; Lor, </w:t>
                  </w:r>
                  <w:proofErr w:type="spellStart"/>
                  <w:r>
                    <w:rPr>
                      <w:rFonts w:eastAsia="等线" w:hint="eastAsia"/>
                      <w:b w:val="0"/>
                      <w:bCs w:val="0"/>
                      <w:szCs w:val="20"/>
                      <w:lang w:bidi="ar"/>
                    </w:rPr>
                    <w:t>Lorlatinib</w:t>
                  </w:r>
                  <w:proofErr w:type="spellEnd"/>
                  <w:r>
                    <w:rPr>
                      <w:rFonts w:eastAsia="等线" w:hint="eastAsia"/>
                      <w:b w:val="0"/>
                      <w:bCs w:val="0"/>
                      <w:szCs w:val="20"/>
                      <w:lang w:bidi="ar"/>
                    </w:rPr>
                    <w:t xml:space="preserve">; </w:t>
                  </w:r>
                  <w:proofErr w:type="spellStart"/>
                  <w:proofErr w:type="gramStart"/>
                  <w:r>
                    <w:rPr>
                      <w:rFonts w:eastAsia="等线" w:hint="eastAsia"/>
                      <w:b w:val="0"/>
                      <w:bCs w:val="0"/>
                      <w:color w:val="000000"/>
                      <w:kern w:val="0"/>
                      <w:szCs w:val="20"/>
                      <w:lang w:bidi="ar"/>
                    </w:rPr>
                    <w:t>BSC,Best</w:t>
                  </w:r>
                  <w:proofErr w:type="spellEnd"/>
                  <w:proofErr w:type="gramEnd"/>
                  <w:r>
                    <w:rPr>
                      <w:rFonts w:eastAsia="等线" w:hint="eastAsia"/>
                      <w:b w:val="0"/>
                      <w:bCs w:val="0"/>
                      <w:color w:val="000000"/>
                      <w:kern w:val="0"/>
                      <w:szCs w:val="20"/>
                      <w:lang w:bidi="ar"/>
                    </w:rPr>
                    <w:t xml:space="preserve"> Supportive Care;</w:t>
                  </w:r>
                  <w:r>
                    <w:rPr>
                      <w:rFonts w:eastAsia="等线" w:hint="eastAsia"/>
                      <w:b w:val="0"/>
                      <w:bCs w:val="0"/>
                      <w:szCs w:val="20"/>
                      <w:lang w:bidi="ar"/>
                    </w:rPr>
                    <w:t xml:space="preserve"> median OS, median overall </w:t>
                  </w:r>
                  <w:proofErr w:type="gramStart"/>
                  <w:r>
                    <w:rPr>
                      <w:rFonts w:eastAsia="等线" w:hint="eastAsia"/>
                      <w:b w:val="0"/>
                      <w:bCs w:val="0"/>
                      <w:szCs w:val="20"/>
                      <w:lang w:bidi="ar"/>
                    </w:rPr>
                    <w:t>survival;;</w:t>
                  </w:r>
                  <w:proofErr w:type="gramEnd"/>
                  <w:r>
                    <w:rPr>
                      <w:rFonts w:eastAsia="等线" w:hint="eastAsia"/>
                      <w:b w:val="0"/>
                      <w:bCs w:val="0"/>
                      <w:szCs w:val="20"/>
                      <w:lang w:bidi="ar"/>
                    </w:rPr>
                    <w:t xml:space="preserve"> QALY, quality-adjusted life-year.</w:t>
                  </w:r>
                </w:p>
              </w:tc>
            </w:tr>
          </w:tbl>
          <w:p w14:paraId="0F280046" w14:textId="77777777" w:rsidR="006D1C3F" w:rsidRDefault="006D1C3F">
            <w:pPr>
              <w:pStyle w:val="af"/>
              <w:ind w:firstLineChars="0" w:firstLine="0"/>
              <w:jc w:val="left"/>
            </w:pPr>
          </w:p>
        </w:tc>
      </w:tr>
    </w:tbl>
    <w:p w14:paraId="506679FF" w14:textId="77777777" w:rsidR="006D1C3F" w:rsidRDefault="006D1C3F">
      <w:pPr>
        <w:spacing w:line="240" w:lineRule="auto"/>
        <w:ind w:firstLineChars="0" w:firstLine="0"/>
      </w:pPr>
    </w:p>
    <w:p w14:paraId="06631DFB" w14:textId="77777777" w:rsidR="006D1C3F" w:rsidRDefault="00000000">
      <w:pPr>
        <w:pStyle w:val="20"/>
        <w:pageBreakBefore/>
        <w:ind w:firstLineChars="0" w:firstLine="0"/>
        <w:rPr>
          <w:sz w:val="28"/>
          <w:szCs w:val="28"/>
        </w:rPr>
      </w:pPr>
      <w:r>
        <w:rPr>
          <w:sz w:val="28"/>
          <w:szCs w:val="28"/>
        </w:rPr>
        <w:lastRenderedPageBreak/>
        <w:t>References</w:t>
      </w:r>
    </w:p>
    <w:p w14:paraId="2381E0B4"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fldChar w:fldCharType="begin"/>
      </w:r>
      <w:r>
        <w:rPr>
          <w:rFonts w:eastAsiaTheme="minorEastAsia"/>
          <w:b w:val="0"/>
          <w:bCs w:val="0"/>
          <w:szCs w:val="22"/>
        </w:rPr>
        <w:instrText xml:space="preserve"> ADDIN ZOTERO_BIBL {"uncited":[],"omitted":[],"custom":[]} CSL_BIBLIOGRAPHY </w:instrText>
      </w:r>
      <w:r>
        <w:rPr>
          <w:rFonts w:eastAsiaTheme="minorEastAsia"/>
          <w:b w:val="0"/>
          <w:bCs w:val="0"/>
          <w:szCs w:val="22"/>
        </w:rPr>
        <w:fldChar w:fldCharType="separate"/>
      </w:r>
      <w:r>
        <w:rPr>
          <w:rFonts w:eastAsiaTheme="minorEastAsia"/>
          <w:b w:val="0"/>
          <w:bCs w:val="0"/>
          <w:szCs w:val="22"/>
        </w:rPr>
        <w:t>1.</w:t>
      </w:r>
      <w:r>
        <w:rPr>
          <w:rFonts w:eastAsiaTheme="minorEastAsia"/>
          <w:b w:val="0"/>
          <w:bCs w:val="0"/>
          <w:szCs w:val="22"/>
        </w:rPr>
        <w:tab/>
        <w:t xml:space="preserve">Pollock RF, Norrbacka K, Boye KS, Osumili B, Valentine WJ. The PRIME Type 2 Diabetes Model: a novel, patient-level model for estimating long-term clinical and cost outcomes in patients with type 2 diabetes mellitus. J Med Econ. 2022;25(1):393–402. </w:t>
      </w:r>
    </w:p>
    <w:p w14:paraId="48962DE9"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w:t>
      </w:r>
      <w:r>
        <w:rPr>
          <w:rFonts w:eastAsiaTheme="minorEastAsia"/>
          <w:b w:val="0"/>
          <w:bCs w:val="0"/>
          <w:szCs w:val="22"/>
        </w:rPr>
        <w:tab/>
        <w:t xml:space="preserve">Huber RM, Hansen KH, Paz-Ares Rodríguez L, West HL, Reckamp KL, Leighl NB, et al. Brigatinib in Crizotinib-Refractory ALK+ NSCLC: 2-Year Follow-up on Systemic and Intracranial Outcomes in the Phase 2 ALTA Trial. J Thorac Oncol Off Publ Int Assoc Study Lung Cancer. 2020 Mar;15(3):404–15. </w:t>
      </w:r>
    </w:p>
    <w:p w14:paraId="446C194A"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w:t>
      </w:r>
      <w:r>
        <w:rPr>
          <w:rFonts w:eastAsiaTheme="minorEastAsia"/>
          <w:b w:val="0"/>
          <w:bCs w:val="0"/>
          <w:szCs w:val="22"/>
        </w:rPr>
        <w:tab/>
        <w:t xml:space="preserve">Crinò L, Ahn MJ, De Marinis F, Groen HJM, Wakelee H, Hida T, et al. Multicenter Phase II Study of Whole-Body and Intracranial Activity With Ceritinib in Patients With ALK-Rearranged Non-Small-Cell Lung Cancer Previously Treated With Chemotherapy and Crizotinib: Results From ASCEND-2. J Clin Oncol Off J Am Soc Clin Oncol. 2016 Aug 20;34(24):2866–73. </w:t>
      </w:r>
    </w:p>
    <w:p w14:paraId="0212F6F7"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4.</w:t>
      </w:r>
      <w:r>
        <w:rPr>
          <w:rFonts w:eastAsiaTheme="minorEastAsia"/>
          <w:b w:val="0"/>
          <w:bCs w:val="0"/>
          <w:szCs w:val="22"/>
        </w:rPr>
        <w:tab/>
        <w:t xml:space="preserve">Nishio M, Felip E, Orlov S, Park K, Yu CJ, Tsai CM, et al. Final Overall Survival and Other Efficacy and Safety Results From ASCEND-3: Phase II Study of Ceritinib in ALKi-Naive Patients With ALK-Rearranged NSCLC. J Thorac Oncol Off Publ Int Assoc Study Lung Cancer. 2020 Apr;15(4):609–17. </w:t>
      </w:r>
    </w:p>
    <w:p w14:paraId="2C99155C"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5.</w:t>
      </w:r>
      <w:r>
        <w:rPr>
          <w:rFonts w:eastAsiaTheme="minorEastAsia"/>
          <w:b w:val="0"/>
          <w:bCs w:val="0"/>
          <w:szCs w:val="22"/>
        </w:rPr>
        <w:tab/>
        <w:t xml:space="preserve">Wu YL, Shi Y, Tan DSW, Xiaoqing L, Cheng Y, Zhou J, et al. Phase 1/2 study of ceritinib in Chinese patients with advanced anaplastic lymphoma kinase-rearranged non-small cell lung cancer previously treated with crizotinib: Results from ASCEND-6. Lung Cancer Amst Neth. 2020 Dec;150:240–6. </w:t>
      </w:r>
    </w:p>
    <w:p w14:paraId="07D523AC"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6.</w:t>
      </w:r>
      <w:r>
        <w:rPr>
          <w:rFonts w:eastAsiaTheme="minorEastAsia"/>
          <w:b w:val="0"/>
          <w:bCs w:val="0"/>
          <w:szCs w:val="22"/>
        </w:rPr>
        <w:tab/>
        <w:t xml:space="preserve">Hida T, Seto T, Horinouchi H, Maemondo M, Takeda M, Hotta K, et al. Phase II study of ceritinib in alectinib-pretreated patients with anaplastic lymphoma kinase-rearranged metastatic non-small-cell lung cancer in Japan: ASCEND-9. Cancer Sci. 2018 Sep;109(9):2863–72. </w:t>
      </w:r>
    </w:p>
    <w:p w14:paraId="16C63F46"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7.</w:t>
      </w:r>
      <w:r>
        <w:rPr>
          <w:rFonts w:eastAsiaTheme="minorEastAsia"/>
          <w:b w:val="0"/>
          <w:bCs w:val="0"/>
          <w:szCs w:val="22"/>
        </w:rPr>
        <w:tab/>
        <w:t xml:space="preserve">Shi Y, Chen J, Zhang H, Zhang Z, Zhang Y, Wang Z, et al. Efficacy and safety of iruplinalkib (WX-0593) in ALK-positive crizotinib-resistant advanced non-small cell lung cancer patients: a single-arm, multicenter phase II study (INTELLECT). BMC Med. 2023 Feb 24;21(1):72. </w:t>
      </w:r>
    </w:p>
    <w:p w14:paraId="4E762656"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8.</w:t>
      </w:r>
      <w:r>
        <w:rPr>
          <w:rFonts w:eastAsiaTheme="minorEastAsia"/>
          <w:b w:val="0"/>
          <w:bCs w:val="0"/>
          <w:szCs w:val="22"/>
        </w:rPr>
        <w:tab/>
        <w:t xml:space="preserve">Nishio M, Yoshida T, Kumagai T, Hida T, Toyozawa R, Shimokawaji T, et al. Brigatinib in Japanese Patients With ALK-Positive NSCLC Previously Treated With Alectinib and Other Tyrosine Kinase Inhibitors: Outcomes of the Phase 2 J-ALTA Trial. J Thorac Oncol Off Publ Int Assoc Study Lung Cancer. 2021 Mar;16(3):452–63. </w:t>
      </w:r>
    </w:p>
    <w:p w14:paraId="25A99D24"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9.</w:t>
      </w:r>
      <w:r>
        <w:rPr>
          <w:rFonts w:eastAsiaTheme="minorEastAsia"/>
          <w:b w:val="0"/>
          <w:bCs w:val="0"/>
          <w:szCs w:val="22"/>
        </w:rPr>
        <w:tab/>
        <w:t xml:space="preserve">Lu S, Zhou Q, Liu X, Du Y, Fan Y, Cheng Y, et al. Lorlatinib for Previously Treated ALK-Positive </w:t>
      </w:r>
      <w:r>
        <w:rPr>
          <w:rFonts w:eastAsiaTheme="minorEastAsia"/>
          <w:b w:val="0"/>
          <w:bCs w:val="0"/>
          <w:szCs w:val="22"/>
        </w:rPr>
        <w:lastRenderedPageBreak/>
        <w:t xml:space="preserve">Advanced NSCLC: Primary Efficacy and Safety From a Phase 2 Study in People’s Republic of China. J Thorac Oncol Off Publ Int Assoc Study Lung Cancer. 2022 Jun;17(6):816–26. </w:t>
      </w:r>
    </w:p>
    <w:p w14:paraId="76FE3721"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10.</w:t>
      </w:r>
      <w:r>
        <w:rPr>
          <w:rFonts w:eastAsiaTheme="minorEastAsia"/>
          <w:b w:val="0"/>
          <w:bCs w:val="0"/>
          <w:szCs w:val="22"/>
        </w:rPr>
        <w:tab/>
        <w:t xml:space="preserve">Kim DW, Tiseo M, Ahn MJ, Reckamp KL, Hansen KH, Kim SW, et al. Brigatinib in Patients With Crizotinib-Refractory Anaplastic Lymphoma Kinase-Positive Non-Small-Cell Lung Cancer: A Randomized, Multicenter Phase II Trial. J Clin Oncol Off J Am Soc Clin Oncol. 2017 Aug 1;35(22):2490–8. </w:t>
      </w:r>
    </w:p>
    <w:p w14:paraId="1195F104"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11.</w:t>
      </w:r>
      <w:r>
        <w:rPr>
          <w:rFonts w:eastAsiaTheme="minorEastAsia"/>
          <w:b w:val="0"/>
          <w:bCs w:val="0"/>
          <w:szCs w:val="22"/>
        </w:rPr>
        <w:tab/>
        <w:t xml:space="preserve">Yang Y, Zhou J, Zhou J, Feng J, Zhuang W, Chen J, et al. Efficacy, safety, and biomarker analysis of ensartinib in crizotinib-resistant, ALK-positive non-small-cell lung cancer: a multicentre, phase 2 trial. Lancet Respir Med. 2020 Jan;8(1):45–53. </w:t>
      </w:r>
    </w:p>
    <w:p w14:paraId="404BDC07"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12.</w:t>
      </w:r>
      <w:r>
        <w:rPr>
          <w:rFonts w:eastAsiaTheme="minorEastAsia"/>
          <w:b w:val="0"/>
          <w:bCs w:val="0"/>
          <w:szCs w:val="22"/>
        </w:rPr>
        <w:tab/>
        <w:t xml:space="preserve">Solomon BJ, Besse B, Bauer TM, Felip E, Soo RA, Camidge DR, et al. Lorlatinib in patients with ALK-positive non-small-cell lung cancer: results from a global phase 2 study. Lancet Oncol. 2018 Dec;19(12):1654–67. </w:t>
      </w:r>
    </w:p>
    <w:p w14:paraId="3944CD83"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13.</w:t>
      </w:r>
      <w:r>
        <w:rPr>
          <w:rFonts w:eastAsiaTheme="minorEastAsia"/>
          <w:b w:val="0"/>
          <w:bCs w:val="0"/>
          <w:szCs w:val="22"/>
        </w:rPr>
        <w:tab/>
        <w:t xml:space="preserve">Tamura T, Kiura K, Seto T, Nakagawa K, Maemondo M, Inoue A, et al. Three-Year Follow-Up of an Alectinib Phase I/II Study in ALK-Positive Non-Small-Cell Lung Cancer: AF-001JP. J Clin Oncol Off J Am Soc Clin Oncol. 2017 May 10;35(14):1515–21. </w:t>
      </w:r>
    </w:p>
    <w:p w14:paraId="1F8CF3AF"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14.</w:t>
      </w:r>
      <w:r>
        <w:rPr>
          <w:rFonts w:eastAsiaTheme="minorEastAsia"/>
          <w:b w:val="0"/>
          <w:bCs w:val="0"/>
          <w:szCs w:val="22"/>
        </w:rPr>
        <w:tab/>
        <w:t xml:space="preserve">Ou SHI, Ahn JS, De Petris L, Govindan R, Yang JCH, Hughes B, et al. Alectinib in Crizotinib-Refractory ALK-Rearranged Non-Small-Cell Lung Cancer: A Phase II Global Study. J Clin Oncol Off J Am Soc Clin Oncol. 2016 Mar 1;34(7):661–8. </w:t>
      </w:r>
    </w:p>
    <w:p w14:paraId="7D6D32EC"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15.</w:t>
      </w:r>
      <w:r>
        <w:rPr>
          <w:rFonts w:eastAsiaTheme="minorEastAsia"/>
          <w:b w:val="0"/>
          <w:bCs w:val="0"/>
          <w:szCs w:val="22"/>
        </w:rPr>
        <w:tab/>
        <w:t xml:space="preserve">Solomon BJ, Kim DW, Wu YL, Nakagawa K, Mekhail T, Felip E, et al. Final Overall Survival Analysis From a Study Comparing First-Line Crizotinib Versus Chemotherapy in ALK-Mutation-Positive Non-Small-Cell Lung Cancer. J Clin Oncol Off J Am Soc Clin Oncol. 2018 Aug 1;36(22):2251–8. </w:t>
      </w:r>
    </w:p>
    <w:p w14:paraId="61478A55"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16.</w:t>
      </w:r>
      <w:r>
        <w:rPr>
          <w:rFonts w:eastAsiaTheme="minorEastAsia"/>
          <w:b w:val="0"/>
          <w:bCs w:val="0"/>
          <w:szCs w:val="22"/>
        </w:rPr>
        <w:tab/>
        <w:t xml:space="preserve">Shaw AT, Bauer TM, de Marinis F, Felip E, Goto Y, Liu G, et al. First-Line Lorlatinib or Crizotinib in Advanced ALK-Positive Lung Cancer. N Engl J Med. 2020 Nov 19;383(21):2018–29. </w:t>
      </w:r>
    </w:p>
    <w:p w14:paraId="1092CFCD"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17.</w:t>
      </w:r>
      <w:r>
        <w:rPr>
          <w:rFonts w:eastAsiaTheme="minorEastAsia"/>
          <w:b w:val="0"/>
          <w:bCs w:val="0"/>
          <w:szCs w:val="22"/>
        </w:rPr>
        <w:tab/>
        <w:t xml:space="preserve">Mok T, Camidge DR, Gadgeel SM, Rosell R, Dziadziuszko R, Kim DW, et al. Updated overall survival and final progression-free survival data for patients with treatment-naive advanced ALK-positive non-small-cell lung cancer in the ALEX study. Ann Oncol Off J Eur Soc Med Oncol. 2020 Aug;31(8):1056–64. </w:t>
      </w:r>
    </w:p>
    <w:p w14:paraId="6B3A94AE"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18.</w:t>
      </w:r>
      <w:r>
        <w:rPr>
          <w:rFonts w:eastAsiaTheme="minorEastAsia"/>
          <w:b w:val="0"/>
          <w:bCs w:val="0"/>
          <w:szCs w:val="22"/>
        </w:rPr>
        <w:tab/>
        <w:t xml:space="preserve">Horn L, Wang Z, Wu G, Poddubskaya E, Mok T, Reck M, et al. Ensartinib vs Crizotinib for Patients </w:t>
      </w:r>
      <w:r>
        <w:rPr>
          <w:rFonts w:eastAsiaTheme="minorEastAsia"/>
          <w:b w:val="0"/>
          <w:bCs w:val="0"/>
          <w:szCs w:val="22"/>
        </w:rPr>
        <w:lastRenderedPageBreak/>
        <w:t xml:space="preserve">With Anaplastic Lymphoma Kinase-Positive Non-Small Cell Lung Cancer: A Randomized Clinical Trial. JAMA Oncol. 2021 Nov 1;7(11):1617–25. </w:t>
      </w:r>
    </w:p>
    <w:p w14:paraId="4166D3AB"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19.</w:t>
      </w:r>
      <w:r>
        <w:rPr>
          <w:rFonts w:eastAsiaTheme="minorEastAsia"/>
          <w:b w:val="0"/>
          <w:bCs w:val="0"/>
          <w:szCs w:val="22"/>
        </w:rPr>
        <w:tab/>
        <w:t xml:space="preserve">Soria JC, Tan DSW, Chiari R, Wu YL, Paz-Ares L, Wolf J, et al. First-line ceritinib versus platinum-based chemotherapy in advanced ALK-rearranged non-small-cell lung cancer (ASCEND-4): a randomised, open-label, phase 3 study. Lancet Lond Engl. 2017 Mar 4;389(10072):917–29. </w:t>
      </w:r>
    </w:p>
    <w:p w14:paraId="20D315B9"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20.</w:t>
      </w:r>
      <w:r>
        <w:rPr>
          <w:rFonts w:eastAsiaTheme="minorEastAsia"/>
          <w:b w:val="0"/>
          <w:bCs w:val="0"/>
          <w:szCs w:val="22"/>
        </w:rPr>
        <w:tab/>
        <w:t xml:space="preserve">Wu YL, Lu S, Lu Y, Zhou J, Shi YK, Sriuranpong V, et al. Results of PROFILE 1029, a Phase III Comparison of First-Line Crizotinib versus Chemotherapy in East Asian Patients with ALK-Positive Advanced Non-Small Cell Lung Cancer. J Thorac Oncol Off Publ Int Assoc Study Lung Cancer. 2018 Oct;13(10):1539–48. </w:t>
      </w:r>
    </w:p>
    <w:p w14:paraId="5CF52270"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21.</w:t>
      </w:r>
      <w:r>
        <w:rPr>
          <w:rFonts w:eastAsiaTheme="minorEastAsia"/>
          <w:b w:val="0"/>
          <w:bCs w:val="0"/>
          <w:szCs w:val="22"/>
        </w:rPr>
        <w:tab/>
        <w:t xml:space="preserve">Hida T, Nokihara H, Kondo M, Kim YH, Azuma K, Seto T, et al. Alectinib versus crizotinib in patients with ALK-positive non-small-cell lung cancer (J-ALEX): an open-label, randomised phase 3 trial. Lancet Lond Engl. 2017 Jul 1;390(10089):29–39. </w:t>
      </w:r>
    </w:p>
    <w:p w14:paraId="4337006C"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22.</w:t>
      </w:r>
      <w:r>
        <w:rPr>
          <w:rFonts w:eastAsiaTheme="minorEastAsia"/>
          <w:b w:val="0"/>
          <w:bCs w:val="0"/>
          <w:szCs w:val="22"/>
        </w:rPr>
        <w:tab/>
        <w:t xml:space="preserve">Zhou C, Kim SW, Reungwetwattana T, Zhou J, Zhang Y, He J, et al. Alectinib versus crizotinib in untreated Asian patients with anaplastic lymphoma kinase-positive non-small-cell lung cancer (ALESIA): a randomised phase 3 study. Lancet Respir Med. 2019 May;7(5):437–46. </w:t>
      </w:r>
    </w:p>
    <w:p w14:paraId="301811FE"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23.</w:t>
      </w:r>
      <w:r>
        <w:rPr>
          <w:rFonts w:eastAsiaTheme="minorEastAsia"/>
          <w:b w:val="0"/>
          <w:bCs w:val="0"/>
          <w:szCs w:val="22"/>
        </w:rPr>
        <w:tab/>
        <w:t xml:space="preserve">Yang Y, Min J, Yang N, Yu Q, Cheng Y, Zhao Y, et al. Envonalkib versus crizotinib for treatment-naive ALK-positive non-small cell lung cancer: a randomized, multicenter, open-label, phase III trial. Signal Transduct Target Ther. 2023 Aug 14;8(1):301. </w:t>
      </w:r>
    </w:p>
    <w:p w14:paraId="26770030"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24.</w:t>
      </w:r>
      <w:r>
        <w:rPr>
          <w:rFonts w:eastAsiaTheme="minorEastAsia"/>
          <w:b w:val="0"/>
          <w:bCs w:val="0"/>
          <w:szCs w:val="22"/>
        </w:rPr>
        <w:tab/>
        <w:t xml:space="preserve">Wolf J, Helland Å, Oh IJ, Migliorino MR, Dziadziuszko R, Wrona A, et al. Final efficacy and safety data, and exploratory molecular profiling from the phase III ALUR study of alectinib versus chemotherapy in crizotinib-pretreated ALK-positive non-small-cell lung cancer. ESMO Open. 2022 Feb;7(1):100333. </w:t>
      </w:r>
    </w:p>
    <w:p w14:paraId="3E4EECC8"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25.</w:t>
      </w:r>
      <w:r>
        <w:rPr>
          <w:rFonts w:eastAsiaTheme="minorEastAsia"/>
          <w:b w:val="0"/>
          <w:bCs w:val="0"/>
          <w:szCs w:val="22"/>
        </w:rPr>
        <w:tab/>
        <w:t xml:space="preserve">Shaw AT, Kim TM, Crinò L, Gridelli C, Kiura K, Liu G, et al. Ceritinib versus chemotherapy in patients with ALK-rearranged non-small-cell lung cancer previously given chemotherapy and crizotinib (ASCEND-5): a randomised, controlled, open-label, phase 3 trial. Lancet Oncol. 2017 Jul;18(7):874–86. </w:t>
      </w:r>
    </w:p>
    <w:p w14:paraId="74DE8919"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26.</w:t>
      </w:r>
      <w:r>
        <w:rPr>
          <w:rFonts w:eastAsiaTheme="minorEastAsia"/>
          <w:b w:val="0"/>
          <w:bCs w:val="0"/>
          <w:szCs w:val="22"/>
        </w:rPr>
        <w:tab/>
        <w:t xml:space="preserve">Yang JCH, Liu G, Lu S, He J, Burotto M, Ahn MJ, et al. Brigatinib Versus Alectinib in ALK-Positive NSCLC After Disease Progression on Crizotinib: Results of Phase 3 ALTA-3 Trial. J Thorac Oncol Off Publ Int Assoc Study Lung Cancer. 2023 Dec;18(12):1743–55. </w:t>
      </w:r>
    </w:p>
    <w:p w14:paraId="183E791F"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lastRenderedPageBreak/>
        <w:t>27.</w:t>
      </w:r>
      <w:r>
        <w:rPr>
          <w:rFonts w:eastAsiaTheme="minorEastAsia"/>
          <w:b w:val="0"/>
          <w:bCs w:val="0"/>
          <w:szCs w:val="22"/>
        </w:rPr>
        <w:tab/>
        <w:t xml:space="preserve">Shaw AT, Kim DW, Nakagawa K, Seto T, Crinó L, Ahn MJ, et al. Crizotinib versus chemotherapy in advanced ALK-positive lung cancer. N Engl J Med. 2013 Jun 20;368(25):2385–94. </w:t>
      </w:r>
    </w:p>
    <w:p w14:paraId="2FB9699D"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28.</w:t>
      </w:r>
      <w:r>
        <w:rPr>
          <w:rFonts w:eastAsiaTheme="minorEastAsia"/>
          <w:b w:val="0"/>
          <w:bCs w:val="0"/>
          <w:szCs w:val="22"/>
        </w:rPr>
        <w:tab/>
        <w:t xml:space="preserve">Camidge DR, Kim HR, Ahn MJ, Yang JCH, Han JY, Hochmair MJ, et al. Brigatinib Versus Crizotinib in ALK Inhibitor-Naive Advanced ALK-Positive NSCLC: Final Results of Phase 3 ALTA-1L Trial. J Thorac Oncol Off Publ Int Assoc Study Lung Cancer. 2021 Dec;16(12):2091–108. </w:t>
      </w:r>
    </w:p>
    <w:p w14:paraId="77156D38"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29.</w:t>
      </w:r>
      <w:r>
        <w:rPr>
          <w:rFonts w:eastAsiaTheme="minorEastAsia"/>
          <w:b w:val="0"/>
          <w:bCs w:val="0"/>
          <w:szCs w:val="22"/>
        </w:rPr>
        <w:tab/>
        <w:t xml:space="preserve">Guan H, Wang C, Chen C, Han S, Zhao Z. Cost-Effectiveness of 12 First-Line Treatments for Patients With Advanced EGFR Mutated NSCLC in the United Kingdom and China. Front Oncol. 2022;12:819674. </w:t>
      </w:r>
    </w:p>
    <w:p w14:paraId="0C0BFE99"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30.</w:t>
      </w:r>
      <w:r>
        <w:rPr>
          <w:rFonts w:eastAsiaTheme="minorEastAsia"/>
          <w:b w:val="0"/>
          <w:bCs w:val="0"/>
          <w:szCs w:val="22"/>
        </w:rPr>
        <w:tab/>
        <w:t xml:space="preserve">Zhao M, Pan X, Yin Y, Hu H, Wei J, Bai Z, et al. Cost-Effectiveness Analysis of Five Systemic Treatments for Unresectable Hepatocellular Carcinoma in China: An Economic Evaluation Based on Network Meta-Analysis. Front Public Health. 2022;10:869960. </w:t>
      </w:r>
    </w:p>
    <w:p w14:paraId="4332F3CC"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31.</w:t>
      </w:r>
      <w:r>
        <w:rPr>
          <w:rFonts w:eastAsiaTheme="minorEastAsia"/>
          <w:b w:val="0"/>
          <w:bCs w:val="0"/>
          <w:szCs w:val="22"/>
        </w:rPr>
        <w:tab/>
        <w:t xml:space="preserve">Shao T, Zhao M, Tang W. Cost-effectiveness analysis of sintilimab vs. placebo in combination with chemotherapy as first-line therapy for local advanced or metastatic oesophageal squamous cell carcinoma. Front Oncol. 2022;12:953671. </w:t>
      </w:r>
    </w:p>
    <w:p w14:paraId="14BFA623"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32.</w:t>
      </w:r>
      <w:r>
        <w:rPr>
          <w:rFonts w:eastAsiaTheme="minorEastAsia"/>
          <w:b w:val="0"/>
          <w:bCs w:val="0"/>
          <w:szCs w:val="22"/>
        </w:rPr>
        <w:tab/>
        <w:t xml:space="preserve">Cortés J, Kim SB, Chung WP, Im SA, Park YH, Hegg R, et al. Trastuzumab Deruxtecan versus Trastuzumab Emtansine for Breast Cancer. N Engl J Med. 2022 Mar 24;386(12):1143–54. </w:t>
      </w:r>
    </w:p>
    <w:p w14:paraId="17555C11"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33.</w:t>
      </w:r>
      <w:r>
        <w:rPr>
          <w:rFonts w:eastAsiaTheme="minorEastAsia"/>
          <w:b w:val="0"/>
          <w:bCs w:val="0"/>
          <w:szCs w:val="22"/>
        </w:rPr>
        <w:tab/>
        <w:t xml:space="preserve">Bullement A, Nathan P, Willis A, Amin A, Lilley C, Stapelkamp C, et al. Cost Effectiveness of Avelumab for Metastatic Merkel Cell Carcinoma. PharmacoEconomics - Open. 2019 Sep;3(3):377–90. </w:t>
      </w:r>
    </w:p>
    <w:p w14:paraId="40B9B95D"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34.</w:t>
      </w:r>
      <w:r>
        <w:rPr>
          <w:rFonts w:eastAsiaTheme="minorEastAsia"/>
          <w:b w:val="0"/>
          <w:bCs w:val="0"/>
          <w:szCs w:val="22"/>
        </w:rPr>
        <w:tab/>
        <w:t xml:space="preserve">Shao T, Zhao M, Liang L, Tang W. Serplulimab Plus Chemotherapy vs Chemotherapy for Treatment of US and Chinese Patients with Extensive-Stage Small-Cell Lung Cancer: A Cost-Effectiveness Analysis to Inform Drug Pricing. BioDrugs Clin Immunother Biopharm Gene Ther. 2023 May;37(3):421–32. </w:t>
      </w:r>
    </w:p>
    <w:p w14:paraId="3008FFAD"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35.</w:t>
      </w:r>
      <w:r>
        <w:rPr>
          <w:rFonts w:eastAsiaTheme="minorEastAsia"/>
          <w:b w:val="0"/>
          <w:bCs w:val="0"/>
          <w:szCs w:val="22"/>
        </w:rPr>
        <w:tab/>
        <w:t xml:space="preserve">Li Y, Liang X, Yang T, Guo S, Chen X. Pembrolizumab vs cemiplimab for the treatment of advanced non-small cell lung cancer with PD-L1 expression levels of at least 50%: A network meta-analysis and cost-effectiveness analysis. Front Oncol. 2022;12:878054. </w:t>
      </w:r>
    </w:p>
    <w:p w14:paraId="64454FFC"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36.</w:t>
      </w:r>
      <w:r>
        <w:rPr>
          <w:rFonts w:eastAsiaTheme="minorEastAsia"/>
          <w:b w:val="0"/>
          <w:bCs w:val="0"/>
          <w:szCs w:val="22"/>
        </w:rPr>
        <w:tab/>
        <w:t xml:space="preserve">Liu M, Zhang L, Huang Q, Li N, Zheng B, Cai H. Cost-Effectiveness Analysis Of Ceritinib And Alectinib Versus Crizotinib In The Treatment Of Anaplastic Lymphoma Kinase-Positive Advanced Non-Small Cell Lung Cancer. Cancer Manag Res. 2019;11:9195–202. </w:t>
      </w:r>
    </w:p>
    <w:p w14:paraId="521A62F8"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lastRenderedPageBreak/>
        <w:t>37.</w:t>
      </w:r>
      <w:r>
        <w:rPr>
          <w:rFonts w:eastAsiaTheme="minorEastAsia"/>
          <w:b w:val="0"/>
          <w:bCs w:val="0"/>
          <w:szCs w:val="22"/>
        </w:rPr>
        <w:tab/>
        <w:t xml:space="preserve">Shu Y, Ding Y, Zhang Q. Cost-Effectiveness of Nivolumab Plus Chemotherapy vs. Chemotherapy as First-Line Treatment for Advanced Gastric Cancer/Gastroesophageal Junction Cancer/Esophagel Adenocarcinoma in China. Front Oncol. 2022;12:851522. </w:t>
      </w:r>
    </w:p>
    <w:p w14:paraId="59539790"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38.</w:t>
      </w:r>
      <w:r>
        <w:rPr>
          <w:rFonts w:eastAsiaTheme="minorEastAsia"/>
          <w:b w:val="0"/>
          <w:bCs w:val="0"/>
          <w:szCs w:val="22"/>
        </w:rPr>
        <w:tab/>
        <w:t xml:space="preserve">Luo X, Zhou Z, Zeng X, Peng L, Liu Q. Cost-effectiveness of ensartinib, crizotinib, ceritinib, alectinib, brigatinib and lorlatinib in patients with anaplastic lymphoma kinase-positive non-small cell lung cancer in China. Front Public Health. 2022;10:985834. </w:t>
      </w:r>
    </w:p>
    <w:p w14:paraId="76EA567C"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39.</w:t>
      </w:r>
      <w:r>
        <w:rPr>
          <w:rFonts w:eastAsiaTheme="minorEastAsia"/>
          <w:b w:val="0"/>
          <w:bCs w:val="0"/>
          <w:szCs w:val="22"/>
        </w:rPr>
        <w:tab/>
        <w:t>Liu Q, Luo X, Zhou Z, Peng L, Yi L, Wan X, et al. PD-L1 Test-Based Strategy With Nivolumab as the Second-Line Treatment in Advanced NSCLC</w:t>
      </w:r>
      <w:r>
        <w:rPr>
          <w:rFonts w:eastAsiaTheme="minorEastAsia"/>
          <w:b w:val="0"/>
          <w:bCs w:val="0"/>
          <w:szCs w:val="22"/>
        </w:rPr>
        <w:t>：</w:t>
      </w:r>
      <w:r>
        <w:rPr>
          <w:rFonts w:eastAsiaTheme="minorEastAsia"/>
          <w:b w:val="0"/>
          <w:bCs w:val="0"/>
          <w:szCs w:val="22"/>
        </w:rPr>
        <w:t xml:space="preserve"> A Cost-Effectiveness Analysis in China. Front Oncol. 2021;11:745493. </w:t>
      </w:r>
    </w:p>
    <w:p w14:paraId="1704D7D3" w14:textId="77777777" w:rsidR="006D1C3F" w:rsidRDefault="00000000">
      <w:pPr>
        <w:pStyle w:val="20"/>
        <w:tabs>
          <w:tab w:val="left" w:pos="264"/>
        </w:tabs>
        <w:ind w:left="264" w:firstLineChars="0" w:hanging="264"/>
        <w:rPr>
          <w:rFonts w:eastAsiaTheme="minorEastAsia"/>
          <w:b w:val="0"/>
          <w:bCs w:val="0"/>
          <w:szCs w:val="22"/>
        </w:rPr>
      </w:pPr>
      <w:r>
        <w:rPr>
          <w:rFonts w:eastAsiaTheme="minorEastAsia"/>
          <w:b w:val="0"/>
          <w:bCs w:val="0"/>
          <w:szCs w:val="22"/>
        </w:rPr>
        <w:t>40.</w:t>
      </w:r>
      <w:r>
        <w:rPr>
          <w:rFonts w:eastAsiaTheme="minorEastAsia"/>
          <w:b w:val="0"/>
          <w:bCs w:val="0"/>
          <w:szCs w:val="22"/>
        </w:rPr>
        <w:tab/>
        <w:t xml:space="preserve">Lin YT, Liu TX, Chen J, Wang C, Chen Y. Cost-Effectiveness of Nivolumab Immunotherapy vs. Paclitaxel or Docetaxel Chemotherapy as Second-Line Therapy in Advanced Esophageal Squamous Cell Carcinoma in China. Front Public Health. 2022;10:923619. </w:t>
      </w:r>
    </w:p>
    <w:p w14:paraId="2FD86809" w14:textId="77777777" w:rsidR="006D1C3F" w:rsidRDefault="00000000">
      <w:pPr>
        <w:pStyle w:val="20"/>
        <w:tabs>
          <w:tab w:val="left" w:pos="264"/>
        </w:tabs>
        <w:ind w:firstLineChars="0" w:firstLine="0"/>
        <w:rPr>
          <w:rFonts w:eastAsiaTheme="minorEastAsia"/>
          <w:b w:val="0"/>
          <w:bCs w:val="0"/>
          <w:szCs w:val="22"/>
        </w:rPr>
      </w:pPr>
      <w:r>
        <w:rPr>
          <w:rFonts w:eastAsiaTheme="minorEastAsia"/>
          <w:b w:val="0"/>
          <w:bCs w:val="0"/>
          <w:szCs w:val="22"/>
        </w:rPr>
        <w:fldChar w:fldCharType="end"/>
      </w:r>
    </w:p>
    <w:sectPr w:rsidR="006D1C3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BD80F" w14:textId="77777777" w:rsidR="001D3B82" w:rsidRDefault="001D3B82">
      <w:pPr>
        <w:spacing w:line="240" w:lineRule="auto"/>
      </w:pPr>
      <w:r>
        <w:separator/>
      </w:r>
    </w:p>
  </w:endnote>
  <w:endnote w:type="continuationSeparator" w:id="0">
    <w:p w14:paraId="59BB5A69" w14:textId="77777777" w:rsidR="001D3B82" w:rsidRDefault="001D3B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等线"/>
    <w:charset w:val="86"/>
    <w:family w:val="auto"/>
    <w:pitch w:val="default"/>
    <w:sig w:usb0="00000000" w:usb1="0000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dobe 黑体 Std R">
    <w:altName w:val="微软雅黑"/>
    <w:panose1 w:val="020B0400000000000000"/>
    <w:charset w:val="86"/>
    <w:family w:val="swiss"/>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44FF" w14:textId="77777777" w:rsidR="006D1C3F" w:rsidRDefault="006D1C3F">
    <w:pPr>
      <w:pStyle w:val="a5"/>
      <w:ind w:firstLine="36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349627"/>
    </w:sdtPr>
    <w:sdtContent>
      <w:p w14:paraId="3CE0AB47" w14:textId="77777777" w:rsidR="006D1C3F" w:rsidRDefault="00000000">
        <w:pPr>
          <w:pStyle w:val="a5"/>
          <w:ind w:firstLine="361"/>
          <w:jc w:val="center"/>
        </w:pPr>
        <w:r>
          <w:fldChar w:fldCharType="begin"/>
        </w:r>
        <w:r>
          <w:instrText>PAGE   \* MERGEFORMAT</w:instrText>
        </w:r>
        <w:r>
          <w:fldChar w:fldCharType="separate"/>
        </w:r>
        <w:r>
          <w:rPr>
            <w:lang w:val="zh-CN"/>
          </w:rPr>
          <w:t>2</w:t>
        </w:r>
        <w:r>
          <w:fldChar w:fldCharType="end"/>
        </w:r>
      </w:p>
    </w:sdtContent>
  </w:sdt>
  <w:p w14:paraId="1217925F" w14:textId="77777777" w:rsidR="006D1C3F" w:rsidRDefault="006D1C3F">
    <w:pPr>
      <w:pStyle w:val="a5"/>
      <w:ind w:firstLine="36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D1B7A" w14:textId="77777777" w:rsidR="006D1C3F" w:rsidRDefault="006D1C3F">
    <w:pPr>
      <w:pStyle w:val="a5"/>
      <w:ind w:firstLine="36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8C0C0" w14:textId="77777777" w:rsidR="001D3B82" w:rsidRDefault="001D3B82">
      <w:r>
        <w:separator/>
      </w:r>
    </w:p>
  </w:footnote>
  <w:footnote w:type="continuationSeparator" w:id="0">
    <w:p w14:paraId="508A072C" w14:textId="77777777" w:rsidR="001D3B82" w:rsidRDefault="001D3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7A458" w14:textId="77777777" w:rsidR="006D1C3F" w:rsidRDefault="006D1C3F">
    <w:pPr>
      <w:pStyle w:val="a7"/>
      <w:ind w:firstLine="36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CDBF0" w14:textId="77777777" w:rsidR="006D1C3F" w:rsidRDefault="006D1C3F">
    <w:pPr>
      <w:pStyle w:val="a7"/>
      <w:ind w:firstLine="36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770C" w14:textId="77777777" w:rsidR="006D1C3F" w:rsidRDefault="006D1C3F">
    <w:pPr>
      <w:pStyle w:val="a7"/>
      <w:ind w:firstLine="36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A39ED"/>
    <w:multiLevelType w:val="singleLevel"/>
    <w:tmpl w:val="A50A39ED"/>
    <w:lvl w:ilvl="0">
      <w:start w:val="1"/>
      <w:numFmt w:val="decimal"/>
      <w:suff w:val="space"/>
      <w:lvlText w:val="(%1)"/>
      <w:lvlJc w:val="left"/>
    </w:lvl>
  </w:abstractNum>
  <w:abstractNum w:abstractNumId="1" w15:restartNumberingAfterBreak="0">
    <w:nsid w:val="D6DBD101"/>
    <w:multiLevelType w:val="multilevel"/>
    <w:tmpl w:val="D6DBD101"/>
    <w:lvl w:ilvl="0">
      <w:start w:val="1"/>
      <w:numFmt w:val="upperLetter"/>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2EB341A2"/>
    <w:multiLevelType w:val="multilevel"/>
    <w:tmpl w:val="2EB341A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590A2A39"/>
    <w:multiLevelType w:val="multilevel"/>
    <w:tmpl w:val="590A2A39"/>
    <w:lvl w:ilvl="0">
      <w:start w:val="1"/>
      <w:numFmt w:val="lowerLetter"/>
      <w:lvlText w:val="%1."/>
      <w:lvlJc w:val="left"/>
      <w:pPr>
        <w:ind w:left="860" w:hanging="360"/>
      </w:pPr>
      <w:rPr>
        <w:rFonts w:hint="default"/>
      </w:rPr>
    </w:lvl>
    <w:lvl w:ilvl="1">
      <w:start w:val="1"/>
      <w:numFmt w:val="lowerLetter"/>
      <w:lvlText w:val="%2)"/>
      <w:lvlJc w:val="left"/>
      <w:pPr>
        <w:ind w:left="1380" w:hanging="440"/>
      </w:pPr>
    </w:lvl>
    <w:lvl w:ilvl="2">
      <w:start w:val="1"/>
      <w:numFmt w:val="lowerRoman"/>
      <w:lvlText w:val="%3."/>
      <w:lvlJc w:val="right"/>
      <w:pPr>
        <w:ind w:left="1820" w:hanging="440"/>
      </w:pPr>
    </w:lvl>
    <w:lvl w:ilvl="3">
      <w:start w:val="1"/>
      <w:numFmt w:val="decimal"/>
      <w:lvlText w:val="%4."/>
      <w:lvlJc w:val="left"/>
      <w:pPr>
        <w:ind w:left="2260" w:hanging="440"/>
      </w:pPr>
    </w:lvl>
    <w:lvl w:ilvl="4">
      <w:start w:val="1"/>
      <w:numFmt w:val="lowerLetter"/>
      <w:lvlText w:val="%5)"/>
      <w:lvlJc w:val="left"/>
      <w:pPr>
        <w:ind w:left="2700" w:hanging="440"/>
      </w:pPr>
    </w:lvl>
    <w:lvl w:ilvl="5">
      <w:start w:val="1"/>
      <w:numFmt w:val="lowerRoman"/>
      <w:lvlText w:val="%6."/>
      <w:lvlJc w:val="right"/>
      <w:pPr>
        <w:ind w:left="3140" w:hanging="440"/>
      </w:pPr>
    </w:lvl>
    <w:lvl w:ilvl="6">
      <w:start w:val="1"/>
      <w:numFmt w:val="decimal"/>
      <w:lvlText w:val="%7."/>
      <w:lvlJc w:val="left"/>
      <w:pPr>
        <w:ind w:left="3580" w:hanging="440"/>
      </w:pPr>
    </w:lvl>
    <w:lvl w:ilvl="7">
      <w:start w:val="1"/>
      <w:numFmt w:val="lowerLetter"/>
      <w:lvlText w:val="%8)"/>
      <w:lvlJc w:val="left"/>
      <w:pPr>
        <w:ind w:left="4020" w:hanging="440"/>
      </w:pPr>
    </w:lvl>
    <w:lvl w:ilvl="8">
      <w:start w:val="1"/>
      <w:numFmt w:val="lowerRoman"/>
      <w:lvlText w:val="%9."/>
      <w:lvlJc w:val="right"/>
      <w:pPr>
        <w:ind w:left="4460" w:hanging="440"/>
      </w:pPr>
    </w:lvl>
  </w:abstractNum>
  <w:num w:numId="1" w16cid:durableId="1504856258">
    <w:abstractNumId w:val="0"/>
  </w:num>
  <w:num w:numId="2" w16cid:durableId="582493358">
    <w:abstractNumId w:val="2"/>
  </w:num>
  <w:num w:numId="3" w16cid:durableId="129712781">
    <w:abstractNumId w:val="3"/>
  </w:num>
  <w:num w:numId="4" w16cid:durableId="1023826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201"/>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djNzJiNTk5NmRmYmYzZDlmNjhlMTAzYTRmYjYyYTkifQ=="/>
    <w:docVar w:name="NE.Ref{09DA786E-FED6-448C-8F90-A2CA05986216}" w:val=" ADDIN NE.Ref.{09DA786E-FED6-448C-8F90-A2CA05986216}&lt;Citation&gt;&lt;Group&gt;&lt;References&gt;&lt;Item&gt;&lt;ID&gt;3613&lt;/ID&gt;&lt;UID&gt;{FFB8010C-46AD-4D64-ACC4-2AED228E089D}&lt;/UID&gt;&lt;Title&gt;The PRIME Type 2 Diabetes Model: a novel, patient-level model for estimating  long-term clinical and cost outcomes in patients with type 2 diabetes mellitus&lt;/Title&gt;&lt;Template&gt;Journal Article&lt;/Template&gt;&lt;Star&gt;0&lt;/Star&gt;&lt;Tag&gt;0&lt;/Tag&gt;&lt;Author&gt;Pollock, R F; Norrbacka, K; Boye, K S; Osumili, B; Valentine, W J&lt;/Author&gt;&lt;Year&gt;2022&lt;/Year&gt;&lt;Details&gt;&lt;_accession_num&gt;35105267&lt;/_accession_num&gt;&lt;_author_adr&gt;Health Economics and Outcomes Research, Covalence Research Ltd, London, UK.; Eli Lilly Finland, Helsinki, Finland.; Global Patient Outcomes and Real World Evidence, Eli Lilly and Company,  Indianapolis, USA.; GPORWE International, Eli Lilly and Company Ltd, Surrey, UK.; Health Economics, Ossian Health Economics and Communications, Basel, Switzerland.&lt;/_author_adr&gt;&lt;_date_display&gt;2022 Jan-Dec&lt;/_date_display&gt;&lt;_date&gt;2022-01-01&lt;/_date&gt;&lt;_doi&gt;10.1080/13696998.2022.2035132&lt;/_doi&gt;&lt;_isbn&gt;1941-837X (Electronic); 1369-6998 (Linking)&lt;/_isbn&gt;&lt;_issue&gt;1&lt;/_issue&gt;&lt;_journal&gt;J Med Econ&lt;/_journal&gt;&lt;_keywords&gt;C; C6; C63; Cost-effectiveness; I; I1; I10; model; risk prediction; type 2 diabetes mellitus&lt;/_keywords&gt;&lt;_language&gt;eng&lt;/_language&gt;&lt;_pages&gt;393-402&lt;/_pages&gt;&lt;_subject_headings&gt;Cost-Benefit Analysis; *Diabetes Complications; *Diabetes Mellitus, Type 2; Humans; Hypoglycemic Agents; Longitudinal Studies; Quality-Adjusted Life Years&lt;/_subject_headings&gt;&lt;_tertiary_title&gt;Journal of medical economics&lt;/_tertiary_title&gt;&lt;_type_work&gt;Journal Article; Systematic Review&lt;/_type_work&gt;&lt;_url&gt;http://www.ncbi.nlm.nih.gov/entrez/query.fcgi?cmd=Retrieve&amp;amp;db=pubmed&amp;amp;dopt=Abstract&amp;amp;list_uids=35105267&amp;amp;query_hl=1&lt;/_url&gt;&lt;_volume&gt;25&lt;/_volume&gt;&lt;_created&gt;66161821&lt;/_created&gt;&lt;_modified&gt;66161831&lt;/_modified&gt;&lt;_impact_factor&gt;   2.400&lt;/_impact_factor&gt;&lt;_social_category&gt;卫生保健与服务(4) &amp;amp; 医学：内科(3)&lt;/_social_category&gt;&lt;_collection_scope&gt;SCIE&lt;/_collection_scope&gt;&lt;_accessed&gt;66161831&lt;/_accessed&gt;&lt;/Details&gt;&lt;Extra&gt;&lt;DBUID&gt;{DE16ABCE-A785-434C-BF43-2FE58866AFDD}&lt;/DBUID&gt;&lt;/Extra&gt;&lt;/Item&gt;&lt;/References&gt;&lt;/Group&gt;&lt;/Citation&gt;_x000a_"/>
    <w:docVar w:name="NE.Ref{0AD95080-64C9-42C6-9632-F1078E6AC60A}" w:val=" ADDIN NE.Ref.{0AD95080-64C9-42C6-9632-F1078E6AC60A}&lt;Citation&gt;&lt;Group&gt;&lt;References&gt;&lt;Item&gt;&lt;ID&gt;3651&lt;/ID&gt;&lt;UID&gt;{3CC55B33-10C4-411F-ADED-C8A0B1E96D80}&lt;/UID&gt;&lt;Title&gt;Cost-effectiveness of ensartinib, crizotinib, ceritinib, alectinib, brigatinib  and lorlatinib in patients with anaplastic lymphoma kinase-positive non-small  cell lung cancer in China&lt;/Title&gt;&lt;Template&gt;Journal Article&lt;/Template&gt;&lt;Star&gt;0&lt;/Star&gt;&lt;Tag&gt;0&lt;/Tag&gt;&lt;Author&gt;Luo, X; Zhou, Z; Zeng, X; Peng, L; Liu, Q&lt;/Author&gt;&lt;Year&gt;2022&lt;/Year&gt;&lt;Details&gt;&lt;_accession_num&gt;36211665&lt;/_accession_num&gt;&lt;_author_adr&gt;Department of Pharmacy, the Second Xiangya Hospital of Central South University,  Changsha, China.; Menzies Institute for Medical Research, University of Tasmania, Hobart, TAS,  Australia.; Department of Nuclear Medicine/PET Image Center, the Second Xiangya Hospital of  Central South University, Changsha, China.; Department of Pharmacy, the Second Xiangya Hospital of Central South University,  Changsha, China.; Department of Pharmacy, the Second Xiangya Hospital of Central South University,  Changsha, China.&lt;/_author_adr&gt;&lt;_date_display&gt;2022&lt;/_date_display&gt;&lt;_date&gt;2022-01-20&lt;/_date&gt;&lt;_doi&gt;10.3389/fpubh.2022.985834&lt;/_doi&gt;&lt;_isbn&gt;2296-2565 (Electronic); 2296-2565 (Linking)&lt;/_isbn&gt;&lt;_journal&gt;Front Public Health&lt;/_journal&gt;&lt;_keywords&gt;ALK-TKI; China; Non-small cell lung cancer; cost-effectiveness; domestic anticancer drug; ensartinib&lt;/_keywords&gt;&lt;_language&gt;eng&lt;/_language&gt;&lt;_ori_publication&gt;Copyright © 2022 Luo, Zhou, Zeng, Peng and Liu.&lt;/_ori_publication&gt;&lt;_pages&gt;985834&lt;/_pages&gt;&lt;_subject_headings&gt;Aminopyridines; Anaplastic Lymphoma Kinase/analysis; Carbazoles; *Carcinoma, Non-Small-Cell Lung/drug therapy/pathology; Clinical Trials as Topic; Cost-Benefit Analysis; Crizotinib; Humans; Lactams; *Lung Neoplasms/drug therapy/pathology; Organophosphorus Compounds; Piperazines; Piperidines; Protein Kinase Inhibitors/therapeutic use; Pyrazoles; Pyridazines; Pyrimidines; Sulfones&lt;/_subject_headings&gt;&lt;_tertiary_title&gt;Frontiers in public health&lt;/_tertiary_title&gt;&lt;_type_work&gt;Journal Article; Research Support, Non-U.S. Gov&amp;apos;t&lt;/_type_work&gt;&lt;_url&gt;http://www.ncbi.nlm.nih.gov/entrez/query.fcgi?cmd=Retrieve&amp;amp;db=pubmed&amp;amp;dopt=Abstract&amp;amp;list_uids=36211665&amp;amp;query_hl=1&lt;/_url&gt;&lt;_volume&gt;10&lt;/_volume&gt;&lt;_created&gt;66161884&lt;/_created&gt;&lt;_modified&gt;66161884&lt;/_modified&gt;&lt;_impact_factor&gt;   5.200&lt;/_impact_factor&gt;&lt;_social_category&gt;公共卫生、环境卫生与职业卫生(3)&lt;/_social_category&gt;&lt;_collection_scope&gt;SSCI;SCIE&lt;/_collection_scope&gt;&lt;_accessed&gt;66161885&lt;/_accessed&gt;&lt;/Details&gt;&lt;Extra&gt;&lt;DBUID&gt;{DE16ABCE-A785-434C-BF43-2FE58866AFDD}&lt;/DBUID&gt;&lt;/Extra&gt;&lt;/Item&gt;&lt;/References&gt;&lt;/Group&gt;&lt;/Citation&gt;_x000a_"/>
    <w:docVar w:name="NE.Ref{0DA35F2E-FAD3-467A-A160-E9230BC85035}" w:val=" ADDIN NE.Ref.{0DA35F2E-FAD3-467A-A160-E9230BC85035}&lt;Citation&gt;&lt;Group&gt;&lt;References&gt;&lt;Item&gt;&lt;ID&gt;3649&lt;/ID&gt;&lt;UID&gt;{8FFD87A9-5BC8-41C5-A91D-F141D0FD0275}&lt;/UID&gt;&lt;Title&gt;Cost-Effectiveness Analysis Of Ceritinib And Alectinib Versus Crizotinib In The  Treatment Of Anaplastic Lymphoma Kinase-Positive Advanced Non-Small Cell Lung  Cancer&lt;/Title&gt;&lt;Template&gt;Journal Article&lt;/Template&gt;&lt;Star&gt;0&lt;/Star&gt;&lt;Tag&gt;0&lt;/Tag&gt;&lt;Author&gt;Liu, M; Zhang, L; Huang, Q; Li, N; Zheng, B; Cai, H&lt;/Author&gt;&lt;Year&gt;2019&lt;/Year&gt;&lt;Details&gt;&lt;_accession_num&gt;31749634&lt;/_accession_num&gt;&lt;_author_adr&gt;Department of Pharmacy, Fujian Medical University Union Hospital, Fuzhou, Fujian  Province, People&amp;apos;s Republic of China.; Department of Medical Oncology, Fujian Provincial Cancer Hospital, Fuzhou, Fujian  Province, People&amp;apos;s Republic of China.; College of Pharmacy, Fujian Medical University,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lt;/_author_adr&gt;&lt;_date_display&gt;2019&lt;/_date_display&gt;&lt;_date&gt;2019-01-20&lt;/_date&gt;&lt;_doi&gt;10.2147/CMAR.S223441&lt;/_doi&gt;&lt;_isbn&gt;1179-1322 (Print); 1179-1322 (Electronic); 1179-1322 (Linking)&lt;/_isbn&gt;&lt;_journal&gt;Cancer Manag Res&lt;/_journal&gt;&lt;_keywords&gt;NSCLC; alectinib; ceritinib; cost-effectiveness; crizotinib&lt;/_keywords&gt;&lt;_language&gt;eng&lt;/_language&gt;&lt;_ori_publication&gt;© 2019 Liu et al.&lt;/_ori_publication&gt;&lt;_pages&gt;9195-9202&lt;/_pages&gt;&lt;_tertiary_title&gt;Cancer management and research&lt;/_tertiary_title&gt;&lt;_type_work&gt;Journal Article&lt;/_type_work&gt;&lt;_url&gt;http://www.ncbi.nlm.nih.gov/entrez/query.fcgi?cmd=Retrieve&amp;amp;db=pubmed&amp;amp;dopt=Abstract&amp;amp;list_uids=31749634&amp;amp;query_hl=1&lt;/_url&gt;&lt;_volume&gt;11&lt;/_volume&gt;&lt;_created&gt;66161882&lt;/_created&gt;&lt;_modified&gt;66161882&lt;/_modified&gt;&lt;_impact_factor&gt;   3.300&lt;/_impact_factor&gt;&lt;_social_category&gt;肿瘤学(4)&lt;/_social_category&gt;&lt;_collection_scope&gt;SCIE&lt;/_collection_scope&gt;&lt;_accessed&gt;66161882&lt;/_accessed&gt;&lt;/Details&gt;&lt;Extra&gt;&lt;DBUID&gt;{DE16ABCE-A785-434C-BF43-2FE58866AFDD}&lt;/DBUID&gt;&lt;/Extra&gt;&lt;/Item&gt;&lt;/References&gt;&lt;/Group&gt;&lt;/Citation&gt;_x000a_"/>
    <w:docVar w:name="NE.Ref{112F2D4F-B182-4599-A09F-201635574EB1}" w:val=" ADDIN NE.Ref.{112F2D4F-B182-4599-A09F-201635574EB1}&lt;Citation&gt;&lt;Group&gt;&lt;References&gt;&lt;Item&gt;&lt;ID&gt;1294&lt;/ID&gt;&lt;UID&gt;{C4C95F0E-026B-48E2-B2F1-6A23C7D2B4EC}&lt;/UID&gt;&lt;Title&gt;Lorlatinib for Previously Treated ALK-Positive Advanced NSCLC: Primary Efficacy  and Safety From a Phase 2 Study in People&amp;apos;s Republic of China&lt;/Title&gt;&lt;Template&gt;Journal Article&lt;/Template&gt;&lt;Star&gt;0&lt;/Star&gt;&lt;Tag&gt;0&lt;/Tag&gt;&lt;Author&gt;Lu, S; Zhou, Q; Liu, X; &amp;quot;Du Y&amp;quot;; Fan, Y; Cheng, Y; Fang, J; Lu, Y; Huang, C; Zhou, J; Song, Y; Wang, K; Pan, H; Yang, N; Li, J; Chen, G; Chang, J; Cui, J; Liu, Z; Bai, C; Zhang, H; Zhao, H; Zhang, K; Peltz, G; Li, H; Wu, Y L&lt;/Author&gt;&lt;Year&gt;2022&lt;/Year&gt;&lt;Details&gt;&lt;_accession_num&gt;35307611&lt;/_accession_num&gt;&lt;_author_adr&gt;Shanghai Chest Hospital, Shanghai, People&amp;apos;s Republic of China.; Guangdong Lung Cancer Institute, Guangdong Provincial People&amp;apos;s Hospital,  Guangdong Academy of Medical Sciences, Guangzhou, People&amp;apos;s Republic of China.; Fifth Medical Center of PLA General Hospital, Beijing, People&amp;apos;s Republic of  China.; The First Affiliated Hospital of Anhui Medical University, Anhui, People&amp;apos;s  Republic of China.; Zhejiang Cancer Hospital, Hangzhou, People&amp;apos;s Republic of China.; Jilin Provincial Cancer Hospital, Changchun, People&amp;apos;s Republic of China.; Beijing Cancer Hospital, Beijing, People&amp;apos;s Republic of China.; West China Hospital of Sichuan University, Chengdu, People&amp;apos;s Republic of China.; Fujian Province Oncology Hospital, Fuzhou, People&amp;apos;s Republic of China.; First Affiliated Hospital, Zhejiang Medical University, Hangzhou, People&amp;apos;s  Republic of China.; Nanjing General Hospital of Nanjing Military Command, Nanjing, People&amp;apos;s Republic  of China.; The Second Affiliated Hospital of Zhejiang University College of Medicine,  Hangzhou, People&amp;apos;s Republic of China.; Sir Run Run Shaw Hospital of College of Medicine of Zhejiang University,  Hangzhou, People&amp;apos;s Republic of China.; Hunan Provincial Tumor Hospital, Changsha, People&amp;apos;s Republic of China.; Sichuan Province Cancer Hospital, Chengdu, People&amp;apos;s Republic of China.; Harbin Medical University Cancer Hospital, Harbin, People&amp;apos;s Republic of China.; Cancer Hospital Chinese Academy of Medical Sciences, Shenzhen Center, Shenzhen,  China, 518116.; First Hospital of Jilin University, Changchun, People&amp;apos;s Republic of China.; Beijing Chest Hospital, Capital Medical University, Beijing, People&amp;apos;s Republic of  China.; Zhongshan Hospital, Fudan University, Shanghai, People&amp;apos;s Republic of China.; Tangdu Hospital, Fourth Military Medical University, Xi&amp;apos;an, People&amp;apos;s Republic of  China.; Pfizer, Shanghai, People&amp;apos;s Republic of China.; Pfizer, Shanghai, People&amp;apos;s Republic of China.; Pfizer Inc., Cambridge, Massachusetts.; Pfizer, Shanghai, People&amp;apos;s Republic of China.; Guangdong Lung Cancer Institute, Guangdong Provincial People&amp;apos;s Hospital,  Guangdong Academy of Medical Sciences, Guangzhou, People&amp;apos;s Republic of China.  Electronic address: syylwu@live.cn.&lt;/_author_adr&gt;&lt;_collection_scope&gt;SCIE&lt;/_collection_scope&gt;&lt;_created&gt;65294002&lt;/_created&gt;&lt;_date&gt;2022-06-01&lt;/_date&gt;&lt;_date_display&gt;2022 Jun&lt;/_date_display&gt;&lt;_db_updated&gt;PubMed&lt;/_db_updated&gt;&lt;_doi&gt;10.1016/j.jtho.2022.02.014&lt;/_doi&gt;&lt;_impact_factor&gt;  20.121&lt;/_impact_factor&gt;&lt;_isbn&gt;1556-1380 (Electronic); 1556-0864 (Linking)&lt;/_isbn&gt;&lt;_issue&gt;6&lt;/_issue&gt;&lt;_journal&gt;J Thorac Oncol&lt;/_journal&gt;&lt;_keywords&gt;ALK; China; Lorlatinib; Non-small cell lung cancer; Tyrosine kinase inhibitor&lt;/_keywords&gt;&lt;_language&gt;eng&lt;/_language&gt;&lt;_modified&gt;65294002&lt;/_modified&gt;&lt;_ori_publication&gt;Copyright (c) 2022 International Association for the Study of Lung Cancer. _x000d__x000a_      Published by Elsevier Inc. All rights reserved.&lt;/_ori_publication&gt;&lt;_pages&gt;816-826&lt;/_pages&gt;&lt;_social_category&gt;肿瘤学(1) &amp;amp; 呼吸系统(1)&lt;/_social_category&gt;&lt;_subject_headings&gt;Aminopyridines/adverse effects; *Carcinoma, Non-Small-Cell Lung/drug therapy/pathology; Cohort Studies; Crizotinib/therapeutic use; Humans; Lactams/adverse effects; *Lung Neoplasms/drug therapy/pathology; Protein Kinase Inhibitors/adverse effects; Pyrazoles/adverse effects; Receptor Protein-Tyrosine Kinases; Taiwan&lt;/_subject_headings&gt;&lt;_tertiary_title&gt;Journal of thoracic oncology : official publication of the International _x000d__x000a_      Association for the Study of Lung Cancer&lt;/_tertiary_title&gt;&lt;_type_work&gt;Clinical Trial, Phase II; Journal Article&lt;/_type_work&gt;&lt;_url&gt;http://www.ncbi.nlm.nih.gov/entrez/query.fcgi?cmd=Retrieve&amp;amp;db=pubmed&amp;amp;dopt=Abstract&amp;amp;list_uids=35307611&amp;amp;query_hl=1&lt;/_url&gt;&lt;_volume&gt;17&lt;/_volume&gt;&lt;/Details&gt;&lt;Extra&gt;&lt;DBUID&gt;{A96A13AE-8553-4F4D-9468-5E97E276BB62}&lt;/DBUID&gt;&lt;/Extra&gt;&lt;/Item&gt;&lt;/References&gt;&lt;/Group&gt;&lt;/Citation&gt;_x000a_"/>
    <w:docVar w:name="NE.Ref{15495699-65FD-45AC-8AC2-5E52CB60C632}" w:val=" ADDIN NE.Ref.{15495699-65FD-45AC-8AC2-5E52CB60C632}&lt;Citation&gt;&lt;Group&gt;&lt;References&gt;&lt;Item&gt;&lt;ID&gt;3649&lt;/ID&gt;&lt;UID&gt;{8FFD87A9-5BC8-41C5-A91D-F141D0FD0275}&lt;/UID&gt;&lt;Title&gt;Cost-Effectiveness Analysis Of Ceritinib And Alectinib Versus Crizotinib In The  Treatment Of Anaplastic Lymphoma Kinase-Positive Advanced Non-Small Cell Lung  Cancer&lt;/Title&gt;&lt;Template&gt;Journal Article&lt;/Template&gt;&lt;Star&gt;0&lt;/Star&gt;&lt;Tag&gt;0&lt;/Tag&gt;&lt;Author&gt;Liu, M; Zhang, L; Huang, Q; Li, N; Zheng, B; Cai, H&lt;/Author&gt;&lt;Year&gt;2019&lt;/Year&gt;&lt;Details&gt;&lt;_accession_num&gt;31749634&lt;/_accession_num&gt;&lt;_author_adr&gt;Department of Pharmacy, Fujian Medical University Union Hospital, Fuzhou, Fujian  Province, People&amp;apos;s Republic of China.; Department of Medical Oncology, Fujian Provincial Cancer Hospital, Fuzhou, Fujian  Province, People&amp;apos;s Republic of China.; College of Pharmacy, Fujian Medical University,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lt;/_author_adr&gt;&lt;_date_display&gt;2019&lt;/_date_display&gt;&lt;_date&gt;2019-01-20&lt;/_date&gt;&lt;_doi&gt;10.2147/CMAR.S223441&lt;/_doi&gt;&lt;_isbn&gt;1179-1322 (Print); 1179-1322 (Electronic); 1179-1322 (Linking)&lt;/_isbn&gt;&lt;_journal&gt;Cancer Manag Res&lt;/_journal&gt;&lt;_keywords&gt;NSCLC; alectinib; ceritinib; cost-effectiveness; crizotinib&lt;/_keywords&gt;&lt;_language&gt;eng&lt;/_language&gt;&lt;_ori_publication&gt;© 2019 Liu et al.&lt;/_ori_publication&gt;&lt;_pages&gt;9195-9202&lt;/_pages&gt;&lt;_tertiary_title&gt;Cancer management and research&lt;/_tertiary_title&gt;&lt;_type_work&gt;Journal Article&lt;/_type_work&gt;&lt;_url&gt;http://www.ncbi.nlm.nih.gov/entrez/query.fcgi?cmd=Retrieve&amp;amp;db=pubmed&amp;amp;dopt=Abstract&amp;amp;list_uids=31749634&amp;amp;query_hl=1&lt;/_url&gt;&lt;_volume&gt;11&lt;/_volume&gt;&lt;_created&gt;66161882&lt;/_created&gt;&lt;_modified&gt;66161882&lt;/_modified&gt;&lt;_impact_factor&gt;   3.300&lt;/_impact_factor&gt;&lt;_social_category&gt;肿瘤学(4)&lt;/_social_category&gt;&lt;_collection_scope&gt;SCIE&lt;/_collection_scope&gt;&lt;_accessed&gt;66161882&lt;/_accessed&gt;&lt;/Details&gt;&lt;Extra&gt;&lt;DBUID&gt;{DE16ABCE-A785-434C-BF43-2FE58866AFDD}&lt;/DBUID&gt;&lt;/Extra&gt;&lt;/Item&gt;&lt;/References&gt;&lt;/Group&gt;&lt;/Citation&gt;_x000a_"/>
    <w:docVar w:name="NE.Ref{191A69F3-A111-4E20-838F-CECEAD6F6CA1}" w:val=" ADDIN NE.Ref.{191A69F3-A111-4E20-838F-CECEAD6F6CA1}&lt;Citation&gt;&lt;Group&gt;&lt;References&gt;&lt;Item&gt;&lt;ID&gt;3642&lt;/ID&gt;&lt;UID&gt;{8A795457-A564-47DA-AE89-217218FBA50B}&lt;/UID&gt;&lt;Title&gt;Cost-Effectiveness Analysis of Five Systemic Treatments for Unresectable  Hepatocellular Carcinoma in China: An Economic Evaluation Based on Network  Meta-Analysis&lt;/Title&gt;&lt;Template&gt;Journal Article&lt;/Template&gt;&lt;Star&gt;0&lt;/Star&gt;&lt;Tag&gt;0&lt;/Tag&gt;&lt;Author&gt;Zhao, M; Pan, X; Yin, Y; Hu, H; Wei, J; Bai, Z; Tang, W&lt;/Author&gt;&lt;Year&gt;2022&lt;/Year&gt;&lt;Details&gt;&lt;_accession_num&gt;35493395&lt;/_accession_num&gt;&lt;_author_adr&gt;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Jiangsu Institute of Cancer Research, Jiangsu Cancer Hospital, The Affiliated  Cancer Hospital of Nanjing Medical University, Nanjing, China.; Jiangsu Institute of Cancer Research, Jiangsu Cancer Hospital, The Affiliated  Cancer Hospital of Nanjing Medical University, Nanjing, China.; Department of Pharmacoeconomics, School of International Pharmaceutical Business,  China Pharmaceutical University, Nanjing, China.; Center for Pharmacoeconomics and Outcomes Research, China Pharmaceutical  University, Nanjing, China.&lt;/_author_adr&gt;&lt;_date_display&gt;2022&lt;/_date_display&gt;&lt;_date&gt;2022-01-20&lt;/_date&gt;&lt;_doi&gt;10.3389/fpubh.2022.869960&lt;/_doi&gt;&lt;_isbn&gt;2296-2565 (Electronic); 2296-2565 (Linking)&lt;/_isbn&gt;&lt;_journal&gt;Front Public Health&lt;/_journal&gt;&lt;_keywords&gt;cost-effectiveness analysis; fractional polynomial; network meta-analysis; partitioned survival; unresectable hepatocellular carcinoma&lt;/_keywords&gt;&lt;_language&gt;eng&lt;/_language&gt;&lt;_ori_publication&gt;Copyright © 2022 Zhao, Pan, Yin, Hu, Wei, Bai and Tang.&lt;/_ori_publication&gt;&lt;_pages&gt;869960&lt;/_pages&gt;&lt;_subject_headings&gt;Bevacizumab/therapeutic use; *Carcinoma, Hepatocellular/drug therapy; Cost-Benefit Analysis; Humans; *Liver Neoplasms/drug therapy; Sorafenib/therapeutic use&lt;/_subject_headings&gt;&lt;_tertiary_title&gt;Frontiers in public health&lt;/_tertiary_title&gt;&lt;_type_work&gt;Journal Article; Network Meta-Analysis; Research Support, Non-U.S. Gov&amp;apos;t&lt;/_type_work&gt;&lt;_url&gt;http://www.ncbi.nlm.nih.gov/entrez/query.fcgi?cmd=Retrieve&amp;amp;db=pubmed&amp;amp;dopt=Abstract&amp;amp;list_uids=35493395&amp;amp;query_hl=1&lt;/_url&gt;&lt;_volume&gt;10&lt;/_volume&gt;&lt;_created&gt;66161872&lt;/_created&gt;&lt;_modified&gt;66161872&lt;/_modified&gt;&lt;_impact_factor&gt;   5.200&lt;/_impact_factor&gt;&lt;_social_category&gt;公共卫生、环境卫生与职业卫生(3)&lt;/_social_category&gt;&lt;_collection_scope&gt;SSCI;SCIE&lt;/_collection_scope&gt;&lt;_accessed&gt;66161872&lt;/_accessed&gt;&lt;/Details&gt;&lt;Extra&gt;&lt;DBUID&gt;{DE16ABCE-A785-434C-BF43-2FE58866AFDD}&lt;/DBUID&gt;&lt;/Extra&gt;&lt;/Item&gt;&lt;/References&gt;&lt;/Group&gt;&lt;/Citation&gt;_x000a_"/>
    <w:docVar w:name="NE.Ref{1A9ED91A-73F8-487D-B5EC-A32EBED9C083}" w:val=" ADDIN NE.Ref.{1A9ED91A-73F8-487D-B5EC-A32EBED9C083}&lt;Citation&gt;&lt;Group&gt;&lt;References&gt;&lt;Item&gt;&lt;ID&gt;3635&lt;/ID&gt;&lt;UID&gt;{8A633661-B32B-482D-84E7-91B281EB4DFC}&lt;/UID&gt;&lt;Title&gt;Envonalkib versus crizotinib for treatment-naive ALK-positive non-small cell lung  cancer: a randomized, multicenter, open-label, phase III trial&lt;/Title&gt;&lt;Template&gt;Journal Article&lt;/Template&gt;&lt;Star&gt;0&lt;/Star&gt;&lt;Tag&gt;0&lt;/Tag&gt;&lt;Author&gt;Yang, Y; Min, J; Yang, N; Yu, Q; Cheng, Y; Zhao, Y; Li, M; Chen, H; Ren, S; Zhou, J; Zhuang, W; Qin, X; Cao, L; Yu, Y; Zhang, J; He, J; Feng, J; Yu, H; Zhang, L; Fang, W&lt;/Author&gt;&lt;Year&gt;2023&lt;/Year&gt;&lt;Details&gt;&lt;_accession_num&gt;37574511&lt;/_accession_num&gt;&lt;_author_adr&gt;Department of Medical Oncology, Sun Yat-sen University Cancer Center, State Key  Laboratory of Oncology in South China, Collaborative Innovation Center for Cancer  Medicine, Guangzhou, 510060, China.; Department of Oncology, The Second Affiliated Hospital of Air Force Medical  University, Xi&amp;apos;an, 710038, China.; Department of Medical Oncology, Lung Cancer and Gastrointestinal Unit, Hunan  Cancer Hospital/The Affiliated Cancer Hospital of Xiangya School of Medicine,  Central South University, Changsha, 410013, China.; Department of Medical Oncology of Respiratory, Affiliated Tumor Hospital of  Guangxi Medical University, Guangxi, Nanning, 530021, China.; Department of Thoracic Medical Oncology, Jilin Provincial Cancer Hospital,  Changchun, 130012, China.; Department of Medical Oncology, The Affiliated Cancer Hospital of Zhengzhou  University, Zhengzhou, 450003, China.; Department of Respiratory, First Affiliated Hospital of Xian Jiaotong University,  Xi&amp;apos;an, 710061, China.; Department of Respiratory and Critical Care Medicine, The First Affiliated  Hospital of Chongqing Medical University, Chongqing, 400050, China.; Department of Respiratory, The First Hospital of Shanxi Medical University,  Taiyuan, 030001, China.; Department of Respiratory Disease, The First Affiliated Hospital, Zhejiang  University School of Medicine, Hangzhou, 310003, China.; Department of Medical Oncology, Fujian Cancer Hospital, Fuzhou, 350014, China.; The First Department of Oncology, The First Affiliated Hospital of Guangdong  Pharmaceutical University, Guangzhou, 510699, China.; Department of Respiratory and Critical Care Medicine, Anhui Provincial Hospital,  Hefei, 230000, China.; Department of Respiratory Medicine, Affiliated Cancer Hospital of Harbin Medical  University, Harbin, 150000, China.; Department of Respiratory Medicine, The First Affiliated Hospital of Air Force  Medical University, Xi&amp;apos;an, 710032, China.; Department of Cardiothoracic Surgery, The First Affiliated Hospital of Guangzhou  Medical College, Guangzhou Research Institute of Respiratory Disease and China  State Key Laboratory of Respiratory Disease, Guangzhou, 510120, China.; Department of Medical Oncology, The Affiliated Cancer Hospital of Nanjing Medical  University, Jiangsu Cancer Hospital, Jiangsu Institute of Cancer Research,  Nanjing, 210009, China.; Department of Biostatistics, Nanjing Medical University, Nanjing, 211166, China.; Department of Medical Oncology, Sun Yat-sen University Cancer Center, State Key  Laboratory of Oncology in South China, Collaborative Innovation Center for Cancer  Medicine, Guangzhou, 510060, China. zhangli@sysucc.org.cn.; Department of Medical Oncology, Sun Yat-sen University Cancer Center, State Key  Laboratory of Oncology in South China, Collaborative Innovation Center for Cancer  Medicine, Guangzhou, 510060, China. fangwf@sysucc.org.cn.&lt;/_author_adr&gt;&lt;_date_display&gt;2023 Aug 14&lt;/_date_display&gt;&lt;_date&gt;2023-08-14&lt;/_date&gt;&lt;_doi&gt;10.1038/s41392-023-01538-w&lt;/_doi&gt;&lt;_isbn&gt;2059-3635 (Electronic); 2095-9907 (Print); 2059-3635 (Linking)&lt;/_isbn&gt;&lt;_issue&gt;1&lt;/_issue&gt;&lt;_journal&gt;Signal Transduct Target Ther&lt;/_journal&gt;&lt;_language&gt;eng&lt;/_language&gt;&lt;_ori_publication&gt;© 2023. West China Hospital, Sichuan University.&lt;/_ori_publication&gt;&lt;_pages&gt;301&lt;/_pages&gt;&lt;_subject_headings&gt;Humans; Brain Neoplasms/drug therapy/genetics; *Carcinoma, Non-Small-Cell Lung/drug therapy/genetics; Crizotinib/pharmacology/therapeutic use; *Lung Neoplasms/drug therapy/genetics; Protein Kinase Inhibitors/therapeutic use; Anaplastic Lymphoma Kinase&lt;/_subject_headings&gt;&lt;_tertiary_title&gt;Signal transduction and targeted therapy&lt;/_tertiary_title&gt;&lt;_type_work&gt;Clinical Trial, Phase I; Clinical Trial, Phase III; Journal Article; Multicenter Study; Randomized Controlled Trial; Research Support, Non-U.S. Gov&amp;apos;t&lt;/_type_work&gt;&lt;_url&gt;http://www.ncbi.nlm.nih.gov/entrez/query.fcgi?cmd=Retrieve&amp;amp;db=pubmed&amp;amp;dopt=Abstract&amp;amp;list_uids=37574511&amp;amp;query_hl=1&lt;/_url&gt;&lt;_volume&gt;8&lt;/_volume&gt;&lt;_created&gt;66161858&lt;/_created&gt;&lt;_modified&gt;66161858&lt;/_modified&gt;&lt;_impact_factor&gt;  39.300&lt;/_impact_factor&gt;&lt;_social_category&gt;生化与分子生物学(1) &amp;amp; 细胞生物学(1)&lt;/_social_category&gt;&lt;_collection_scope&gt;CSCD;SCIE&lt;/_collection_scope&gt;&lt;_accessed&gt;66161858&lt;/_accessed&gt;&lt;/Details&gt;&lt;Extra&gt;&lt;DBUID&gt;{DE16ABCE-A785-434C-BF43-2FE58866AFDD}&lt;/DBUID&gt;&lt;/Extra&gt;&lt;/Item&gt;&lt;/References&gt;&lt;/Group&gt;&lt;/Citation&gt;_x000a_"/>
    <w:docVar w:name="NE.Ref{1F0C9ED4-7171-4C78-B16D-D543C726CD1F}" w:val=" ADDIN NE.Ref.{1F0C9ED4-7171-4C78-B16D-D543C726CD1F}&lt;Citation&gt;&lt;Group&gt;&lt;References&gt;&lt;Item&gt;&lt;ID&gt;3613&lt;/ID&gt;&lt;UID&gt;{FFB8010C-46AD-4D64-ACC4-2AED228E089D}&lt;/UID&gt;&lt;Title&gt;The PRIME Type 2 Diabetes Model: a novel, patient-level model for estimating  long-term clinical and cost outcomes in patients with type 2 diabetes mellitus&lt;/Title&gt;&lt;Template&gt;Journal Article&lt;/Template&gt;&lt;Star&gt;0&lt;/Star&gt;&lt;Tag&gt;0&lt;/Tag&gt;&lt;Author&gt;Pollock, R F; Norrbacka, K; Boye, K S; Osumili, B; Valentine, W J&lt;/Author&gt;&lt;Year&gt;2022&lt;/Year&gt;&lt;Details&gt;&lt;_accession_num&gt;35105267&lt;/_accession_num&gt;&lt;_author_adr&gt;Health Economics and Outcomes Research, Covalence Research Ltd, London, UK.; Eli Lilly Finland, Helsinki, Finland.; Global Patient Outcomes and Real World Evidence, Eli Lilly and Company,  Indianapolis, USA.; GPORWE International, Eli Lilly and Company Ltd, Surrey, UK.; Health Economics, Ossian Health Economics and Communications, Basel, Switzerland.&lt;/_author_adr&gt;&lt;_date_display&gt;2022 Jan-Dec&lt;/_date_display&gt;&lt;_date&gt;2022-01-01&lt;/_date&gt;&lt;_doi&gt;10.1080/13696998.2022.2035132&lt;/_doi&gt;&lt;_isbn&gt;1941-837X (Electronic); 1369-6998 (Linking)&lt;/_isbn&gt;&lt;_issue&gt;1&lt;/_issue&gt;&lt;_journal&gt;J Med Econ&lt;/_journal&gt;&lt;_keywords&gt;C; C6; C63; Cost-effectiveness; I; I1; I10; model; risk prediction; type 2 diabetes mellitus&lt;/_keywords&gt;&lt;_language&gt;eng&lt;/_language&gt;&lt;_pages&gt;393-402&lt;/_pages&gt;&lt;_subject_headings&gt;Cost-Benefit Analysis; *Diabetes Complications; *Diabetes Mellitus, Type 2; Humans; Hypoglycemic Agents; Longitudinal Studies; Quality-Adjusted Life Years&lt;/_subject_headings&gt;&lt;_tertiary_title&gt;Journal of medical economics&lt;/_tertiary_title&gt;&lt;_type_work&gt;Journal Article; Systematic Review&lt;/_type_work&gt;&lt;_url&gt;http://www.ncbi.nlm.nih.gov/entrez/query.fcgi?cmd=Retrieve&amp;amp;db=pubmed&amp;amp;dopt=Abstract&amp;amp;list_uids=35105267&amp;amp;query_hl=1&lt;/_url&gt;&lt;_volume&gt;25&lt;/_volume&gt;&lt;_created&gt;66161821&lt;/_created&gt;&lt;_modified&gt;66161821&lt;/_modified&gt;&lt;_impact_factor&gt;   2.400&lt;/_impact_factor&gt;&lt;_social_category&gt;卫生保健与服务(4) &amp;amp; 医学：内科(3)&lt;/_social_category&gt;&lt;_collection_scope&gt;SCIE&lt;/_collection_scope&gt;&lt;_accessed&gt;66161822&lt;/_accessed&gt;&lt;/Details&gt;&lt;Extra&gt;&lt;DBUID&gt;{DE16ABCE-A785-434C-BF43-2FE58866AFDD}&lt;/DBUID&gt;&lt;/Extra&gt;&lt;/Item&gt;&lt;/References&gt;&lt;/Group&gt;&lt;/Citation&gt;_x000a_"/>
    <w:docVar w:name="NE.Ref{205683D1-E5F9-4649-AE36-6A6D75C93695}" w:val=" ADDIN NE.Ref.{205683D1-E5F9-4649-AE36-6A6D75C93695}&lt;Citation&gt;&lt;Group&gt;&lt;References&gt;&lt;Item&gt;&lt;ID&gt;3649&lt;/ID&gt;&lt;UID&gt;{8FFD87A9-5BC8-41C5-A91D-F141D0FD0275}&lt;/UID&gt;&lt;Title&gt;Cost-Effectiveness Analysis Of Ceritinib And Alectinib Versus Crizotinib In The  Treatment Of Anaplastic Lymphoma Kinase-Positive Advanced Non-Small Cell Lung  Cancer&lt;/Title&gt;&lt;Template&gt;Journal Article&lt;/Template&gt;&lt;Star&gt;0&lt;/Star&gt;&lt;Tag&gt;0&lt;/Tag&gt;&lt;Author&gt;Liu, M; Zhang, L; Huang, Q; Li, N; Zheng, B; Cai, H&lt;/Author&gt;&lt;Year&gt;2019&lt;/Year&gt;&lt;Details&gt;&lt;_accession_num&gt;31749634&lt;/_accession_num&gt;&lt;_author_adr&gt;Department of Pharmacy, Fujian Medical University Union Hospital, Fuzhou, Fujian  Province, People&amp;apos;s Republic of China.; Department of Medical Oncology, Fujian Provincial Cancer Hospital, Fuzhou, Fujian  Province, People&amp;apos;s Republic of China.; College of Pharmacy, Fujian Medical University,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lt;/_author_adr&gt;&lt;_date_display&gt;2019&lt;/_date_display&gt;&lt;_date&gt;2019-01-20&lt;/_date&gt;&lt;_doi&gt;10.2147/CMAR.S223441&lt;/_doi&gt;&lt;_isbn&gt;1179-1322 (Print); 1179-1322 (Electronic); 1179-1322 (Linking)&lt;/_isbn&gt;&lt;_journal&gt;Cancer Manag Res&lt;/_journal&gt;&lt;_keywords&gt;NSCLC; alectinib; ceritinib; cost-effectiveness; crizotinib&lt;/_keywords&gt;&lt;_language&gt;eng&lt;/_language&gt;&lt;_ori_publication&gt;© 2019 Liu et al.&lt;/_ori_publication&gt;&lt;_pages&gt;9195-9202&lt;/_pages&gt;&lt;_tertiary_title&gt;Cancer management and research&lt;/_tertiary_title&gt;&lt;_type_work&gt;Journal Article&lt;/_type_work&gt;&lt;_url&gt;http://www.ncbi.nlm.nih.gov/entrez/query.fcgi?cmd=Retrieve&amp;amp;db=pubmed&amp;amp;dopt=Abstract&amp;amp;list_uids=31749634&amp;amp;query_hl=1&lt;/_url&gt;&lt;_volume&gt;11&lt;/_volume&gt;&lt;_created&gt;66161882&lt;/_created&gt;&lt;_modified&gt;66161882&lt;/_modified&gt;&lt;_impact_factor&gt;   3.300&lt;/_impact_factor&gt;&lt;_social_category&gt;肿瘤学(4)&lt;/_social_category&gt;&lt;_collection_scope&gt;SCIE&lt;/_collection_scope&gt;&lt;_accessed&gt;66161882&lt;/_accessed&gt;&lt;/Details&gt;&lt;Extra&gt;&lt;DBUID&gt;{DE16ABCE-A785-434C-BF43-2FE58866AFDD}&lt;/DBUID&gt;&lt;/Extra&gt;&lt;/Item&gt;&lt;/References&gt;&lt;/Group&gt;&lt;/Citation&gt;_x000a_"/>
    <w:docVar w:name="NE.Ref{239D9160-DDD0-4F89-9594-22BA75925AF4}" w:val=" ADDIN NE.Ref.{239D9160-DDD0-4F89-9594-22BA75925AF4}&lt;Citation&gt;&lt;Group&gt;&lt;References&gt;&lt;Item&gt;&lt;ID&gt;3616&lt;/ID&gt;&lt;UID&gt;{AF890A39-F295-41E9-8258-DF84B83AE3C0}&lt;/UID&gt;&lt;Title&gt;Final Overall Survival and Other Efficacy and Safety Results From ASCEND-3: Phase  II Study of Ceritinib in ALKi-Naive Patients With ALK-Rearranged NSCLC&lt;/Title&gt;&lt;Template&gt;Journal Article&lt;/Template&gt;&lt;Star&gt;0&lt;/Star&gt;&lt;Tag&gt;0&lt;/Tag&gt;&lt;Author&gt;Nishio, M; Felip, E; Orlov, S; Park, K; Yu, C J; Tsai, C M; Cobo, M; McKeage, M; Su, W C; Mok, T; Scagliotti, G V; Spigel, D R; Viraswami-Appanna, K; Chen, Z; Passos, V Q; Shaw, A T&lt;/Author&gt;&lt;Year&gt;2020&lt;/Year&gt;&lt;Details&gt;&lt;_accession_num&gt;31778798&lt;/_accession_num&gt;&lt;_author_adr&gt;Thoracic Medical Oncology Department, Cancer Institute Hospital of Japanese  Foundation for Cancer Research, Tokyo, Japan. Electronic address:  mnishio@jfcr.or.jp.; Department of Medical Oncology, Vall d&amp;apos;Hebron University Hospital and Vall  d&amp;apos;Hebron Institute of Oncology, Barcelona, Spain.; Department of Thoracic Oncology, Pavlov First Saint Petersburg State Medical  University, St. Petersburg, Russia.; Division of Hematology and Oncology, Samsung Medical Center, Sungkyunkwan  University School of Medicine, Seoul, Republic of Korea.; Department of Internal Medicine, National Taiwan University, Taipei, Taiwan.; Department of Oncology, Taipei Veterans General Hospital, Taipei, Taiwan.; Medical Oncology Department, Hospital Regional Universitario Málaga, Instituto de  Investigaciones Biomédicas, Málaga, Spain.; Division of Pharmacology and Clinical Pharmacology, Auckland City Hospital and  University of Auckland, Auckland, New Zealand.; Department of Internal Medicine, National Cheng Kung University Hospital, Tainan,  Taiwan.; Department of Clinical Oncology, The Chinese University of Hong Kong, Shatin, The  People&amp;apos;s Republic of China.; Department of Oncology, University of Torino, Orbassano, Torino, Italy.; Medical Oncology, Sarah Cannon Research Institute, Nashville, Tennessee.; Novartis Pharmaceuticals Corporation, East Hanover, New Jersey.; Novartis Pharmaceuticals Corporation, East Hanover, New Jersey.; Novartis Pharmaceuticals Corporation, East Hanover, New Jersey.; Department of Medicine and Pathology, Massachusetts General Hospital, Boston,  Massachusetts.&lt;/_author_adr&gt;&lt;_date_display&gt;2020 Apr&lt;/_date_display&gt;&lt;_date&gt;2020-04-01&lt;/_date&gt;&lt;_doi&gt;10.1016/j.jtho.2019.11.006&lt;/_doi&gt;&lt;_isbn&gt;1556-1380 (Electronic); 1556-0864 (Linking)&lt;/_isbn&gt;&lt;_issue&gt;4&lt;/_issue&gt;&lt;_journal&gt;J Thorac Oncol&lt;/_journal&gt;&lt;_keywords&gt;ALK; Ceritinib; NSCLC; Phase II&lt;/_keywords&gt;&lt;_language&gt;eng&lt;/_language&gt;&lt;_ori_publication&gt;Copyright © 2019 International Association for the Study of Lung Cancer. _x000d__x000a_      Published by Elsevier Inc. All rights reserved.&lt;/_ori_publication&gt;&lt;_pages&gt;609-617&lt;/_pages&gt;&lt;_subject_headings&gt;Anaplastic Lymphoma Kinase/genetics; *Antineoplastic Agents/therapeutic use; Humans; *Lung Neoplasms/drug therapy/genetics; Protein Kinase Inhibitors/therapeutic use; Pyrimidines; Quality of Life; Receptor Protein-Tyrosine Kinases; Sulfones&lt;/_subject_headings&gt;&lt;_tertiary_title&gt;Journal of thoracic oncology : official publication of the International _x000d__x000a_      Association for the Study of Lung Cancer&lt;/_tertiary_title&gt;&lt;_type_work&gt;Clinical Trial, Phase II; Journal Article; Research Support, Non-U.S. Gov&amp;apos;t&lt;/_type_work&gt;&lt;_url&gt;http://www.ncbi.nlm.nih.gov/entrez/query.fcgi?cmd=Retrieve&amp;amp;db=pubmed&amp;amp;dopt=Abstract&amp;amp;list_uids=31778798&amp;amp;query_hl=1&lt;/_url&gt;&lt;_volume&gt;15&lt;/_volume&gt;&lt;_created&gt;66161845&lt;/_created&gt;&lt;_modified&gt;66161845&lt;/_modified&gt;&lt;_impact_factor&gt;  20.400&lt;/_impact_factor&gt;&lt;_social_category&gt;肿瘤学(1) &amp;amp; 呼吸系统(1)&lt;/_social_category&gt;&lt;_collection_scope&gt;SCIE&lt;/_collection_scope&gt;&lt;_accessed&gt;66161846&lt;/_accessed&gt;&lt;/Details&gt;&lt;Extra&gt;&lt;DBUID&gt;{DE16ABCE-A785-434C-BF43-2FE58866AFDD}&lt;/DBUID&gt;&lt;/Extra&gt;&lt;/Item&gt;&lt;/References&gt;&lt;/Group&gt;&lt;/Citation&gt;_x000a_"/>
    <w:docVar w:name="NE.Ref{27348340-C47A-48C0-9079-119102F689F8}" w:val=" ADDIN NE.Ref.{27348340-C47A-48C0-9079-119102F689F8}&lt;Citation&gt;&lt;Group&gt;&lt;References&gt;&lt;Item&gt;&lt;ID&gt;1341&lt;/ID&gt;&lt;UID&gt;{4E9C0385-4A00-43DB-ABC8-B7F364D8EEE6}&lt;/UID&gt;&lt;Title&gt;Phase II study of ceritinib in alectinib-pretreated patients with anaplastic  lymphoma kinase-rearranged metastatic non-small-cell lung cancer in Japan:  ASCEND-9&lt;/Title&gt;&lt;Template&gt;Journal Article&lt;/Template&gt;&lt;Star&gt;0&lt;/Star&gt;&lt;Tag&gt;0&lt;/Tag&gt;&lt;Author&gt;Hida, T; Seto, T; Horinouchi, H; Maemondo, M; Takeda, M; Hotta, K; Hirai, F; Kim, Y H; Matsumoto, S; Ito, M; Ayukawa, K; Tokushige, K; Yonemura, M; Mitsudomi, T; Nishio, M&lt;/Author&gt;&lt;Year&gt;2018&lt;/Year&gt;&lt;Details&gt;&lt;_accession_num&gt;29959809&lt;/_accession_num&gt;&lt;_author_adr&gt;Aichi Cancer Center Hospital, Aichi, Japan.; National Kyushu Cancer Center, Fukuoka, Japan.; National Cancer Center Hospital, Tokyo, Japan.; Miyagi Cancer Center, Miyagi, Japan.; Kindai University, Osaka, Japan.; Okayama University Hospital, Okayama, Japan.; National Kyushu Cancer Center, Fukuoka, Japan.; Kyoto University Hospital, Kyoto, Japan.; National Cancer Center Hospital East, Kashiwa, Japan.; Novartis Pharma K.K., Tokyo, Japan.; Novartis Pharma K.K., Tokyo, Japan.; Novartis Pharma K.K., Tokyo, Japan.; Novartis Pharma K.K., Tokyo, Japan.; Kindai University, Osaka, Japan.; The Cancer Institute Hospital of Japanese Foundation for Cancer Research, Tokyo,  Japan.&lt;/_author_adr&gt;&lt;_collection_scope&gt;SCIE&lt;/_collection_scope&gt;&lt;_created&gt;65322646&lt;/_created&gt;&lt;_date&gt;2018-09-01&lt;/_date&gt;&lt;_date_display&gt;2018 Sep&lt;/_date_display&gt;&lt;_db_updated&gt;PubMed&lt;/_db_updated&gt;&lt;_doi&gt;10.1111/cas.13721&lt;/_doi&gt;&lt;_impact_factor&gt;   6.518&lt;/_impact_factor&gt;&lt;_isbn&gt;1349-7006 (Electronic); 1347-9032 (Print); 1347-9032 (Linking)&lt;/_isbn&gt;&lt;_issue&gt;9&lt;/_issue&gt;&lt;_journal&gt;Cancer Sci&lt;/_journal&gt;&lt;_keywords&gt;ALK; Japan; NSCLC; anaplastic lymphoma kinase; ceritinib&lt;/_keywords&gt;&lt;_language&gt;eng&lt;/_language&gt;&lt;_modified&gt;65322646&lt;/_modified&gt;&lt;_ori_publication&gt;(c) 2018 The Authors. Cancer Science published by John Wiley &amp;amp; Sons Australia, Ltd _x000d__x000a_      on behalf of Japanese Cancer Association.&lt;/_ori_publication&gt;&lt;_pages&gt;2863-2872&lt;/_pages&gt;&lt;_social_category&gt;肿瘤学(2)&lt;/_social_category&gt;&lt;_subject_headings&gt;Adult; Aged; Anaplastic Lymphoma Kinase; Antineoplastic Agents/*therapeutic use; Carbazoles/*therapeutic use; Carcinoma, Non-Small-Cell Lung/*drug therapy/genetics/mortality/secondary; Female; *Gene Rearrangement; Humans; Lung Neoplasms/*drug therapy/genetics/mortality/pathology; Male; Middle Aged; Piperidines/*therapeutic use; Pyrimidines/*therapeutic use; Receptor Protein-Tyrosine Kinases/*genetics; Sulfones/*therapeutic use&lt;/_subject_headings&gt;&lt;_tertiary_title&gt;Cancer science&lt;/_tertiary_title&gt;&lt;_type_work&gt;Clinical Trial, Phase II; Journal Article; Multicenter Study&lt;/_type_work&gt;&lt;_url&gt;http://www.ncbi.nlm.nih.gov/entrez/query.fcgi?cmd=Retrieve&amp;amp;db=pubmed&amp;amp;dopt=Abstract&amp;amp;list_uids=29959809&amp;amp;query_hl=1&lt;/_url&gt;&lt;_volume&gt;109&lt;/_volume&gt;&lt;/Details&gt;&lt;Extra&gt;&lt;DBUID&gt;{A96A13AE-8553-4F4D-9468-5E97E276BB62}&lt;/DBUID&gt;&lt;/Extra&gt;&lt;/Item&gt;&lt;/References&gt;&lt;/Group&gt;&lt;/Citation&gt;_x000a_"/>
    <w:docVar w:name="NE.Ref{28C1066C-7CA1-4FC1-83A9-BF525D735464}" w:val=" ADDIN NE.Ref.{28C1066C-7CA1-4FC1-83A9-BF525D735464}&lt;Citation&gt;&lt;Group&gt;&lt;References&gt;&lt;Item&gt;&lt;ID&gt;1290&lt;/ID&gt;&lt;UID&gt;{472E734F-CEAC-43A2-B28D-5540A7CC3F7F}&lt;/UID&gt;&lt;Title&gt;Final efficacy and safety data, and exploratory molecular profiling from the  phase III ALUR study of alectinib versus chemotherapy in crizotinib-pretreated  ALK-positive non-small-cell lung cancer&lt;/Title&gt;&lt;Template&gt;Journal Article&lt;/Template&gt;&lt;Star&gt;0&lt;/Star&gt;&lt;Tag&gt;0&lt;/Tag&gt;&lt;Author&gt;Wolf, J; Helland, A; Oh, I J; Migliorino, M R; Dziadziuszko, R; Wrona, A; de Castro, J; Mazieres, J; Griesinger, F; Chlistalla, M; Cardona, A; Ruf, T; Trunzer, K; Smoljanovic, V; Novello, S&lt;/Author&gt;&lt;Year&gt;2022&lt;/Year&gt;&lt;Details&gt;&lt;_accession_num&gt;35042152&lt;/_accession_num&gt;&lt;_author_adr&gt;Department I of Internal Medicine, Center for Integrated Oncology, University  Hospital Cologne, Cologne, Germany.; Department of Cancer Genetics and Department of Oncology, Institute for Cancer  Research, Oslo University Hospital, University of Oslo, Oslo, Norway.; Department of Internal Medicine, Chonnam National University Medical School,  Hwasun-gun Jeollanam-do, Republic of Korea.; Pulmonary Oncology Unit, Azienda Ospedaliera San Camillo Forlanini Hospital,  Rome, Italy.; Department of Oncology and Radiotherapy, Medical University of Gdansk, Gdansk,  Poland.; Department of Oncology and Radiotherapy, Medical University of Gdansk, Gdansk,  Poland.; Department of Medical Oncology, La Paz University Hospital, IdiPAZ, Madrid,  Spain.; Department of Pneumology, Toulouse University Hospital, Paul Sabatier University,  Toulouse, France.; Department of Hematology and Oncology, Pius Hospital, University Medicine  Oldenburg, Oldenburg, Germany.; F. Hoffmann-La Roche Ltd., Basel, Switzerland.; F. Hoffmann-La Roche Ltd., Basel, Switzerland.; F. Hoffmann-La Roche Ltd., Basel, Switzerland.; F. Hoffmann-La Roche Ltd., Basel, Switzerland.; F. Hoffmann-La Roche Ltd., Basel, Switzerland.; Department of Oncology, University of Turin, Orbassano, Italy. Electronic  address: silvia.novello@unito.it.&lt;/_author_adr&gt;&lt;_collection_scope&gt;SCIE&lt;/_collection_scope&gt;&lt;_created&gt;65293996&lt;/_created&gt;&lt;_date&gt;2022-02-01&lt;/_date&gt;&lt;_date_display&gt;2022 Feb&lt;/_date_display&gt;&lt;_db_updated&gt;PubMed&lt;/_db_updated&gt;&lt;_doi&gt;10.1016/j.esmoop.2021.100333&lt;/_doi&gt;&lt;_impact_factor&gt;   6.883&lt;/_impact_factor&gt;&lt;_isbn&gt;2059-7029 (Electronic); 2059-7029 (Linking)&lt;/_isbn&gt;&lt;_issue&gt;1&lt;/_issue&gt;&lt;_journal&gt;ESMO Open&lt;/_journal&gt;&lt;_keywords&gt;ALK-positive NSCLC; ALUR; TP53; alectinib; chemotherapy&lt;/_keywords&gt;&lt;_language&gt;eng&lt;/_language&gt;&lt;_modified&gt;65293996&lt;/_modified&gt;&lt;_ori_publication&gt;Copyright (c) 2021 The Authors. Published by Elsevier Ltd.. All rights reserved.&lt;/_ori_publication&gt;&lt;_pages&gt;100333&lt;/_pages&gt;&lt;_social_category&gt;肿瘤学(3)&lt;/_social_category&gt;&lt;_subject_headings&gt;Anaplastic Lymphoma Kinase/genetics; Carbazoles; *Carcinoma, Non-Small-Cell Lung/drug therapy/genetics/pathology; Crizotinib/adverse effects; Humans; *Lung Neoplasms/drug therapy/genetics/pathology; Piperidines&lt;/_subject_headings&gt;&lt;_tertiary_title&gt;ESMO open&lt;/_tertiary_title&gt;&lt;_type_work&gt;Journal Article; Randomized Controlled Trial; Research Support, Non-U.S. Gov&amp;apos;t&lt;/_type_work&gt;&lt;_url&gt;http://www.ncbi.nlm.nih.gov/entrez/query.fcgi?cmd=Retrieve&amp;amp;db=pubmed&amp;amp;dopt=Abstract&amp;amp;list_uids=35042152&amp;amp;query_hl=1&lt;/_url&gt;&lt;_volume&gt;7&lt;/_volume&gt;&lt;/Details&gt;&lt;Extra&gt;&lt;DBUID&gt;{A96A13AE-8553-4F4D-9468-5E97E276BB62}&lt;/DBUID&gt;&lt;/Extra&gt;&lt;/Item&gt;&lt;/References&gt;&lt;/Group&gt;&lt;/Citation&gt;_x000a_"/>
    <w:docVar w:name="NE.Ref{31E82E31-EF46-4EE1-B582-8E11F298FFB4}" w:val=" ADDIN NE.Ref.{31E82E31-EF46-4EE1-B582-8E11F298FFB4}&lt;Citation&gt;&lt;Group&gt;&lt;References&gt;&lt;Item&gt;&lt;ID&gt;3648&lt;/ID&gt;&lt;UID&gt;{4DFDA544-8E51-47E1-9CD1-206C9534FCCE}&lt;/UID&gt;&lt;Title&gt;Pembrolizumab vs cemiplimab for the treatment of advanced non-small cell lung  cancer with PD-L1 expression levels of at least 50%: A network meta-analysis and  cost-effectiveness analysis&lt;/Title&gt;&lt;Template&gt;Journal Article&lt;/Template&gt;&lt;Star&gt;0&lt;/Star&gt;&lt;Tag&gt;0&lt;/Tag&gt;&lt;Author&gt;Li, Y; Liang, X; Yang, T; Guo, S; Chen, X&lt;/Author&gt;&lt;Year&gt;2022&lt;/Year&gt;&lt;Details&gt;&lt;_accession_num&gt;36226060&lt;/_accession_num&gt;&lt;_author_adr&gt;Department of Pharmacy, The People&amp;apos;s Hospital of Guangxi Zhuang Autonomous  Region, Nanning, China.; Department of Pharmacy, The People&amp;apos;s Hospital of Guangxi Zhuang Autonomous  Region, Nanning, China.; Department of Pharmacy, The People&amp;apos;s Hospital of Guangxi Zhuang Autonomous  Region, Nanning, China.; School of Pharmaceutical Sciences, Guangxi Medical University, Nanning, China.; Department of Pharmacy, The People&amp;apos;s Hospital of Guangxi Zhuang Autonomous  Region, Nanning, China.; Department of Pharmacy, The People&amp;apos;s Hospital of Guangxi Zhuang Autonomous  Region, Nanning, China.&lt;/_author_adr&gt;&lt;_date_display&gt;2022&lt;/_date_display&gt;&lt;_date&gt;2022-01-20&lt;/_date&gt;&lt;_doi&gt;10.3389/fonc.2022.878054&lt;/_doi&gt;&lt;_isbn&gt;2234-943X (Print); 2234-943X (Electronic); 2234-943X (Linking)&lt;/_isbn&gt;&lt;_journal&gt;Front Oncol&lt;/_journal&gt;&lt;_keywords&gt;cemiplimab; cost-effectiveness; network meta-analysis; non-small lung cancer; pembrolizumab&lt;/_keywords&gt;&lt;_language&gt;eng&lt;/_language&gt;&lt;_ori_publication&gt;Copyright © 2022 Li, Liang, Yang, Guo and Chen.&lt;/_ori_publication&gt;&lt;_pages&gt;878054&lt;/_pages&gt;&lt;_tertiary_title&gt;Frontiers in oncology&lt;/_tertiary_title&gt;&lt;_type_work&gt;Journal Article&lt;/_type_work&gt;&lt;_url&gt;http://www.ncbi.nlm.nih.gov/entrez/query.fcgi?cmd=Retrieve&amp;amp;db=pubmed&amp;amp;dopt=Abstract&amp;amp;list_uids=36226060&amp;amp;query_hl=1&lt;/_url&gt;&lt;_volume&gt;12&lt;/_volume&gt;&lt;_created&gt;66161880&lt;/_created&gt;&lt;_modified&gt;66161880&lt;/_modified&gt;&lt;_impact_factor&gt;   4.700&lt;/_impact_factor&gt;&lt;_social_category&gt;肿瘤学(3)&lt;/_social_category&gt;&lt;_collection_scope&gt;SCIE&lt;/_collection_scope&gt;&lt;_accessed&gt;66161880&lt;/_accessed&gt;&lt;/Details&gt;&lt;Extra&gt;&lt;DBUID&gt;{DE16ABCE-A785-434C-BF43-2FE58866AFDD}&lt;/DBUID&gt;&lt;/Extra&gt;&lt;/Item&gt;&lt;/References&gt;&lt;/Group&gt;&lt;/Citation&gt;_x000a_"/>
    <w:docVar w:name="NE.Ref{32467DD4-5CF1-48C0-AE5C-9FADEB9B48AC}" w:val=" ADDIN NE.Ref.{32467DD4-5CF1-48C0-AE5C-9FADEB9B48AC}&lt;Citation&gt;&lt;Group&gt;&lt;References&gt;&lt;Item&gt;&lt;ID&gt;1270&lt;/ID&gt;&lt;UID&gt;{060F6121-0253-4023-90D0-7E620F16BF3E}&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collection_scope&gt;SCIE&lt;/_collection_scope&gt;&lt;_created&gt;65265042&lt;/_created&gt;&lt;_date&gt;2021-11-01&lt;/_date&gt;&lt;_date_display&gt;2021 Nov 1&lt;/_date_display&gt;&lt;_db_updated&gt;PubMed&lt;/_db_updated&gt;&lt;_doi&gt;10.1001/jamaoncol.2021.3523&lt;/_doi&gt;&lt;_impact_factor&gt;  33.006&lt;/_impact_factor&gt;&lt;_isbn&gt;2374-2445 (Electronic); 2374-2437 (Print); 2374-2437 (Linking)&lt;/_isbn&gt;&lt;_issue&gt;11&lt;/_issue&gt;&lt;_journal&gt;JAMA Oncol&lt;/_journal&gt;&lt;_language&gt;eng&lt;/_language&gt;&lt;_modified&gt;65265042&lt;/_modified&gt;&lt;_pages&gt;1617-1625&lt;/_pages&gt;&lt;_social_category&gt;肿瘤学(1)&lt;/_social_category&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Details&gt;&lt;Extra&gt;&lt;DBUID&gt;{A96A13AE-8553-4F4D-9468-5E97E276BB62}&lt;/DBUID&gt;&lt;/Extra&gt;&lt;/Item&gt;&lt;/References&gt;&lt;/Group&gt;&lt;/Citation&gt;_x000a_"/>
    <w:docVar w:name="NE.Ref{3253DA1D-E867-4F2E-88F0-E6C2E17B4F96}" w:val=" ADDIN NE.Ref.{3253DA1D-E867-4F2E-88F0-E6C2E17B4F96}&lt;Citation&gt;&lt;Group&gt;&lt;References&gt;&lt;Item&gt;&lt;ID&gt;1335&lt;/ID&gt;&lt;UID&gt;{9FA0E5C9-FB98-4CC7-BA61-347572D64FD6}&lt;/UID&gt;&lt;Title&gt;Three-Year Follow-Up of an Alectinib Phase I/II Study in ALK-Positive  Non-Small-Cell Lung Cancer: AF-001JP&lt;/Title&gt;&lt;Template&gt;Journal Article&lt;/Template&gt;&lt;Star&gt;0&lt;/Star&gt;&lt;Tag&gt;0&lt;/Tag&gt;&lt;Author&gt;Tamura, T; Kiura, K; Seto, T; Nakagawa, K; Maemondo, M; Inoue, A; Hida, T; Yoshioka, H; Harada, M; Ohe, Y; Nogami, N; Murakami, H; Kuriki, H; Shimada, T; Tanaka, T; Takeuchi, K; Nishio, M&lt;/Author&gt;&lt;Year&gt;2017&lt;/Year&gt;&lt;Details&gt;&lt;_accession_num&gt;28296581&lt;/_accession_num&gt;&lt;_author_adr&gt;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lt;/_author_adr&gt;&lt;_collection_scope&gt;SCIE&lt;/_collection_scope&gt;&lt;_created&gt;65322639&lt;/_created&gt;&lt;_date&gt;2017-05-10&lt;/_date&gt;&lt;_date_display&gt;2017 May 10&lt;/_date_display&gt;&lt;_db_updated&gt;PubMed&lt;/_db_updated&gt;&lt;_doi&gt;10.1200/JCO.2016.70.5749&lt;/_doi&gt;&lt;_impact_factor&gt;  50.717&lt;/_impact_factor&gt;&lt;_isbn&gt;1527-7755 (Electronic); 0732-183X (Print); 0732-183X (Linking)&lt;/_isbn&gt;&lt;_issue&gt;14&lt;/_issue&gt;&lt;_journal&gt;J Clin Oncol&lt;/_journal&gt;&lt;_language&gt;eng&lt;/_language&gt;&lt;_modified&gt;65322639&lt;/_modified&gt;&lt;_pages&gt;1515-1521&lt;/_pages&gt;&lt;_social_category&gt;肿瘤学(1)&lt;/_social_category&gt;&lt;_subject_headings&gt;Adult; Aged; Anaplastic Lymphoma Kinase; Antineoplastic Agents/adverse effects/*therapeutic use; Carbazoles/adverse effects/*therapeutic use; Carcinoma, Non-Small-Cell Lung/chemistry/*drug therapy/secondary; Disease Progression; Disease-Free Survival; Female; Follow-Up Studies; Humans; Hyperbilirubinemia/chemically induced; Lung Neoplasms/chemistry/*drug therapy/pathology; Male; Middle Aged; Piperidines/adverse effects/*therapeutic use; Receptor Protein-Tyrosine Kinases/analysis/*antagonists &amp;amp; inhibitors; Retreatment; Survival Rate; Symptom Assessment; Time Factors&lt;/_subject_headings&gt;&lt;_tertiary_title&gt;Journal of clinical oncology : official journal of the American Society of _x000d__x000a_      Clinical Oncology&lt;/_tertiary_title&gt;&lt;_type_work&gt;Clinical Trial, Phase I; Clinical Trial, Phase II; Journal Article; Multicenter Study&lt;/_type_work&gt;&lt;_url&gt;http://www.ncbi.nlm.nih.gov/entrez/query.fcgi?cmd=Retrieve&amp;amp;db=pubmed&amp;amp;dopt=Abstract&amp;amp;list_uids=28296581&amp;amp;query_hl=1&lt;/_url&gt;&lt;_volume&gt;35&lt;/_volume&gt;&lt;/Details&gt;&lt;Extra&gt;&lt;DBUID&gt;{A96A13AE-8553-4F4D-9468-5E97E276BB62}&lt;/DBUID&gt;&lt;/Extra&gt;&lt;/Item&gt;&lt;/References&gt;&lt;/Group&gt;&lt;/Citation&gt;_x000a_"/>
    <w:docVar w:name="NE.Ref{33CC79BB-5011-4B37-A6B4-C30227B4B128}" w:val=" ADDIN NE.Ref.{33CC79BB-5011-4B37-A6B4-C30227B4B128}&lt;Citation&gt;&lt;Group&gt;&lt;References&gt;&lt;Item&gt;&lt;ID&gt;3615&lt;/ID&gt;&lt;UID&gt;{7EF35B67-7D5B-4D22-96EA-3FACEFE2DD2D}&lt;/UID&gt;&lt;Title&gt;Multicenter Phase II Study of Whole-Body and Intracranial Activity With Ceritinib  in Patients With ALK-Rearranged Non-Small-Cell Lung Cancer Previously Treated  With Chemotherapy and Crizotinib: Results From ASCEND-2&lt;/Title&gt;&lt;Template&gt;Journal Article&lt;/Template&gt;&lt;Star&gt;0&lt;/Star&gt;&lt;Tag&gt;0&lt;/Tag&gt;&lt;Author&gt;Crinò, L; Ahn, M J; De Marinis, F; Groen, H J; Wakelee, H; Hida, T; Mok, T; Spigel, D; Felip, E; Nishio, M; Scagliotti, G; Branle, F; Emeremni, C; Quadrigli, M; Zhang, J; Shaw, A T&lt;/Author&gt;&lt;Year&gt;2016&lt;/Year&gt;&lt;Details&gt;&lt;_accession_num&gt;27432917&lt;/_accession_num&gt;&lt;_author_adr&gt;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crino@ospedale.perugia.it.;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ò,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lt;/_author_adr&gt;&lt;_date_display&gt;2016 Aug 20&lt;/_date_display&gt;&lt;_date&gt;2016-08-20&lt;/_date&gt;&lt;_doi&gt;10.1200/JCO.2015.65.5936&lt;/_doi&gt;&lt;_isbn&gt;1527-7755 (Electronic); 0732-183X (Linking)&lt;/_isbn&gt;&lt;_issue&gt;24&lt;/_issue&gt;&lt;_journal&gt;J Clin Oncol&lt;/_journal&gt;&lt;_language&gt;eng&lt;/_language&gt;&lt;_ori_publication&gt;© 2016 by American Society of Clinical Oncology.&lt;/_ori_publication&gt;&lt;_pages&gt;2866-73&lt;/_pages&gt;&lt;_subject_headings&gt;Adult; Aged; Aged, 80 and over; Anaplastic Lymphoma Kinase; Antineoplastic Combined Chemotherapy Protocols/*therapeutic use; Brain Neoplasms/*drug therapy/enzymology/genetics/*secondary; Carcinoma, Non-Small-Cell Lung/*drug therapy/enzymology/genetics/pathology; Crizotinib; Female; Gene Order; Humans; Lung Neoplasms/*drug therapy/enzymology/genetics/pathology; Male; Middle Aged; Organoplatinum Compounds/administration &amp;amp; dosage; Protein Kinase Inhibitors/adverse effects/therapeutic use; Pyrazoles/administration &amp;amp; dosage; Pyridines/administration &amp;amp; dosage; Pyrimidines/adverse effects/*therapeutic use; Receptor Protein-Tyrosine Kinases/antagonists &amp;amp; inhibitors/*genetics; Sulfones/adverse effects/*therapeutic use&lt;/_subject_headings&gt;&lt;_tertiary_title&gt;Journal of clinical oncology : official journal of the American Society of _x000d__x000a_      Clinical Oncology&lt;/_tertiary_title&gt;&lt;_type_work&gt;Clinical Trial, Phase II; Journal Article; Multicenter Study&lt;/_type_work&gt;&lt;_url&gt;http://www.ncbi.nlm.nih.gov/entrez/query.fcgi?cmd=Retrieve&amp;amp;db=pubmed&amp;amp;dopt=Abstract&amp;amp;list_uids=27432917&amp;amp;query_hl=1&lt;/_url&gt;&lt;_volume&gt;34&lt;/_volume&gt;&lt;_created&gt;66161845&lt;/_created&gt;&lt;_modified&gt;66161845&lt;/_modified&gt;&lt;_impact_factor&gt;  45.300&lt;/_impact_factor&gt;&lt;_social_category&gt;肿瘤学(1)&lt;/_social_category&gt;&lt;_collection_scope&gt;SCIE&lt;/_collection_scope&gt;&lt;_accessed&gt;66161845&lt;/_accessed&gt;&lt;/Details&gt;&lt;Extra&gt;&lt;DBUID&gt;{DE16ABCE-A785-434C-BF43-2FE58866AFDD}&lt;/DBUID&gt;&lt;/Extra&gt;&lt;/Item&gt;&lt;/References&gt;&lt;/Group&gt;&lt;/Citation&gt;_x000a_"/>
    <w:docVar w:name="NE.Ref{3D70A5E6-DA63-4FFB-9415-F2DCE65B41BD}" w:val=" ADDIN NE.Ref.{3D70A5E6-DA63-4FFB-9415-F2DCE65B41BD}&lt;Citation&gt;&lt;Group&gt;&lt;References&gt;&lt;Item&gt;&lt;ID&gt;3613&lt;/ID&gt;&lt;UID&gt;{FFB8010C-46AD-4D64-ACC4-2AED228E089D}&lt;/UID&gt;&lt;Title&gt;The PRIME Type 2 Diabetes Model: a novel, patient-level model for estimating  long-term clinical and cost outcomes in patients with type 2 diabetes mellitus&lt;/Title&gt;&lt;Template&gt;Journal Article&lt;/Template&gt;&lt;Star&gt;0&lt;/Star&gt;&lt;Tag&gt;0&lt;/Tag&gt;&lt;Author&gt;Pollock, R F; Norrbacka, K; Boye, K S; Osumili, B; Valentine, W J&lt;/Author&gt;&lt;Year&gt;2022&lt;/Year&gt;&lt;Details&gt;&lt;_accession_num&gt;35105267&lt;/_accession_num&gt;&lt;_author_adr&gt;Health Economics and Outcomes Research, Covalence Research Ltd, London, UK.; Eli Lilly Finland, Helsinki, Finland.; Global Patient Outcomes and Real World Evidence, Eli Lilly and Company,  Indianapolis, USA.; GPORWE International, Eli Lilly and Company Ltd, Surrey, UK.; Health Economics, Ossian Health Economics and Communications, Basel, Switzerland.&lt;/_author_adr&gt;&lt;_date_display&gt;2022 Jan-Dec&lt;/_date_display&gt;&lt;_date&gt;2022-01-01&lt;/_date&gt;&lt;_doi&gt;10.1080/13696998.2022.2035132&lt;/_doi&gt;&lt;_isbn&gt;1941-837X (Electronic); 1369-6998 (Linking)&lt;/_isbn&gt;&lt;_issue&gt;1&lt;/_issue&gt;&lt;_journal&gt;J Med Econ&lt;/_journal&gt;&lt;_keywords&gt;C; C6; C63; Cost-effectiveness; I; I1; I10; model; risk prediction; type 2 diabetes mellitus&lt;/_keywords&gt;&lt;_language&gt;eng&lt;/_language&gt;&lt;_pages&gt;393-402&lt;/_pages&gt;&lt;_subject_headings&gt;Cost-Benefit Analysis; *Diabetes Complications; *Diabetes Mellitus, Type 2; Humans; Hypoglycemic Agents; Longitudinal Studies; Quality-Adjusted Life Years&lt;/_subject_headings&gt;&lt;_tertiary_title&gt;Journal of medical economics&lt;/_tertiary_title&gt;&lt;_type_work&gt;Journal Article; Systematic Review&lt;/_type_work&gt;&lt;_url&gt;http://www.ncbi.nlm.nih.gov/entrez/query.fcgi?cmd=Retrieve&amp;amp;db=pubmed&amp;amp;dopt=Abstract&amp;amp;list_uids=35105267&amp;amp;query_hl=1&lt;/_url&gt;&lt;_volume&gt;25&lt;/_volume&gt;&lt;_created&gt;66161821&lt;/_created&gt;&lt;_modified&gt;66161821&lt;/_modified&gt;&lt;_impact_factor&gt;   2.400&lt;/_impact_factor&gt;&lt;_social_category&gt;卫生保健与服务(4) &amp;amp; 医学：内科(3)&lt;/_social_category&gt;&lt;_collection_scope&gt;SCIE&lt;/_collection_scope&gt;&lt;_accessed&gt;66161824&lt;/_accessed&gt;&lt;/Details&gt;&lt;Extra&gt;&lt;DBUID&gt;{DE16ABCE-A785-434C-BF43-2FE58866AFDD}&lt;/DBUID&gt;&lt;/Extra&gt;&lt;/Item&gt;&lt;/References&gt;&lt;/Group&gt;&lt;/Citation&gt;_x000a_"/>
    <w:docVar w:name="NE.Ref{3E0B7614-5E2F-4C39-8F51-40F16B5F4C82}" w:val=" ADDIN NE.Ref.{3E0B7614-5E2F-4C39-8F51-40F16B5F4C82}&lt;Citation&gt;&lt;Group&gt;&lt;References&gt;&lt;Item&gt;&lt;ID&gt;1287&lt;/ID&gt;&lt;UID&gt;{85E051DE-22E6-471B-BBB8-E4DB6175C951}&lt;/UID&gt;&lt;Title&gt;Updated overall survival and final progression-free survival data for patients  with treatment-naive advanced ALK-positive non-small-cell lung cancer in the ALEX  study&lt;/Title&gt;&lt;Template&gt;Journal Article&lt;/Template&gt;&lt;Star&gt;0&lt;/Star&gt;&lt;Tag&gt;0&lt;/Tag&gt;&lt;Author&gt;Mok, T; Camidge, D R; Gadgeel, S M; Rosell, R; Dziadziuszko, R; Kim, D W; Perol, M; Ou, S I; Ahn, J S; Shaw, A T; Bordogna, W; Smoljanovic, V; Hilton, M; Ruf, T; Noe, J; Peters, S&lt;/Author&gt;&lt;Year&gt;2020&lt;/Year&gt;&lt;Details&gt;&lt;_accession_num&gt;32418886&lt;/_accession_num&gt;&lt;_author_adr&gt;State Key Laboratory of Translational Oncology, Chinese University of Hong Kong,  Shatin, NT, Hong Kong.; University of Colorado, Denver, USA.; Department of Internal Medicine, Rogel Cancer Center/University of Michigan, Ann  Arbor, USA.; Catalan Institute of Oncology, Barcelona, Spain.; Department of Oncology and Radiotherapy, Medical University of Gdansk, Gdansk,  Poland.; Seoul National University Hospital, Seoul, South Korea.; Department of Medical Oncology, Leon Berard Cancer Center, Lyon, France.; Chao Family Comprehensive Cancer Center, University of California, Irvine, USA.; Samsung Medical Center, Sungkyunkwan University School of Medicine, Seoul, South  Korea.; Massachusetts General Hospital, Boston, USA.; F. Hoffmann-La Roche Ltd, Basel, Switzerland.; F. Hoffmann-La Roche Ltd, Basel, Switzerland.; F. Hoffmann-La Roche Ltd, Basel, Switzerland.; F. Hoffmann-La Roche Ltd, Basel, Switzerland.; F. Hoffmann-La Roche Ltd, Basel, Switzerland.; Lausanne University Hospital, Centre Hospitalier Universitaire Vaudois (CHUV),  Lausanne, Switzerland. Electronic address: solange.peters@chuv.ch.&lt;/_author_adr&gt;&lt;_collection_scope&gt;SCIE&lt;/_collection_scope&gt;&lt;_created&gt;65293985&lt;/_created&gt;&lt;_date&gt;2020-08-01&lt;/_date&gt;&lt;_date_display&gt;2020 Aug&lt;/_date_display&gt;&lt;_db_updated&gt;PubMed&lt;/_db_updated&gt;&lt;_doi&gt;10.1016/j.annonc.2020.04.478&lt;/_doi&gt;&lt;_impact_factor&gt;  51.769&lt;/_impact_factor&gt;&lt;_isbn&gt;1569-8041 (Electronic); 0923-7534 (Linking)&lt;/_isbn&gt;&lt;_issue&gt;8&lt;/_issue&gt;&lt;_journal&gt;Ann Oncol&lt;/_journal&gt;&lt;_keywords&gt;ALK-positive; alectinib; crizotinib; non-small-cell lung cancer; overall survival; progression-free survival&lt;/_keywords&gt;&lt;_language&gt;eng&lt;/_language&gt;&lt;_modified&gt;65293986&lt;/_modified&gt;&lt;_ori_publication&gt;Copyright (c) 2020 The Authors. Published by Elsevier Ltd.. All rights reserved.&lt;/_ori_publication&gt;&lt;_pages&gt;1056-1064&lt;/_pages&gt;&lt;_social_category&gt;肿瘤学(1)&lt;/_social_category&gt;&lt;_subject_headings&gt;Anaplastic Lymphoma Kinase/genetics; *Carcinoma, Non-Small-Cell Lung/drug therapy/genetics; *Crizotinib/therapeutic use; Humans; *Lung Neoplasms/drug therapy/genetics; Progression-Free Survival; Protein Kinase Inhibitors/therapeutic use&lt;/_subject_headings&gt;&lt;_tertiary_title&gt;Annals of oncology : official journal of the European Society for Medical _x000d__x000a_      Oncology&lt;/_tertiary_title&gt;&lt;_type_work&gt;Journal Article; Randomized Controlled Trial; Research Support, Non-U.S. Gov&amp;apos;t&lt;/_type_work&gt;&lt;_url&gt;http://www.ncbi.nlm.nih.gov/entrez/query.fcgi?cmd=Retrieve&amp;amp;db=pubmed&amp;amp;dopt=Abstract&amp;amp;list_uids=32418886&amp;amp;query_hl=1&lt;/_url&gt;&lt;_volume&gt;31&lt;/_volume&gt;&lt;/Details&gt;&lt;Extra&gt;&lt;DBUID&gt;{A96A13AE-8553-4F4D-9468-5E97E276BB62}&lt;/DBUID&gt;&lt;/Extra&gt;&lt;/Item&gt;&lt;/References&gt;&lt;/Group&gt;&lt;/Citation&gt;_x000a_"/>
    <w:docVar w:name="NE.Ref{3E69D52D-4B89-4078-8ED7-F737AC7758AA}" w:val=" ADDIN NE.Ref.{3E69D52D-4B89-4078-8ED7-F737AC7758AA}&lt;Citation&gt;&lt;Group&gt;&lt;References&gt;&lt;Item&gt;&lt;ID&gt;1334&lt;/ID&gt;&lt;UID&gt;{5E28B812-1C63-4561-BBB9-86B187C30644}&lt;/UID&gt;&lt;Title&gt;Envonalkib versus crizotinib for treatment-naive ALK-positive non-small cell lung  cancer: a randomized, multicenter, open-label, phase III trial&lt;/Title&gt;&lt;Template&gt;Journal Article&lt;/Template&gt;&lt;Star&gt;0&lt;/Star&gt;&lt;Tag&gt;0&lt;/Tag&gt;&lt;Author&gt;Yang, Y; Min, J; Yang, N; Yu, Q; Cheng, Y; Zhao, Y; Li, M; Chen, H; Ren, S; Zhou, J; Zhuang, W; Qin, X; Cao, L; Yu, Y; Zhang, J; He, J; Feng, J; Yu, H; Zhang, L; Fang, W&lt;/Author&gt;&lt;Year&gt;2023&lt;/Year&gt;&lt;Details&gt;&lt;_accession_num&gt;37574511&lt;/_accession_num&gt;&lt;_author_adr&gt;Department of Medical Oncology, Sun Yat-sen University Cancer Center, State Key  Laboratory of Oncology in South China, Collaborative Innovation Center for Cancer  Medicine, Guangzhou, 510060, China.; Department of Oncology, The Second Affiliated Hospital of Air Force Medical  University, Xi&amp;apos;an, 710038, China.; Department of Medical Oncology, Lung Cancer and Gastrointestinal Unit, Hunan  Cancer Hospital/The Affiliated Cancer Hospital of Xiangya School of Medicine,  Central South University, Changsha, 410013, China.; Department of Medical Oncology of Respiratory, Affiliated Tumor Hospital of  Guangxi Medical University, Guangxi, Nanning, 530021, China.; Department of Thoracic Medical Oncology, Jilin Provincial Cancer Hospital,  Changchun, 130012, China.; Department of Medical Oncology, The Affiliated Cancer Hospital of Zhengzhou  University, Zhengzhou, 450003, China.; Department of Respiratory, First Affiliated Hospital of Xian Jiaotong University,  Xi&amp;apos;an, 710061, China.; Department of Respiratory and Critical Care Medicine, The First Affiliated  Hospital of Chongqing Medical University, Chongqing, 400050, China.; Department of Respiratory, The First Hospital of Shanxi Medical University,  Taiyuan, 030001, China.; Department of Respiratory Disease, The First Affiliated Hospital, Zhejiang  University School of Medicine, Hangzhou, 310003, China.; Department of Medical Oncology, Fujian Cancer Hospital, Fuzhou, 350014, China.; The First Department of Oncology, The First Affiliated Hospital of Guangdong  Pharmaceutical University, Guangzhou, 510699, China.; Department of Respiratory and Critical Care Medicine, Anhui Provincial Hospital,  Hefei, 230000, China.; Department of Respiratory Medicine, Affiliated Cancer Hospital of Harbin Medical  University, Harbin, 150000, China.; Department of Respiratory Medicine, The First Affiliated Hospital of Air Force  Medical University, Xi&amp;apos;an, 710032, China.; Department of Cardiothoracic Surgery, The First Affiliated Hospital of Guangzhou  Medical College, Guangzhou Research Institute of Respiratory Disease and China  State Key Laboratory of Respiratory Disease, Guangzhou, 510120, China.; Department of Medical Oncology, The Affiliated Cancer Hospital of Nanjing Medical  University, Jiangsu Cancer Hospital, Jiangsu Institute of Cancer Research,  Nanjing, 210009, China.; Department of Biostatistics, Nanjing Medical University, Nanjing, 211166, China.; Department of Medical Oncology, Sun Yat-sen University Cancer Center, State Key  Laboratory of Oncology in South China, Collaborative Innovation Center for Cancer  Medicine, Guangzhou, 510060, China. zhangli@sysucc.org.cn.; Department of Medical Oncology, Sun Yat-sen University Cancer Center, State Key  Laboratory of Oncology in South China, Collaborative Innovation Center for Cancer  Medicine, Guangzhou, 510060, China. fangwf@sysucc.org.cn.&lt;/_author_adr&gt;&lt;_collection_scope&gt;SCIE;CSCD&lt;/_collection_scope&gt;&lt;_created&gt;65322626&lt;/_created&gt;&lt;_date&gt;2023-08-14&lt;/_date&gt;&lt;_date_display&gt;2023 Aug 14&lt;/_date_display&gt;&lt;_db_updated&gt;PubMed&lt;/_db_updated&gt;&lt;_doi&gt;10.1038/s41392-023-01538-w&lt;/_doi&gt;&lt;_impact_factor&gt;  38.104&lt;/_impact_factor&gt;&lt;_isbn&gt;2059-3635 (Electronic); 2095-9907 (Print); 2059-3635 (Linking)&lt;/_isbn&gt;&lt;_issue&gt;1&lt;/_issue&gt;&lt;_journal&gt;Signal Transduct Target Ther&lt;/_journal&gt;&lt;_language&gt;eng&lt;/_language&gt;&lt;_modified&gt;65322627&lt;/_modified&gt;&lt;_ori_publication&gt;(c) 2023. West China Hospital, Sichuan University.&lt;/_ori_publication&gt;&lt;_pages&gt;301&lt;/_pages&gt;&lt;_social_category&gt;生化与分子生物学(1) &amp;amp; 细胞生物学(1)&lt;/_social_category&gt;&lt;_subject_headings&gt;Humans; Brain Neoplasms/drug therapy/genetics; *Carcinoma, Non-Small-Cell Lung/drug therapy/genetics; Crizotinib/pharmacology/therapeutic use; *Lung Neoplasms/drug therapy/genetics; Protein Kinase Inhibitors/therapeutic use; Anaplastic Lymphoma Kinase&lt;/_subject_headings&gt;&lt;_tertiary_title&gt;Signal transduction and targeted therapy&lt;/_tertiary_title&gt;&lt;_type_work&gt;Clinical Trial, Phase I; Clinical Trial, Phase III; Journal Article; Multicenter Study; Randomized Controlled Trial; Research Support, Non-U.S. Gov&amp;apos;t&lt;/_type_work&gt;&lt;_url&gt;http://www.ncbi.nlm.nih.gov/entrez/query.fcgi?cmd=Retrieve&amp;amp;db=pubmed&amp;amp;dopt=Abstract&amp;amp;list_uids=37574511&amp;amp;query_hl=1&lt;/_url&gt;&lt;_volume&gt;8&lt;/_volume&gt;&lt;/Details&gt;&lt;Extra&gt;&lt;DBUID&gt;{A96A13AE-8553-4F4D-9468-5E97E276BB62}&lt;/DBUID&gt;&lt;/Extra&gt;&lt;/Item&gt;&lt;/References&gt;&lt;/Group&gt;&lt;/Citation&gt;_x000a_"/>
    <w:docVar w:name="NE.Ref{3E88E29D-77CE-4074-8947-F924D1B20DB2}" w:val=" ADDIN NE.Ref.{3E88E29D-77CE-4074-8947-F924D1B20DB2}&lt;Citation&gt;&lt;Group&gt;&lt;References&gt;&lt;Item&gt;&lt;ID&gt;3640&lt;/ID&gt;&lt;UID&gt;{32032E3F-9C47-44E6-9C2A-2D9367C21E18}&lt;/UID&gt;&lt;Title&gt;Brigatinib Versus Crizotinib in ALK Inhibitor-Naive Advanced ALK-Positive NSCLC:  Final Results of Phase 3 ALTA-1L Trial&lt;/Title&gt;&lt;Template&gt;Journal Article&lt;/Template&gt;&lt;Star&gt;0&lt;/Star&gt;&lt;Tag&gt;0&lt;/Tag&gt;&lt;Author&gt;Camidge, D R; Kim, H R; Ahn, M J; Yang, JCH; Han, J Y; Hochmair, M J; Lee, K H; Delmonte, A; Garcia, Campelo MR; Kim, D W; Griesinger, F; Felip, E; Califano, R; Spira, A I; Gettinger, S N; Tiseo, M; Lin, H M; Liu, Y; Vranceanu, F; Niu, H; Zhang, P; Popat, S&lt;/Author&gt;&lt;Year&gt;2021&lt;/Year&gt;&lt;Details&gt;&lt;_accession_num&gt;34537440&lt;/_accession_num&gt;&lt;_author_adr&gt;Department of Medicine, University of Colorado Cancer Center, Aurora, Colorado.  Electronic address: ross.camidge@cuanschutz.edu.; Division of Medical Oncology, Department of Internal Medicine, Yonsei Cancer  Center, Yonsei University College of Medicine, Seoul, South Korea.; Division of Hematology-Oncology, Samsung Medical Center, Seoul, South Korea.; Department of Medical Oncology, National Taiwan University Cancer Center, Taipei,  Taiwan.; Department of Precision Medicine, National Cancer Center, Gyeonggi, South Korea.; Department of Respiratory and Critical Care Medicine, Karl Landsteiner Institute  of Lung Research and Pulmonary Oncology, Vienna, Austria.; Internal Medicine Department, Chungbuk National University Hospital, Chungbuk,  South Korea.; Department of Medical Oncology, Istituto Romagnolo per lo Studio dei Tumori &amp;quot;Dino  Amadori&amp;quot; (IRST) Istituto di Ricovero e Cura a Carattere Scientifico (IRCCS),  Meldola, Italy.; Department of Medical Oncology, Complejo Hospitalario Universitario A Coruña  (CHUAC), University Hospital A Coruña, A Coruña, Spain.; Department of Internal Medicine, Seoul National University Hospital, Seoul  National University College of Medicine, Seoul, South Korea.; Department of Hematology and Oncology, Pius-Hospital Oldenburg, University of  Oldenburg, Oldenburg, Germany.; Vall d&amp;apos;Hebron Institute of Oncology, Vall d&amp;apos;Hebron University Hospital,  Barcelona, Spain.; Department of Medical Oncology, The Christie NHS Foundation Trust, Manchester,  United Kingdom; Department of Medical Oncology, Division of Cancer Sciences, The  University of Manchester, Manchester, England, United Kingdom.; Department of Medical Oncology, Virginia Cancer Specialists, US Oncology  Research, Fairfax, Virginia.; Department of Medical Oncology, Yale Cancer Center, New Haven, Connecticut.; Department of Medicine and Surgery, University Hospital of Parma, Parma, Italy.; Global Evidence and Outcome, Millennium Pharmaceuticals, Inc., a wholly-owned  subsidiary of Takeda Pharmaceutical Company Limited, Cambridge, Massachusetts.; Oncology Statistics, Millennium Pharmaceuticals, Inc., a wholly-owned subsidiary  of Takeda Pharmaceutical Company Limited, Cambridge, Massachusetts.; Clinical Science, Millennium Pharmaceuticals, Inc., a wholly-owned subsidiary of  Takeda Pharmaceutical Company Limited, Cambridge, Massachusetts.; Oncology Translational Sciences, Millennium Pharmaceuticals, Inc., a wholly-owned  subsidiary of Takeda Pharmaceutical Company Limited, Cambridge, Massachusetts.; Oncology Clinical Research, Millennium Pharmaceuticals, Inc., a wholly-owned  subsidiary of Takeda Pharmaceutical Company Limited, Cambridge, Massachusetts.; Royal Marsden Hospital, London, United Kingdom.&lt;/_author_adr&gt;&lt;_date_display&gt;2021 Dec&lt;/_date_display&gt;&lt;_date&gt;2021-12-01&lt;/_date&gt;&lt;_doi&gt;10.1016/j.jtho.2021.07.035&lt;/_doi&gt;&lt;_isbn&gt;1556-1380 (Electronic); 1556-0864 (Linking)&lt;/_isbn&gt;&lt;_issue&gt;12&lt;/_issue&gt;&lt;_journal&gt;J Thorac Oncol&lt;/_journal&gt;&lt;_keywords&gt;ALK tyrosine kinase inhibitor; Anaplastic lymphoma kinase; Brigatinib; Crizotinib; Non–small cell lung cancer&lt;/_keywords&gt;&lt;_language&gt;eng&lt;/_language&gt;&lt;_ori_publication&gt;Copyright © 2021 International Association for the Study of Lung Cancer. _x000d__x000a_      Published by Elsevier Inc. All rights reserved.&lt;/_ori_publication&gt;&lt;_pages&gt;2091-2108&lt;/_pages&gt;&lt;_subject_headings&gt;Anaplastic Lymphoma Kinase/genetics; Crizotinib/therapeutic use; Humans; *Lung Neoplasms/drug therapy/genetics; Organophosphorus Compounds; Protein Kinase Inhibitors/therapeutic use; Pyrimidines/therapeutic use&lt;/_subject_headings&gt;&lt;_tertiary_title&gt;Journal of thoracic oncology : official publication of the International _x000d__x000a_      Association for the Study of Lung Cancer&lt;/_tertiary_title&gt;&lt;_type_work&gt;Journal Article; Randomized Controlled Trial; Research Support, Non-U.S. Gov&amp;apos;t&lt;/_type_work&gt;&lt;_url&gt;http://www.ncbi.nlm.nih.gov/entrez/query.fcgi?cmd=Retrieve&amp;amp;db=pubmed&amp;amp;dopt=Abstract&amp;amp;list_uids=34537440&amp;amp;query_hl=1&lt;/_url&gt;&lt;_volume&gt;16&lt;/_volume&gt;&lt;_created&gt;66161862&lt;/_created&gt;&lt;_modified&gt;66161862&lt;/_modified&gt;&lt;_impact_factor&gt;  20.400&lt;/_impact_factor&gt;&lt;_social_category&gt;肿瘤学(1) &amp;amp; 呼吸系统(1)&lt;/_social_category&gt;&lt;_collection_scope&gt;SCIE&lt;/_collection_scope&gt;&lt;_accessed&gt;66161862&lt;/_accessed&gt;&lt;/Details&gt;&lt;Extra&gt;&lt;DBUID&gt;{DE16ABCE-A785-434C-BF43-2FE58866AFDD}&lt;/DBUID&gt;&lt;/Extra&gt;&lt;/Item&gt;&lt;/References&gt;&lt;/Group&gt;&lt;/Citation&gt;_x000a_"/>
    <w:docVar w:name="NE.Ref{3EBCBAAB-399B-4365-8D70-E9A614A2EFED}" w:val=" ADDIN NE.Ref.{3EBCBAAB-399B-4365-8D70-E9A614A2EFED}&lt;Citation&gt;&lt;Group&gt;&lt;References&gt;&lt;Item&gt;&lt;ID&gt;3642&lt;/ID&gt;&lt;UID&gt;{8A795457-A564-47DA-AE89-217218FBA50B}&lt;/UID&gt;&lt;Title&gt;Cost-Effectiveness Analysis of Five Systemic Treatments for Unresectable  Hepatocellular Carcinoma in China: An Economic Evaluation Based on Network  Meta-Analysis&lt;/Title&gt;&lt;Template&gt;Journal Article&lt;/Template&gt;&lt;Star&gt;0&lt;/Star&gt;&lt;Tag&gt;0&lt;/Tag&gt;&lt;Author&gt;Zhao, M; Pan, X; Yin, Y; Hu, H; Wei, J; Bai, Z; Tang, W&lt;/Author&gt;&lt;Year&gt;2022&lt;/Year&gt;&lt;Details&gt;&lt;_accession_num&gt;35493395&lt;/_accession_num&gt;&lt;_author_adr&gt;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Jiangsu Institute of Cancer Research, Jiangsu Cancer Hospital, The Affiliated  Cancer Hospital of Nanjing Medical University, Nanjing, China.; Jiangsu Institute of Cancer Research, Jiangsu Cancer Hospital, The Affiliated  Cancer Hospital of Nanjing Medical University, Nanjing, China.; Department of Pharmacoeconomics, School of International Pharmaceutical Business,  China Pharmaceutical University, Nanjing, China.; Center for Pharmacoeconomics and Outcomes Research, China Pharmaceutical  University, Nanjing, China.&lt;/_author_adr&gt;&lt;_date_display&gt;2022&lt;/_date_display&gt;&lt;_date&gt;2022-01-20&lt;/_date&gt;&lt;_doi&gt;10.3389/fpubh.2022.869960&lt;/_doi&gt;&lt;_isbn&gt;2296-2565 (Electronic); 2296-2565 (Linking)&lt;/_isbn&gt;&lt;_journal&gt;Front Public Health&lt;/_journal&gt;&lt;_keywords&gt;cost-effectiveness analysis; fractional polynomial; network meta-analysis; partitioned survival; unresectable hepatocellular carcinoma&lt;/_keywords&gt;&lt;_language&gt;eng&lt;/_language&gt;&lt;_ori_publication&gt;Copyright © 2022 Zhao, Pan, Yin, Hu, Wei, Bai and Tang.&lt;/_ori_publication&gt;&lt;_pages&gt;869960&lt;/_pages&gt;&lt;_subject_headings&gt;Bevacizumab/therapeutic use; *Carcinoma, Hepatocellular/drug therapy; Cost-Benefit Analysis; Humans; *Liver Neoplasms/drug therapy; Sorafenib/therapeutic use&lt;/_subject_headings&gt;&lt;_tertiary_title&gt;Frontiers in public health&lt;/_tertiary_title&gt;&lt;_type_work&gt;Journal Article; Network Meta-Analysis; Research Support, Non-U.S. Gov&amp;apos;t&lt;/_type_work&gt;&lt;_url&gt;http://www.ncbi.nlm.nih.gov/entrez/query.fcgi?cmd=Retrieve&amp;amp;db=pubmed&amp;amp;dopt=Abstract&amp;amp;list_uids=35493395&amp;amp;query_hl=1&lt;/_url&gt;&lt;_volume&gt;10&lt;/_volume&gt;&lt;_created&gt;66161872&lt;/_created&gt;&lt;_modified&gt;66161872&lt;/_modified&gt;&lt;_impact_factor&gt;   5.200&lt;/_impact_factor&gt;&lt;_social_category&gt;公共卫生、环境卫生与职业卫生(3)&lt;/_social_category&gt;&lt;_collection_scope&gt;SSCI;SCIE&lt;/_collection_scope&gt;&lt;_accessed&gt;66161872&lt;/_accessed&gt;&lt;/Details&gt;&lt;Extra&gt;&lt;DBUID&gt;{DE16ABCE-A785-434C-BF43-2FE58866AFDD}&lt;/DBUID&gt;&lt;/Extra&gt;&lt;/Item&gt;&lt;/References&gt;&lt;/Group&gt;&lt;/Citation&gt;_x000a_"/>
    <w:docVar w:name="NE.Ref{409BF044-1B73-4A2D-83F6-68BDDD663E02}" w:val=" ADDIN NE.Ref.{409BF044-1B73-4A2D-83F6-68BDDD663E02}&lt;Citation&gt;&lt;Group&gt;&lt;References&gt;&lt;Item&gt;&lt;ID&gt;3637&lt;/ID&gt;&lt;UID&gt;{F00F599C-5906-4604-A9F1-2C265D17072B}&lt;/UID&gt;&lt;Title&gt;Ceritinib versus chemotherapy in patients with ALK-rearranged non-small-cell lung  cancer previously given chemotherapy and crizotinib (ASCEND-5): a randomised,  controlled, open-label, phase 3 trial&lt;/Title&gt;&lt;Template&gt;Journal Article&lt;/Template&gt;&lt;Star&gt;0&lt;/Star&gt;&lt;Tag&gt;0&lt;/Tag&gt;&lt;Author&gt;Shaw, A T; Kim, T M; Crinò, L; Gridelli, C; Kiura, K; Liu, G; Novello, S; Bearz, A; Gautschi, O; Mok, T; Nishio, M; Scagliotti, G; Spigel, D R; Deudon, S; Zheng, C; Pantano, S; Urban, P; Massacesi, C; Viraswami-Appanna, K; Felip, E&lt;/Author&gt;&lt;Year&gt;2017&lt;/Year&gt;&lt;Details&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à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date_display&gt;2017 Jul&lt;/_date_display&gt;&lt;_date&gt;2017-07-01&lt;/_date&gt;&lt;_doi&gt;10.1016/S1470-2045(17)30339-X&lt;/_doi&gt;&lt;_isbn&gt;1474-5488 (Electronic); 1470-2045 (Linking)&lt;/_isbn&gt;&lt;_issue&gt;7&lt;/_issue&gt;&lt;_journal&gt;Lancet Oncol&lt;/_journal&gt;&lt;_language&gt;eng&lt;/_language&gt;&lt;_ori_publication&gt;Copyright © 2017 Elsevier Ltd. All rights reserved.&lt;/_ori_publication&gt;&lt;_pages&gt;874-886&lt;/_pages&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_created&gt;66161860&lt;/_created&gt;&lt;_modified&gt;66161860&lt;/_modified&gt;&lt;_impact_factor&gt;  51.100&lt;/_impact_factor&gt;&lt;_social_category&gt;肿瘤学(1)&lt;/_social_category&gt;&lt;_collection_scope&gt;SCIE&lt;/_collection_scope&gt;&lt;_accessed&gt;66161860&lt;/_accessed&gt;&lt;/Details&gt;&lt;Extra&gt;&lt;DBUID&gt;{DE16ABCE-A785-434C-BF43-2FE58866AFDD}&lt;/DBUID&gt;&lt;/Extra&gt;&lt;/Item&gt;&lt;/References&gt;&lt;/Group&gt;&lt;/Citation&gt;_x000a_"/>
    <w:docVar w:name="NE.Ref{43D6E029-4DC1-4F33-9672-6724F6EBFD4E}" w:val=" ADDIN NE.Ref.{43D6E029-4DC1-4F33-9672-6724F6EBFD4E}&lt;Citation&gt;&lt;Group&gt;&lt;References&gt;&lt;Item&gt;&lt;ID&gt;3614&lt;/ID&gt;&lt;UID&gt;{879E607C-8FF5-474D-8606-1079F36C6E0D}&lt;/UID&gt;&lt;Title&gt;Brigatinib in Crizotinib-Refractory ALK+ NSCLC: 2-Year Follow-up on Systemic and  Intracranial Outcomes in the Phase 2 ALTA Trial&lt;/Title&gt;&lt;Template&gt;Journal Article&lt;/Template&gt;&lt;Star&gt;0&lt;/Star&gt;&lt;Tag&gt;0&lt;/Tag&gt;&lt;Author&gt;Huber, R M; Hansen, K H; Paz-Ares, Rodríguez L; West, H L; Reckamp, K L; Leighl, N B; Tiseo, M; Smit, E F; Kim, D W; Gettinger, S N; Hochmair, M J; Kim, S W; Langer, C J; Ahn, M J; Kim, E S; Kerstein, D; Groen, HJM; Camidge, D R&lt;/Author&gt;&lt;Year&gt;2020&lt;/Year&gt;&lt;Details&gt;&lt;_accession_num&gt;31756496&lt;/_accession_num&gt;&lt;_author_adr&gt;Division of Respiratory Medicine and Thoracic Oncology, Department of Medicine V,  University Hospital of Munich, Thoracic Oncology Centre Munich, German Centre for  Lung Research, Munich, Bavaria, Germany. Electronic address:  Huber@med.uni-muenchen.de.; Department of Clinical Oncology, Odense University Hospital, Odense, Denmark.; Medical Oncology Department, University Hospital &amp;quot;12 de Octubre,&amp;quot; Madrid, Spain.; Thoracic Oncology Program, Swedish Cancer Institute, Seattle, Washington.; Department of Medical Oncology &amp;amp; Therapeutics Research, City of Hope National  Medical Center, Duarte, California.; Department of Medical Oncology, Princess Margaret Cancer Centre, Toronto,  Ontario, Canada.; Medical Oncology Unit, University Hospital of Parma, Parma, Italy.; Department of Pulmonary Diseases, VU University Medical Center, Amsterdam, the  Netherlands.; Department of Internal Medicine, Seoul National University Hospital, Seoul, South  Korea.; Yale Cancer Center, New Haven, Connecticut.; Department of Respiratory and Critical Care Medicine, Karl Landsteiner Institute  of Lung Research and Pulmonary Oncology, Vienna, Austria.; Department of Oncology, Asan Medical Center, Seoul, South Korea.; University of Pennsylvania Abramson Cancer Center, Philadelphia, Pennsylvania.; Samsung Medical Center, Sungkyunkwan University School of Medicine, Seoul, South  Korea.; Levine Cancer Institute, Atrium Health, Charlotte, North Carolina.; Millennium Pharmaceuticals, Inc. (wholly owned subsidiary of Takeda  Pharmaceutical Company Limited), Cambridge, Massachusetts.; University of Groningen and University Medical Center Groningen, Groningen, the  Netherlands.; University of Colorado Cancer Center, Aurora, Colorado.&lt;/_author_adr&gt;&lt;_date_display&gt;2020 Mar&lt;/_date_display&gt;&lt;_date&gt;2020-03-01&lt;/_date&gt;&lt;_doi&gt;10.1016/j.jtho.2019.11.004&lt;/_doi&gt;&lt;_isbn&gt;1556-1380 (Electronic); 1556-0864 (Linking)&lt;/_isbn&gt;&lt;_issue&gt;3&lt;/_issue&gt;&lt;_journal&gt;J Thorac Oncol&lt;/_journal&gt;&lt;_keywords&gt;ALK tyrosine kinase receptor; Anaplastic lymphoma kinase; Brigatinib; Non–small cell lung cancer&lt;/_keywords&gt;&lt;_language&gt;eng&lt;/_language&gt;&lt;_ori_publication&gt;Copyright © 2019 International Association for the Study of Lung Cancer. _x000d__x000a_      Published by Elsevier Inc. All rights reserved.&lt;/_ori_publication&gt;&lt;_pages&gt;404-415&lt;/_pages&gt;&lt;_subject_headings&gt;Anaplastic Lymphoma Kinase/genetics; *Crizotinib/therapeutic use; Follow-Up Studies; Humans; *Lung Neoplasms/drug therapy; Organophosphorus Compounds; *Protein Kinase Inhibitors/therapeutic use; Pyrimidines&lt;/_subject_headings&gt;&lt;_tertiary_title&gt;Journal of thoracic oncology : official publication of the International _x000d__x000a_      Association for the Study of Lung Cancer&lt;/_tertiary_title&gt;&lt;_type_work&gt;Clinical Trial, Phase II; Journal Article; Randomized Controlled Trial; Research Support, Non-U.S. Gov&amp;apos;t&lt;/_type_work&gt;&lt;_url&gt;http://www.ncbi.nlm.nih.gov/entrez/query.fcgi?cmd=Retrieve&amp;amp;db=pubmed&amp;amp;dopt=Abstract&amp;amp;list_uids=31756496&amp;amp;query_hl=1&lt;/_url&gt;&lt;_volume&gt;15&lt;/_volume&gt;&lt;_created&gt;66161844&lt;/_created&gt;&lt;_modified&gt;66161844&lt;/_modified&gt;&lt;_impact_factor&gt;  20.400&lt;/_impact_factor&gt;&lt;_social_category&gt;肿瘤学(1) &amp;amp; 呼吸系统(1)&lt;/_social_category&gt;&lt;_collection_scope&gt;SCIE&lt;/_collection_scope&gt;&lt;_accessed&gt;66161844&lt;/_accessed&gt;&lt;/Details&gt;&lt;Extra&gt;&lt;DBUID&gt;{DE16ABCE-A785-434C-BF43-2FE58866AFDD}&lt;/DBUID&gt;&lt;/Extra&gt;&lt;/Item&gt;&lt;/References&gt;&lt;/Group&gt;&lt;/Citation&gt;_x000a_"/>
    <w:docVar w:name="NE.Ref{47EABC99-6878-4FA4-8E4D-216BF6948728}" w:val=" ADDIN NE.Ref.{47EABC99-6878-4FA4-8E4D-216BF6948728}&lt;Citation&gt;&lt;Group&gt;&lt;References&gt;&lt;Item&gt;&lt;ID&gt;3649&lt;/ID&gt;&lt;UID&gt;{8FFD87A9-5BC8-41C5-A91D-F141D0FD0275}&lt;/UID&gt;&lt;Title&gt;Cost-Effectiveness Analysis Of Ceritinib And Alectinib Versus Crizotinib In The  Treatment Of Anaplastic Lymphoma Kinase-Positive Advanced Non-Small Cell Lung  Cancer&lt;/Title&gt;&lt;Template&gt;Journal Article&lt;/Template&gt;&lt;Star&gt;0&lt;/Star&gt;&lt;Tag&gt;0&lt;/Tag&gt;&lt;Author&gt;Liu, M; Zhang, L; Huang, Q; Li, N; Zheng, B; Cai, H&lt;/Author&gt;&lt;Year&gt;2019&lt;/Year&gt;&lt;Details&gt;&lt;_accession_num&gt;31749634&lt;/_accession_num&gt;&lt;_author_adr&gt;Department of Pharmacy, Fujian Medical University Union Hospital, Fuzhou, Fujian  Province, People&amp;apos;s Republic of China.; Department of Medical Oncology, Fujian Provincial Cancer Hospital, Fuzhou, Fujian  Province, People&amp;apos;s Republic of China.; College of Pharmacy, Fujian Medical University,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lt;/_author_adr&gt;&lt;_date_display&gt;2019&lt;/_date_display&gt;&lt;_date&gt;2019-01-20&lt;/_date&gt;&lt;_doi&gt;10.2147/CMAR.S223441&lt;/_doi&gt;&lt;_isbn&gt;1179-1322 (Print); 1179-1322 (Electronic); 1179-1322 (Linking)&lt;/_isbn&gt;&lt;_journal&gt;Cancer Manag Res&lt;/_journal&gt;&lt;_keywords&gt;NSCLC; alectinib; ceritinib; cost-effectiveness; crizotinib&lt;/_keywords&gt;&lt;_language&gt;eng&lt;/_language&gt;&lt;_ori_publication&gt;© 2019 Liu et al.&lt;/_ori_publication&gt;&lt;_pages&gt;9195-9202&lt;/_pages&gt;&lt;_tertiary_title&gt;Cancer management and research&lt;/_tertiary_title&gt;&lt;_type_work&gt;Journal Article&lt;/_type_work&gt;&lt;_url&gt;http://www.ncbi.nlm.nih.gov/entrez/query.fcgi?cmd=Retrieve&amp;amp;db=pubmed&amp;amp;dopt=Abstract&amp;amp;list_uids=31749634&amp;amp;query_hl=1&lt;/_url&gt;&lt;_volume&gt;11&lt;/_volume&gt;&lt;_created&gt;66161882&lt;/_created&gt;&lt;_modified&gt;66161882&lt;/_modified&gt;&lt;_impact_factor&gt;   3.300&lt;/_impact_factor&gt;&lt;_social_category&gt;肿瘤学(4)&lt;/_social_category&gt;&lt;_collection_scope&gt;SCIE&lt;/_collection_scope&gt;&lt;_accessed&gt;66161882&lt;/_accessed&gt;&lt;/Details&gt;&lt;Extra&gt;&lt;DBUID&gt;{DE16ABCE-A785-434C-BF43-2FE58866AFDD}&lt;/DBUID&gt;&lt;/Extra&gt;&lt;/Item&gt;&lt;/References&gt;&lt;/Group&gt;&lt;/Citation&gt;_x000a_"/>
    <w:docVar w:name="NE.Ref{48A9521A-36A9-46DC-A812-EDDBD8A1A7E5}" w:val=" ADDIN NE.Ref.{48A9521A-36A9-46DC-A812-EDDBD8A1A7E5}&lt;Citation&gt;&lt;Group&gt;&lt;References&gt;&lt;Item&gt;&lt;ID&gt;3651&lt;/ID&gt;&lt;UID&gt;{3CC55B33-10C4-411F-ADED-C8A0B1E96D80}&lt;/UID&gt;&lt;Title&gt;Cost-effectiveness of ensartinib, crizotinib, ceritinib, alectinib, brigatinib  and lorlatinib in patients with anaplastic lymphoma kinase-positive non-small  cell lung cancer in China&lt;/Title&gt;&lt;Template&gt;Journal Article&lt;/Template&gt;&lt;Star&gt;0&lt;/Star&gt;&lt;Tag&gt;0&lt;/Tag&gt;&lt;Author&gt;Luo, X; Zhou, Z; Zeng, X; Peng, L; Liu, Q&lt;/Author&gt;&lt;Year&gt;2022&lt;/Year&gt;&lt;Details&gt;&lt;_accession_num&gt;36211665&lt;/_accession_num&gt;&lt;_author_adr&gt;Department of Pharmacy, the Second Xiangya Hospital of Central South University,  Changsha, China.; Menzies Institute for Medical Research, University of Tasmania, Hobart, TAS,  Australia.; Department of Nuclear Medicine/PET Image Center, the Second Xiangya Hospital of  Central South University, Changsha, China.; Department of Pharmacy, the Second Xiangya Hospital of Central South University,  Changsha, China.; Department of Pharmacy, the Second Xiangya Hospital of Central South University,  Changsha, China.&lt;/_author_adr&gt;&lt;_date_display&gt;2022&lt;/_date_display&gt;&lt;_date&gt;2022-01-20&lt;/_date&gt;&lt;_doi&gt;10.3389/fpubh.2022.985834&lt;/_doi&gt;&lt;_isbn&gt;2296-2565 (Electronic); 2296-2565 (Linking)&lt;/_isbn&gt;&lt;_journal&gt;Front Public Health&lt;/_journal&gt;&lt;_keywords&gt;ALK-TKI; China; Non-small cell lung cancer; cost-effectiveness; domestic anticancer drug; ensartinib&lt;/_keywords&gt;&lt;_language&gt;eng&lt;/_language&gt;&lt;_ori_publication&gt;Copyright © 2022 Luo, Zhou, Zeng, Peng and Liu.&lt;/_ori_publication&gt;&lt;_pages&gt;985834&lt;/_pages&gt;&lt;_subject_headings&gt;Aminopyridines; Anaplastic Lymphoma Kinase/analysis; Carbazoles; *Carcinoma, Non-Small-Cell Lung/drug therapy/pathology; Clinical Trials as Topic; Cost-Benefit Analysis; Crizotinib; Humans; Lactams; *Lung Neoplasms/drug therapy/pathology; Organophosphorus Compounds; Piperazines; Piperidines; Protein Kinase Inhibitors/therapeutic use; Pyrazoles; Pyridazines; Pyrimidines; Sulfones&lt;/_subject_headings&gt;&lt;_tertiary_title&gt;Frontiers in public health&lt;/_tertiary_title&gt;&lt;_type_work&gt;Journal Article; Research Support, Non-U.S. Gov&amp;apos;t&lt;/_type_work&gt;&lt;_url&gt;http://www.ncbi.nlm.nih.gov/entrez/query.fcgi?cmd=Retrieve&amp;amp;db=pubmed&amp;amp;dopt=Abstract&amp;amp;list_uids=36211665&amp;amp;query_hl=1&lt;/_url&gt;&lt;_volume&gt;10&lt;/_volume&gt;&lt;_created&gt;66161884&lt;/_created&gt;&lt;_modified&gt;66161884&lt;/_modified&gt;&lt;_impact_factor&gt;   5.200&lt;/_impact_factor&gt;&lt;_social_category&gt;公共卫生、环境卫生与职业卫生(3)&lt;/_social_category&gt;&lt;_collection_scope&gt;SSCI;SCIE&lt;/_collection_scope&gt;&lt;_accessed&gt;66161885&lt;/_accessed&gt;&lt;/Details&gt;&lt;Extra&gt;&lt;DBUID&gt;{DE16ABCE-A785-434C-BF43-2FE58866AFDD}&lt;/DBUID&gt;&lt;/Extra&gt;&lt;/Item&gt;&lt;/References&gt;&lt;/Group&gt;&lt;/Citation&gt;_x000a_"/>
    <w:docVar w:name="NE.Ref{4AB86FAD-6334-4144-957D-45CB3CE15B79}" w:val=" ADDIN NE.Ref.{4AB86FAD-6334-4144-957D-45CB3CE15B79}&lt;Citation&gt;&lt;Group&gt;&lt;References&gt;&lt;Item&gt;&lt;ID&gt;3627&lt;/ID&gt;&lt;UID&gt;{BF5345A8-C152-40C3-8A86-4A09817A4BF9}&lt;/UID&gt;&lt;Title&gt;Final Overall Survival Analysis From a Study Comparing First-Line Crizotinib  Versus Chemotherapy in ALK-Mutation-Positive Non-Small-Cell Lung Cancer&lt;/Title&gt;&lt;Template&gt;Journal Article&lt;/Template&gt;&lt;Star&gt;0&lt;/Star&gt;&lt;Tag&gt;0&lt;/Tag&gt;&lt;Author&gt;Solomon, B J; Kim, D W; Wu, Y L; Nakagawa, K; Mekhail, T; Felip, E; Cappuzzo, F; Paolini, J; Usari, T; Tang, Y; Wilner, K D; Blackhall, F; Mok, T S&lt;/Author&gt;&lt;Year&gt;2018&lt;/Year&gt;&lt;Details&gt;&lt;_accession_num&gt;29768118&lt;/_accession_num&gt;&lt;_author_adr&gt;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à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lt;/_author_adr&gt;&lt;_date_display&gt;2018 Aug 1&lt;/_date_display&gt;&lt;_date&gt;2018-08-01&lt;/_date&gt;&lt;_doi&gt;10.1200/JCO.2017.77.4794&lt;/_doi&gt;&lt;_isbn&gt;1527-7755 (Electronic); 0732-183X (Linking)&lt;/_isbn&gt;&lt;_issue&gt;22&lt;/_issue&gt;&lt;_journal&gt;J Clin Oncol&lt;/_journal&gt;&lt;_language&gt;eng&lt;/_language&gt;&lt;_pages&gt;2251-2258&lt;/_pages&gt;&lt;_subject_headings&gt;Aged; Anaplastic Lymphoma Kinase/*genetics; Antineoplastic Combined Chemotherapy Protocols/adverse effects/*therapeutic use; Carboplatin/administration &amp;amp; dosage/adverse effects; Carcinoma, Non-Small-Cell Lung/*drug therapy/enzymology/genetics; Cisplatin/administration &amp;amp; dosage/adverse effects; Crizotinib/*administration &amp;amp; dosage/adverse effects; Female; Humans; Lung Neoplasms/*drug therapy/enzymology/genetics; Male; Middle Aged; Mutation; Pemetrexed/administration &amp;amp; dosage/adverse effects; Protein Kinase Inhibitors/administration &amp;amp; dosage/adverse effects; Survival Rate&lt;/_subject_headings&gt;&lt;_tertiary_title&gt;Journal of clinical oncology : official journal of the American Society of _x000d__x000a_      Clinical Oncology&lt;/_tertiary_title&gt;&lt;_type_work&gt;Clinical Trial, Phase III; Journal Article; Randomized Controlled Trial; Research Support, Non-U.S. Gov&amp;apos;t&lt;/_type_work&gt;&lt;_url&gt;http://www.ncbi.nlm.nih.gov/entrez/query.fcgi?cmd=Retrieve&amp;amp;db=pubmed&amp;amp;dopt=Abstract&amp;amp;list_uids=29768118&amp;amp;query_hl=1&lt;/_url&gt;&lt;_volume&gt;36&lt;/_volume&gt;&lt;_created&gt;66161854&lt;/_created&gt;&lt;_modified&gt;66161854&lt;/_modified&gt;&lt;_impact_factor&gt;  45.300&lt;/_impact_factor&gt;&lt;_social_category&gt;肿瘤学(1)&lt;/_social_category&gt;&lt;_collection_scope&gt;SCIE&lt;/_collection_scope&gt;&lt;_accessed&gt;66161854&lt;/_accessed&gt;&lt;/Details&gt;&lt;Extra&gt;&lt;DBUID&gt;{DE16ABCE-A785-434C-BF43-2FE58866AFDD}&lt;/DBUID&gt;&lt;/Extra&gt;&lt;/Item&gt;&lt;/References&gt;&lt;/Group&gt;&lt;/Citation&gt;_x000a_"/>
    <w:docVar w:name="NE.Ref{53D17041-1399-4784-9577-84FFA58E595C}" w:val=" ADDIN NE.Ref.{53D17041-1399-4784-9577-84FFA58E595C}&lt;Citation&gt;&lt;Group&gt;&lt;References&gt;&lt;Item&gt;&lt;ID&gt;3642&lt;/ID&gt;&lt;UID&gt;{8A795457-A564-47DA-AE89-217218FBA50B}&lt;/UID&gt;&lt;Title&gt;Cost-Effectiveness Analysis of Five Systemic Treatments for Unresectable  Hepatocellular Carcinoma in China: An Economic Evaluation Based on Network  Meta-Analysis&lt;/Title&gt;&lt;Template&gt;Journal Article&lt;/Template&gt;&lt;Star&gt;0&lt;/Star&gt;&lt;Tag&gt;0&lt;/Tag&gt;&lt;Author&gt;Zhao, M; Pan, X; Yin, Y; Hu, H; Wei, J; Bai, Z; Tang, W&lt;/Author&gt;&lt;Year&gt;2022&lt;/Year&gt;&lt;Details&gt;&lt;_accession_num&gt;35493395&lt;/_accession_num&gt;&lt;_author_adr&gt;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Jiangsu Institute of Cancer Research, Jiangsu Cancer Hospital, The Affiliated  Cancer Hospital of Nanjing Medical University, Nanjing, China.; Jiangsu Institute of Cancer Research, Jiangsu Cancer Hospital, The Affiliated  Cancer Hospital of Nanjing Medical University, Nanjing, China.; Department of Pharmacoeconomics, School of International Pharmaceutical Business,  China Pharmaceutical University, Nanjing, China.; Center for Pharmacoeconomics and Outcomes Research, China Pharmaceutical  University, Nanjing, China.&lt;/_author_adr&gt;&lt;_date_display&gt;2022&lt;/_date_display&gt;&lt;_date&gt;2022-01-20&lt;/_date&gt;&lt;_doi&gt;10.3389/fpubh.2022.869960&lt;/_doi&gt;&lt;_isbn&gt;2296-2565 (Electronic); 2296-2565 (Linking)&lt;/_isbn&gt;&lt;_journal&gt;Front Public Health&lt;/_journal&gt;&lt;_keywords&gt;cost-effectiveness analysis; fractional polynomial; network meta-analysis; partitioned survival; unresectable hepatocellular carcinoma&lt;/_keywords&gt;&lt;_language&gt;eng&lt;/_language&gt;&lt;_ori_publication&gt;Copyright © 2022 Zhao, Pan, Yin, Hu, Wei, Bai and Tang.&lt;/_ori_publication&gt;&lt;_pages&gt;869960&lt;/_pages&gt;&lt;_subject_headings&gt;Bevacizumab/therapeutic use; *Carcinoma, Hepatocellular/drug therapy; Cost-Benefit Analysis; Humans; *Liver Neoplasms/drug therapy; Sorafenib/therapeutic use&lt;/_subject_headings&gt;&lt;_tertiary_title&gt;Frontiers in public health&lt;/_tertiary_title&gt;&lt;_type_work&gt;Journal Article; Network Meta-Analysis; Research Support, Non-U.S. Gov&amp;apos;t&lt;/_type_work&gt;&lt;_url&gt;http://www.ncbi.nlm.nih.gov/entrez/query.fcgi?cmd=Retrieve&amp;amp;db=pubmed&amp;amp;dopt=Abstract&amp;amp;list_uids=35493395&amp;amp;query_hl=1&lt;/_url&gt;&lt;_volume&gt;10&lt;/_volume&gt;&lt;_created&gt;66161872&lt;/_created&gt;&lt;_modified&gt;66161872&lt;/_modified&gt;&lt;_impact_factor&gt;   5.200&lt;/_impact_factor&gt;&lt;_social_category&gt;公共卫生、环境卫生与职业卫生(3)&lt;/_social_category&gt;&lt;_collection_scope&gt;SSCI;SCIE&lt;/_collection_scope&gt;&lt;_accessed&gt;66161872&lt;/_accessed&gt;&lt;/Details&gt;&lt;Extra&gt;&lt;DBUID&gt;{DE16ABCE-A785-434C-BF43-2FE58866AFDD}&lt;/DBUID&gt;&lt;/Extra&gt;&lt;/Item&gt;&lt;/References&gt;&lt;/Group&gt;&lt;/Citation&gt;_x000a_"/>
    <w:docVar w:name="NE.Ref{5445CD21-31B3-4974-A417-FE42D7C37593}" w:val=" ADDIN NE.Ref.{5445CD21-31B3-4974-A417-FE42D7C37593}&lt;Citation&gt;&lt;Group&gt;&lt;References&gt;&lt;Item&gt;&lt;ID&gt;1278&lt;/ID&gt;&lt;UID&gt;{A7EBDEC4-2CBB-4577-8C0D-822A7D0A1A87}&lt;/UID&gt;&lt;Title&gt;Crizotinib versus chemotherapy in advanced ALK-positive lung cancer&lt;/Title&gt;&lt;Template&gt;Journal Article&lt;/Template&gt;&lt;Star&gt;0&lt;/Star&gt;&lt;Tag&gt;0&lt;/Tag&gt;&lt;Author&gt;Shaw, A T; Kim, D W; Nakagawa, K; Seto, T; Crino, L; Ahn, M J; De Pas, T; Besse, B; Solomon, B J; Blackhall, F; Wu, Y L; Thomas, M; O&amp;apos;Byrne, K J; Moro-Sibilot, D; Camidge, D R; Mok, T; Hirsh, V; Riely, G J; Iyer, S; Tassell, V; Polli, A; Wilner, K D; Janne, P A&lt;/Author&gt;&lt;Year&gt;2013&lt;/Year&gt;&lt;Details&gt;&lt;_accession_num&gt;23724913&lt;/_accession_num&gt;&lt;_author_adr&gt;Massachusetts General Hospital, Boston, MA 02114, USA. ashaw1@partners.org&lt;/_author_adr&gt;&lt;_collection_scope&gt;SCIE&lt;/_collection_scope&gt;&lt;_created&gt;65265054&lt;/_created&gt;&lt;_date&gt;2013-06-20&lt;/_date&gt;&lt;_date_display&gt;2013 Jun 20&lt;/_date_display&gt;&lt;_db_updated&gt;PubMed&lt;/_db_updated&gt;&lt;_doi&gt;10.1056/NEJMoa1214886&lt;/_doi&gt;&lt;_impact_factor&gt; 176.079&lt;/_impact_factor&gt;&lt;_isbn&gt;1533-4406 (Electronic); 0028-4793 (Linking)&lt;/_isbn&gt;&lt;_issue&gt;25&lt;/_issue&gt;&lt;_journal&gt;N Engl J Med&lt;/_journal&gt;&lt;_language&gt;eng&lt;/_language&gt;&lt;_modified&gt;65265055&lt;/_modified&gt;&lt;_pages&gt;2385-94&lt;/_pages&gt;&lt;_social_category&gt;医学：内科(1)&lt;/_social_category&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Details&gt;&lt;Extra&gt;&lt;DBUID&gt;{A96A13AE-8553-4F4D-9468-5E97E276BB62}&lt;/DBUID&gt;&lt;/Extra&gt;&lt;/Item&gt;&lt;/References&gt;&lt;/Group&gt;&lt;/Citation&gt;_x000a_"/>
    <w:docVar w:name="NE.Ref{5EB72C21-41AC-4D62-AE8C-B3BAE4DAC942}" w:val=" ADDIN NE.Ref.{5EB72C21-41AC-4D62-AE8C-B3BAE4DAC942}&lt;Citation&gt;&lt;Group&gt;&lt;References&gt;&lt;Item&gt;&lt;ID&gt;1344&lt;/ID&gt;&lt;UID&gt;{56EC3417-650F-49F1-B5F3-816F6CCD0F8B}&lt;/UID&gt;&lt;Title&gt;Brigatinib in Patients With Crizotinib-Refractory Anaplastic Lymphoma  Kinase-Positive Non-Small-Cell Lung Cancer: A Randomized, Multicenter Phase II  Trial&lt;/Title&gt;&lt;Template&gt;Journal Article&lt;/Template&gt;&lt;Star&gt;0&lt;/Star&gt;&lt;Tag&gt;0&lt;/Tag&gt;&lt;Author&gt;Kim, D W; Tiseo, M; Ahn, M J; Reckamp, K L; Hansen, K H; Kim, S W; Huber, R M; West, H L; Groen, HJM; Hochmair, M J; Leighl, N B; Gettinger, S N; Langer, C J; Paz-Ares, Rodriguez LG; Smit, E F; Kim, E S; Reichmann, W; Haluska, F G; Kerstein, D; Camidge, D R&lt;/Author&gt;&lt;Year&gt;2017&lt;/Year&gt;&lt;Details&gt;&lt;_accession_num&gt;28475456&lt;/_accession_num&gt;&lt;_author_adr&gt;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i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lt;/_author_adr&gt;&lt;_collection_scope&gt;SCIE&lt;/_collection_scope&gt;&lt;_created&gt;65322649&lt;/_created&gt;&lt;_date&gt;2017-08-01&lt;/_date&gt;&lt;_date_display&gt;2017 Aug 1&lt;/_date_display&gt;&lt;_db_updated&gt;PubMed&lt;/_db_updated&gt;&lt;_doi&gt;10.1200/JCO.2016.71.5904&lt;/_doi&gt;&lt;_impact_factor&gt;  50.717&lt;/_impact_factor&gt;&lt;_isbn&gt;1527-7755 (Electronic); 0732-183X (Linking)&lt;/_isbn&gt;&lt;_issue&gt;22&lt;/_issue&gt;&lt;_journal&gt;J Clin Oncol&lt;/_journal&gt;&lt;_language&gt;eng&lt;/_language&gt;&lt;_modified&gt;65322649&lt;/_modified&gt;&lt;_pages&gt;2490-2498&lt;/_pages&gt;&lt;_social_category&gt;肿瘤学(1)&lt;/_social_category&gt;&lt;_subject_headings&gt;Adolescent; Adult; Aged; Aged, 80 and over; Anaplastic Lymphoma Kinase; Antineoplastic Agents/administration &amp;amp; dosage/adverse effects/*therapeutic use; Brain Neoplasms/*drug therapy/secondary; Carcinoma, Non-Small-Cell Lung/*drug therapy/secondary; Cough/chemically induced; Crizotinib; Diarrhea/chemically induced; Disease Progression; Disease-Free Survival; Female; Headache/chemically induced; Humans; Lung Neoplasms/*drug therapy/pathology; Male; Middle Aged; Nausea/chemically induced; Organophosphorus Compounds/administration &amp;amp; dosage/adverse effects/*therapeutic _x000d__x000a_      use; Prospective Studies; Pyrazoles/therapeutic use; Pyridines/therapeutic use; Pyrimidines/administration &amp;amp; dosage/adverse effects/*therapeutic use; Receptor Protein-Tyrosine Kinases/*genetics; Retreatment; Treatment Outcome; Young Adult&lt;/_subject_headings&gt;&lt;_tertiary_title&gt;Journal of clinical oncology : official journal of the American Society of _x000d__x000a_      Clinical Oncology&lt;/_tertiary_title&gt;&lt;_type_work&gt;Clinical Trial, Phase II; Journal Article; Multicenter Study; Randomized Controlled Trial&lt;/_type_work&gt;&lt;_url&gt;http://www.ncbi.nlm.nih.gov/entrez/query.fcgi?cmd=Retrieve&amp;amp;db=pubmed&amp;amp;dopt=Abstract&amp;amp;list_uids=28475456&amp;amp;query_hl=1&lt;/_url&gt;&lt;_volume&gt;35&lt;/_volume&gt;&lt;/Details&gt;&lt;Extra&gt;&lt;DBUID&gt;{A96A13AE-8553-4F4D-9468-5E97E276BB62}&lt;/DBUID&gt;&lt;/Extra&gt;&lt;/Item&gt;&lt;/References&gt;&lt;/Group&gt;&lt;/Citation&gt;_x000a_"/>
    <w:docVar w:name="NE.Ref{6077181D-10C2-496B-8CF2-B3921C703677}" w:val=" ADDIN NE.Ref.{6077181D-10C2-496B-8CF2-B3921C703677}&lt;Citation&gt;&lt;Group&gt;&lt;References&gt;&lt;Item&gt;&lt;ID&gt;3641&lt;/ID&gt;&lt;UID&gt;{4BC09D59-2D66-4150-83C1-9C64BF7FF171}&lt;/UID&gt;&lt;Title&gt;Cost-Effectiveness of 12 First-Line Treatments for Patients With Advanced EGFR  Mutated NSCLC in the United Kingdom and China&lt;/Title&gt;&lt;Template&gt;Journal Article&lt;/Template&gt;&lt;Star&gt;0&lt;/Star&gt;&lt;Tag&gt;0&lt;/Tag&gt;&lt;Author&gt;Guan, H; Wang, C; Chen, C; Han, S; Zhao, Z&lt;/Author&gt;&lt;Year&gt;2022&lt;/Year&gt;&lt;Details&gt;&lt;_accession_num&gt;35785198&lt;/_accession_num&gt;&lt;_author_adr&gt;Department of Pharmacy, Beijing Tiantan Hospital, Capital Medical University,  Beijing, China.; China Center for Health Economic Research, Peking University, Beijing, China.; International Research Center for Medicinal Administration, Peking University,  Beijing, China.; China Center for Health Economic Research, Peking University, Beijing, China.; Department of Global Health, School of Public Health, Wuhan University, Wuhan,  China.; International Research Center for Medicinal Administration, Peking University,  Beijing, China.; Department of Pharmacy, Beijing Tiantan Hospital, Capital Medical University,  Beijing, China.&lt;/_author_adr&gt;&lt;_date_display&gt;2022&lt;/_date_display&gt;&lt;_date&gt;2022-01-20&lt;/_date&gt;&lt;_doi&gt;10.3389/fonc.2022.819674&lt;/_doi&gt;&lt;_isbn&gt;2234-943X (Print); 2234-943X (Electronic); 2234-943X (Linking)&lt;/_isbn&gt;&lt;_journal&gt;Front Oncol&lt;/_journal&gt;&lt;_keywords&gt;China; cost-effectiveness; epidermal growth factor receptor; non-small cell lung cancer; the United Kingdom&lt;/_keywords&gt;&lt;_language&gt;eng&lt;/_language&gt;&lt;_ori_publication&gt;Copyright © 2022 Guan, Wang, Chen, Han and Zhao.&lt;/_ori_publication&gt;&lt;_pages&gt;819674&lt;/_pages&gt;&lt;_tertiary_title&gt;Frontiers in oncology&lt;/_tertiary_title&gt;&lt;_type_work&gt;Journal Article&lt;/_type_work&gt;&lt;_url&gt;http://www.ncbi.nlm.nih.gov/entrez/query.fcgi?cmd=Retrieve&amp;amp;db=pubmed&amp;amp;dopt=Abstract&amp;amp;list_uids=35785198&amp;amp;query_hl=1&lt;/_url&gt;&lt;_volume&gt;12&lt;/_volume&gt;&lt;_created&gt;66161870&lt;/_created&gt;&lt;_modified&gt;66161870&lt;/_modified&gt;&lt;_impact_factor&gt;   4.700&lt;/_impact_factor&gt;&lt;_social_category&gt;肿瘤学(3)&lt;/_social_category&gt;&lt;_collection_scope&gt;SCIE&lt;/_collection_scope&gt;&lt;_accessed&gt;66161870&lt;/_accessed&gt;&lt;/Details&gt;&lt;Extra&gt;&lt;DBUID&gt;{DE16ABCE-A785-434C-BF43-2FE58866AFDD}&lt;/DBUID&gt;&lt;/Extra&gt;&lt;/Item&gt;&lt;/References&gt;&lt;/Group&gt;&lt;/Citation&gt;_x000a_"/>
    <w:docVar w:name="NE.Ref{62EB8931-0AC1-45C1-80EE-C0A2B5E6DFA7}" w:val=" ADDIN NE.Ref.{62EB8931-0AC1-45C1-80EE-C0A2B5E6DFA7}&lt;Citation&gt;&lt;Group&gt;&lt;References&gt;&lt;Item&gt;&lt;ID&gt;3642&lt;/ID&gt;&lt;UID&gt;{8A795457-A564-47DA-AE89-217218FBA50B}&lt;/UID&gt;&lt;Title&gt;Cost-Effectiveness Analysis of Five Systemic Treatments for Unresectable  Hepatocellular Carcinoma in China: An Economic Evaluation Based on Network  Meta-Analysis&lt;/Title&gt;&lt;Template&gt;Journal Article&lt;/Template&gt;&lt;Star&gt;0&lt;/Star&gt;&lt;Tag&gt;0&lt;/Tag&gt;&lt;Author&gt;Zhao, M; Pan, X; Yin, Y; Hu, H; Wei, J; Bai, Z; Tang, W&lt;/Author&gt;&lt;Year&gt;2022&lt;/Year&gt;&lt;Details&gt;&lt;_accession_num&gt;35493395&lt;/_accession_num&gt;&lt;_author_adr&gt;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Jiangsu Institute of Cancer Research, Jiangsu Cancer Hospital, The Affiliated  Cancer Hospital of Nanjing Medical University, Nanjing, China.; Jiangsu Institute of Cancer Research, Jiangsu Cancer Hospital, The Affiliated  Cancer Hospital of Nanjing Medical University, Nanjing, China.; Department of Pharmacoeconomics, School of International Pharmaceutical Business,  China Pharmaceutical University, Nanjing, China.; Center for Pharmacoeconomics and Outcomes Research, China Pharmaceutical  University, Nanjing, China.&lt;/_author_adr&gt;&lt;_date_display&gt;2022&lt;/_date_display&gt;&lt;_date&gt;2022-01-20&lt;/_date&gt;&lt;_doi&gt;10.3389/fpubh.2022.869960&lt;/_doi&gt;&lt;_isbn&gt;2296-2565 (Electronic); 2296-2565 (Linking)&lt;/_isbn&gt;&lt;_journal&gt;Front Public Health&lt;/_journal&gt;&lt;_keywords&gt;cost-effectiveness analysis; fractional polynomial; network meta-analysis; partitioned survival; unresectable hepatocellular carcinoma&lt;/_keywords&gt;&lt;_language&gt;eng&lt;/_language&gt;&lt;_ori_publication&gt;Copyright © 2022 Zhao, Pan, Yin, Hu, Wei, Bai and Tang.&lt;/_ori_publication&gt;&lt;_pages&gt;869960&lt;/_pages&gt;&lt;_subject_headings&gt;Bevacizumab/therapeutic use; *Carcinoma, Hepatocellular/drug therapy; Cost-Benefit Analysis; Humans; *Liver Neoplasms/drug therapy; Sorafenib/therapeutic use&lt;/_subject_headings&gt;&lt;_tertiary_title&gt;Frontiers in public health&lt;/_tertiary_title&gt;&lt;_type_work&gt;Journal Article; Network Meta-Analysis; Research Support, Non-U.S. Gov&amp;apos;t&lt;/_type_work&gt;&lt;_url&gt;http://www.ncbi.nlm.nih.gov/entrez/query.fcgi?cmd=Retrieve&amp;amp;db=pubmed&amp;amp;dopt=Abstract&amp;amp;list_uids=35493395&amp;amp;query_hl=1&lt;/_url&gt;&lt;_volume&gt;10&lt;/_volume&gt;&lt;_created&gt;66161872&lt;/_created&gt;&lt;_modified&gt;66161872&lt;/_modified&gt;&lt;_impact_factor&gt;   5.200&lt;/_impact_factor&gt;&lt;_social_category&gt;公共卫生、环境卫生与职业卫生(3)&lt;/_social_category&gt;&lt;_collection_scope&gt;SSCI;SCIE&lt;/_collection_scope&gt;&lt;_accessed&gt;66161872&lt;/_accessed&gt;&lt;/Details&gt;&lt;Extra&gt;&lt;DBUID&gt;{DE16ABCE-A785-434C-BF43-2FE58866AFDD}&lt;/DBUID&gt;&lt;/Extra&gt;&lt;/Item&gt;&lt;/References&gt;&lt;/Group&gt;&lt;/Citation&gt;_x000a_"/>
    <w:docVar w:name="NE.Ref{64C7AF1B-8F52-45D3-BF29-48C5C718FF14}" w:val=" ADDIN NE.Ref.{64C7AF1B-8F52-45D3-BF29-48C5C718FF14}&lt;Citation&gt;&lt;Group&gt;&lt;References&gt;&lt;Item&gt;&lt;ID&gt;3645&lt;/ID&gt;&lt;UID&gt;{9D6F756E-9025-4516-92DE-EEAFF0E2CB6E}&lt;/UID&gt;&lt;Title&gt;Trastuzumab Deruxtecan versus Trastuzumab Emtansine for Breast Cancer&lt;/Title&gt;&lt;Template&gt;Journal Article&lt;/Template&gt;&lt;Star&gt;0&lt;/Star&gt;&lt;Tag&gt;0&lt;/Tag&gt;&lt;Author&gt;Cortés, J; Kim, S B; Chung, W P; Im, S A; Park, Y H; Hegg, R; Kim, M H; Tseng, L M; Petry, V; Chung, C F; Iwata, H; Hamilton, E; Curigliano, G; Xu, B; Huang, C S; Kim, J H; Chiu, JWY; Pedrini, J L; Lee, C; Liu, Y; Cathcart, J; Bako, E; Verma, S; Hurvitz, S A&lt;/Author&gt;&lt;Year&gt;2022&lt;/Year&gt;&lt;Details&gt;&lt;_accession_num&gt;35320644&lt;/_accession_num&gt;&lt;_author_adr&gt;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lt;/_author_adr&gt;&lt;_date_display&gt;2022 Mar 24&lt;/_date_display&gt;&lt;_date&gt;2022-03-24&lt;/_date&gt;&lt;_doi&gt;10.1056/NEJMoa2115022&lt;/_doi&gt;&lt;_isbn&gt;1533-4406 (Electronic); 0028-4793 (Linking)&lt;/_isbn&gt;&lt;_issue&gt;12&lt;/_issue&gt;&lt;_journal&gt;N Engl J Med&lt;/_journal&gt;&lt;_language&gt;eng&lt;/_language&gt;&lt;_ori_publication&gt;Copyright © 2022 Massachusetts Medical Society.&lt;/_ori_publication&gt;&lt;_pages&gt;1143-1154&lt;/_pages&gt;&lt;_subject_headings&gt;Ado-Trastuzumab Emtansine/adverse effects/*therapeutic use; Adult; Aged; Aged, 80 and over; Antineoplastic Agents, Immunological/adverse effects/*therapeutic use; Breast Neoplasms/*drug therapy/mortality/pathology; Camptothecin/adverse effects/*analogs &amp;amp; derivatives/therapeutic use; Female; Humans; Immunoconjugates/adverse effects/*therapeutic use; Kaplan-Meier Estimate; Lung Diseases, Interstitial/chemically induced; Middle Aged; Pneumonia/chemically induced; Progression-Free Survival; Receptor, ErbB-2/antagonists &amp;amp; inhibitors/metabolism; Trastuzumab/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5320644&amp;amp;query_hl=1&lt;/_url&gt;&lt;_volume&gt;386&lt;/_volume&gt;&lt;_created&gt;66161876&lt;/_created&gt;&lt;_modified&gt;66161876&lt;/_modified&gt;&lt;_impact_factor&gt; 158.500&lt;/_impact_factor&gt;&lt;_social_category&gt;医学：内科(1)&lt;/_social_category&gt;&lt;_collection_scope&gt;SCIE&lt;/_collection_scope&gt;&lt;_accessed&gt;66161877&lt;/_accessed&gt;&lt;/Details&gt;&lt;Extra&gt;&lt;DBUID&gt;{DE16ABCE-A785-434C-BF43-2FE58866AFDD}&lt;/DBUID&gt;&lt;/Extra&gt;&lt;/Item&gt;&lt;/References&gt;&lt;/Group&gt;&lt;/Citation&gt;_x000a_"/>
    <w:docVar w:name="NE.Ref{651CCED8-A501-447F-86A7-B56FC8A15840}" w:val=" ADDIN NE.Ref.{651CCED8-A501-447F-86A7-B56FC8A15840}&lt;Citation&gt;&lt;Group&gt;&lt;References&gt;&lt;Item&gt;&lt;ID&gt;3638&lt;/ID&gt;&lt;UID&gt;{D2434649-4108-480F-94BE-00C4E8A97F16}&lt;/UID&gt;&lt;Title&gt;Brigatinib Versus Alectinib in ALK-Positive NSCLC After Disease Progression on  Crizotinib: Results of Phase 3 ALTA-3 Trial&lt;/Title&gt;&lt;Template&gt;Journal Article&lt;/Template&gt;&lt;Star&gt;0&lt;/Star&gt;&lt;Tag&gt;0&lt;/Tag&gt;&lt;Author&gt;Yang, J C; Liu, G; Lu, S; He, J; Burotto, M; Ahn, M J; Kim, D W; Liu, X; Zhao, Y; Vincent, S; Yin, J; Ma, X; Lin, H M; Popat, S&lt;/Author&gt;&lt;Year&gt;2023&lt;/Year&gt;&lt;Details&gt;&lt;_accession_num&gt;37574132&lt;/_accession_num&gt;&lt;_author_adr&gt;Department of Oncology, National Taiwan University Hospital and National Taiwan  University Cancer Center, Taipei, Taiwan.; Department of Medical Oncology, Ontario Cancer Institute, Princess Margaret  Cancer Centre, Toronto, Ontario, Canada.; Shanghai Chest Hospital, Shanghai, People&amp;apos;s Republic of China.; Thoracic Cardio Surgery Department, First Affiliated Hospital of Guangzhou  Medical University, Guangzhou, People&amp;apos;s Republic of China.; Bradford Hill Clinical Research Center, Santiago, Chile.; Section of Hematology-Oncology, Department of Medicine, Samsung Medical Center,  Sungkyunkwan University School of Medicine, Seoul, South Korea.; Department of Internal Medicine, Seoul National University College of Medicine  and Seoul National University Hospital, Seoul, South Korea.; Fifth Medical Center of PLA General Hospital, Beijing, People&amp;apos;s Republic of  China.; Affiliated Cancer Hospital of Zhengzhou University, Henan, People&amp;apos;s Republic of  China.; Oncology Cell Therapy Precision and Translational Medicine, Takeda Development  Center Americas, Inc., Lexington, Massachusetts.; Oncology Statistics, Takeda Development Center Americas, Inc., Lexington,  Massachusetts.; Clinical Science, Takeda Development Center Americas, Inc., Lexington,  Massachusetts.; Global Evidence and Outcomes Oncology, Takeda Development Center Americas, Inc.,  Lexington, Massachusetts.; Lung Unit, Royal Marsden Hospital, London, England, United Kingdom. Electronic  address: sanjay.popat@rmh.nhs.uk.&lt;/_author_adr&gt;&lt;_date_display&gt;2023 Dec&lt;/_date_display&gt;&lt;_date&gt;2023-12-01&lt;/_date&gt;&lt;_doi&gt;10.1016/j.jtho.2023.08.010&lt;/_doi&gt;&lt;_isbn&gt;1556-1380 (Electronic); 1556-0864 (Linking)&lt;/_isbn&gt;&lt;_issue&gt;12&lt;/_issue&gt;&lt;_journal&gt;J Thorac Oncol&lt;/_journal&gt;&lt;_keywords&gt;Alectinib; Anaplastic lymphoma kinase; Brigatinib; Non–small cell lung cancer; Tyrosine kinase inhibitor&lt;/_keywords&gt;&lt;_language&gt;eng&lt;/_language&gt;&lt;_ori_publication&gt;Copyright © 2023 International Association for the Study of Lung Cancer. _x000d__x000a_      Published by Elsevier Inc. All rights reserved.&lt;/_ori_publication&gt;&lt;_pages&gt;1743-1755&lt;/_pages&gt;&lt;_subject_headings&gt;Humans; Anaplastic Lymphoma Kinase/genetics; Carbazoles/pharmacology/therapeutic use; *Carcinoma, Non-Small-Cell Lung/pathology; Crizotinib/pharmacology/therapeutic use; Disease Progression; *Lung Neoplasms/drug therapy/genetics/pathology; Protein Kinase Inhibitors/therapeutic use&lt;/_subject_headings&gt;&lt;_tertiary_title&gt;Journal of thoracic oncology : official publication of the International _x000d__x000a_      Association for the Study of Lung Cancer&lt;/_tertiary_title&gt;&lt;_type_work&gt;Clinical Trial, Phase III; Journal Article; Randomized Controlled Trial; Research Support, Non-U.S. Gov&amp;apos;t&lt;/_type_work&gt;&lt;_url&gt;http://www.ncbi.nlm.nih.gov/entrez/query.fcgi?cmd=Retrieve&amp;amp;db=pubmed&amp;amp;dopt=Abstract&amp;amp;list_uids=37574132&amp;amp;query_hl=1&lt;/_url&gt;&lt;_volume&gt;18&lt;/_volume&gt;&lt;_created&gt;66161860&lt;/_created&gt;&lt;_modified&gt;66161860&lt;/_modified&gt;&lt;_impact_factor&gt;  20.400&lt;/_impact_factor&gt;&lt;_social_category&gt;肿瘤学(1) &amp;amp; 呼吸系统(1)&lt;/_social_category&gt;&lt;_collection_scope&gt;SCIE&lt;/_collection_scope&gt;&lt;_accessed&gt;66161860&lt;/_accessed&gt;&lt;/Details&gt;&lt;Extra&gt;&lt;DBUID&gt;{DE16ABCE-A785-434C-BF43-2FE58866AFDD}&lt;/DBUID&gt;&lt;/Extra&gt;&lt;/Item&gt;&lt;/References&gt;&lt;/Group&gt;&lt;/Citation&gt;_x000a_"/>
    <w:docVar w:name="NE.Ref{718A6A87-BBEA-4976-B5EE-1079B017AD7A}" w:val=" ADDIN NE.Ref.{718A6A87-BBEA-4976-B5EE-1079B017AD7A}&lt;Citation&gt;&lt;Group&gt;&lt;References&gt;&lt;Item&gt;&lt;ID&gt;1338&lt;/ID&gt;&lt;UID&gt;{1C81F592-EFCA-4210-B105-D00E462D6F51}&lt;/UID&gt;&lt;Title&gt;Multicenter Phase II Study of Whole-Body and Intracranial Activity With Ceritinib  in Patients With ALK-Rearranged Non-Small-Cell Lung Cancer Previously Treated  With Chemotherapy and Crizotinib: Results From ASCEND-2&lt;/Title&gt;&lt;Template&gt;Journal Article&lt;/Template&gt;&lt;Star&gt;0&lt;/Star&gt;&lt;Tag&gt;0&lt;/Tag&gt;&lt;Author&gt;Crino, L; Ahn, M J; De Marinis, F; Groen, H J; Wakelee, H; Hida, T; Mok, T; Spigel, D; Felip, E; Nishio, M; Scagliotti, G; Branle, F; Emeremni, C; Quadrigli, M; Zhang, J; Shaw, A T&lt;/Author&gt;&lt;Year&gt;2016&lt;/Year&gt;&lt;Details&gt;&lt;_accession_num&gt;27432917&lt;/_accession_num&gt;&lt;_author_adr&gt;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crino@ospedale.perugia.it.;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 Lucio Crino, University Medical School of Perugia, Azienda Ospedale Perugia,  Perugia; Filippo De Marinis, European Institute of Oncology, Milan; Giorgio  Scagliotti, University of Torino, Torino, Italy; Myung-Ju Ahn, Sungkyunkwan  University School of Medicine, Samsung Medical Center, Seoul, South Korea; Harry  J.M. Groen, University of Groningen, University Medical Center Groningen,  Groningen, the Netherlands; Heather Wakelee, Stanford University Medical Center,  Stanford, CA; Toyoaki Hida, Aichi Cancer Center, Nagoya; Makoto Nishio, Japanese  Foundation for Cancer Research, Tokyo, Japan; Tony Mok, Chinese University of  Hong Kong, Shatin, China; David Spigel, Sarah Cannon Research Institute,  Nashville, TN; Enriqueta Felip, Vall d&amp;apos;Hebron University, Barcelona, Spain;  Fabrice Branle and Massimiliano Quadrigli, Novartis Pharma AG, Basel,  Switzerland; Chetachi Emeremni and Jie Zhang, Novartis Pharma, East Hanover, NJ;  and Alice T. Shaw, Massachusetts General Hospital, Boston MA.&lt;/_author_adr&gt;&lt;_collection_scope&gt;SCIE&lt;/_collection_scope&gt;&lt;_created&gt;65322644&lt;/_created&gt;&lt;_date&gt;2016-08-20&lt;/_date&gt;&lt;_date_display&gt;2016 Aug 20&lt;/_date_display&gt;&lt;_db_updated&gt;PubMed&lt;/_db_updated&gt;&lt;_doi&gt;10.1200/JCO.2015.65.5936&lt;/_doi&gt;&lt;_impact_factor&gt;  50.717&lt;/_impact_factor&gt;&lt;_isbn&gt;1527-7755 (Electronic); 0732-183X (Linking)&lt;/_isbn&gt;&lt;_issue&gt;24&lt;/_issue&gt;&lt;_journal&gt;J Clin Oncol&lt;/_journal&gt;&lt;_language&gt;eng&lt;/_language&gt;&lt;_modified&gt;65322644&lt;/_modified&gt;&lt;_ori_publication&gt;(c) 2016 by American Society of Clinical Oncology.&lt;/_ori_publication&gt;&lt;_pages&gt;2866-73&lt;/_pages&gt;&lt;_social_category&gt;肿瘤学(1)&lt;/_social_category&gt;&lt;_subject_headings&gt;Adult; Aged; Aged, 80 and over; Anaplastic Lymphoma Kinase; Antineoplastic Combined Chemotherapy Protocols/*therapeutic use; Brain Neoplasms/*drug therapy/enzymology/genetics/*secondary; Carcinoma, Non-Small-Cell Lung/*drug therapy/enzymology/genetics/pathology; Crizotinib; Female; Gene Order; Humans; Lung Neoplasms/*drug therapy/enzymology/genetics/pathology; Male; Middle Aged; Organoplatinum Compounds/administration &amp;amp; dosage; Protein Kinase Inhibitors/adverse effects/therapeutic use; Pyrazoles/administration &amp;amp; dosage; Pyridines/administration &amp;amp; dosage; Pyrimidines/adverse effects/*therapeutic use; Receptor Protein-Tyrosine Kinases/antagonists &amp;amp; inhibitors/*genetics; Sulfones/adverse effects/*therapeutic use&lt;/_subject_headings&gt;&lt;_tertiary_title&gt;Journal of clinical oncology : official journal of the American Society of _x000d__x000a_      Clinical Oncology&lt;/_tertiary_title&gt;&lt;_type_work&gt;Clinical Trial, Phase II; Journal Article; Multicenter Study&lt;/_type_work&gt;&lt;_url&gt;http://www.ncbi.nlm.nih.gov/entrez/query.fcgi?cmd=Retrieve&amp;amp;db=pubmed&amp;amp;dopt=Abstract&amp;amp;list_uids=27432917&amp;amp;query_hl=1&lt;/_url&gt;&lt;_volume&gt;34&lt;/_volume&gt;&lt;/Details&gt;&lt;Extra&gt;&lt;DBUID&gt;{A96A13AE-8553-4F4D-9468-5E97E276BB62}&lt;/DBUID&gt;&lt;/Extra&gt;&lt;/Item&gt;&lt;/References&gt;&lt;/Group&gt;&lt;/Citation&gt;_x000a_"/>
    <w:docVar w:name="NE.Ref{73062C8B-AAA9-42D3-9A56-53FA67E4A607}" w:val=" ADDIN NE.Ref.{73062C8B-AAA9-42D3-9A56-53FA67E4A607}&lt;Citation&gt;&lt;Group&gt;&lt;References&gt;&lt;Item&gt;&lt;ID&gt;3649&lt;/ID&gt;&lt;UID&gt;{8FFD87A9-5BC8-41C5-A91D-F141D0FD0275}&lt;/UID&gt;&lt;Title&gt;Cost-Effectiveness Analysis Of Ceritinib And Alectinib Versus Crizotinib In The  Treatment Of Anaplastic Lymphoma Kinase-Positive Advanced Non-Small Cell Lung  Cancer&lt;/Title&gt;&lt;Template&gt;Journal Article&lt;/Template&gt;&lt;Star&gt;0&lt;/Star&gt;&lt;Tag&gt;0&lt;/Tag&gt;&lt;Author&gt;Liu, M; Zhang, L; Huang, Q; Li, N; Zheng, B; Cai, H&lt;/Author&gt;&lt;Year&gt;2019&lt;/Year&gt;&lt;Details&gt;&lt;_accession_num&gt;31749634&lt;/_accession_num&gt;&lt;_author_adr&gt;Department of Pharmacy, Fujian Medical University Union Hospital, Fuzhou, Fujian  Province, People&amp;apos;s Republic of China.; Department of Medical Oncology, Fujian Provincial Cancer Hospital, Fuzhou, Fujian  Province, People&amp;apos;s Republic of China.; College of Pharmacy, Fujian Medical University,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lt;/_author_adr&gt;&lt;_date_display&gt;2019&lt;/_date_display&gt;&lt;_date&gt;2019-01-20&lt;/_date&gt;&lt;_doi&gt;10.2147/CMAR.S223441&lt;/_doi&gt;&lt;_isbn&gt;1179-1322 (Print); 1179-1322 (Electronic); 1179-1322 (Linking)&lt;/_isbn&gt;&lt;_journal&gt;Cancer Manag Res&lt;/_journal&gt;&lt;_keywords&gt;NSCLC; alectinib; ceritinib; cost-effectiveness; crizotinib&lt;/_keywords&gt;&lt;_language&gt;eng&lt;/_language&gt;&lt;_ori_publication&gt;© 2019 Liu et al.&lt;/_ori_publication&gt;&lt;_pages&gt;9195-9202&lt;/_pages&gt;&lt;_tertiary_title&gt;Cancer management and research&lt;/_tertiary_title&gt;&lt;_type_work&gt;Journal Article&lt;/_type_work&gt;&lt;_url&gt;http://www.ncbi.nlm.nih.gov/entrez/query.fcgi?cmd=Retrieve&amp;amp;db=pubmed&amp;amp;dopt=Abstract&amp;amp;list_uids=31749634&amp;amp;query_hl=1&lt;/_url&gt;&lt;_volume&gt;11&lt;/_volume&gt;&lt;_created&gt;66161882&lt;/_created&gt;&lt;_modified&gt;66161882&lt;/_modified&gt;&lt;_impact_factor&gt;   3.300&lt;/_impact_factor&gt;&lt;_social_category&gt;肿瘤学(4)&lt;/_social_category&gt;&lt;_collection_scope&gt;SCIE&lt;/_collection_scope&gt;&lt;_accessed&gt;66161882&lt;/_accessed&gt;&lt;/Details&gt;&lt;Extra&gt;&lt;DBUID&gt;{DE16ABCE-A785-434C-BF43-2FE58866AFDD}&lt;/DBUID&gt;&lt;/Extra&gt;&lt;/Item&gt;&lt;/References&gt;&lt;/Group&gt;&lt;/Citation&gt;_x000a_"/>
    <w:docVar w:name="NE.Ref{77EB7F46-762A-4640-9D37-7E3A2CC535B8}" w:val=" ADDIN NE.Ref.{77EB7F46-762A-4640-9D37-7E3A2CC535B8}&lt;Citation&gt;&lt;Group&gt;&lt;References&gt;&lt;Item&gt;&lt;ID&gt;3646&lt;/ID&gt;&lt;UID&gt;{543B6656-6F78-43DF-B947-3232BEF37DEF}&lt;/UID&gt;&lt;Title&gt;Cost Effectiveness of Avelumab for Metastatic Merkel Cell Carcinoma&lt;/Title&gt;&lt;Template&gt;Journal Article&lt;/Template&gt;&lt;Star&gt;0&lt;/Star&gt;&lt;Tag&gt;0&lt;/Tag&gt;&lt;Author&gt;Bullement, A; Nathan, P; Willis, A; Amin, A; Lilley, C; Stapelkamp, C; Hatswell, A; Pescott, C; Bharmal, M&lt;/Author&gt;&lt;Year&gt;2019&lt;/Year&gt;&lt;Details&gt;&lt;_accession_num&gt;30680676&lt;/_accession_num&gt;&lt;_author_adr&gt;BresMed, Sheffield, UK.; Delta Hat, Nottingham, UK.; Mount Vernon Cancer Centre, Northwood, UK.; BresMed, Sheffield, UK.; Merck Serono, Feltham, UK.; BresMed, Sheffield, UK.; Merck Serono, Feltham, UK.; Delta Hat, Nottingham, UK.; Department of Statistical Science, University College London, London, UK.; Merck KGaA, Darmstadt, Germany.; Merck KGaA, Darmstadt, Germany. murtuza.bharmal@merckgroup.com.&lt;/_author_adr&gt;&lt;_date_display&gt;2019 Sep&lt;/_date_display&gt;&lt;_date&gt;2019-09-01&lt;/_date&gt;&lt;_doi&gt;10.1007/s41669-018-0115-y&lt;/_doi&gt;&lt;_isbn&gt;2509-4254 (Electronic); 2509-4262 (Print); 2509-4262 (Linking)&lt;/_isbn&gt;&lt;_issue&gt;3&lt;/_issue&gt;&lt;_journal&gt;Pharmacoecon Open&lt;/_journal&gt;&lt;_language&gt;eng&lt;/_language&gt;&lt;_pages&gt;377-390&lt;/_pages&gt;&lt;_tertiary_title&gt;PharmacoEconomics - open&lt;/_tertiary_title&gt;&lt;_type_work&gt;Journal Article&lt;/_type_work&gt;&lt;_url&gt;http://www.ncbi.nlm.nih.gov/entrez/query.fcgi?cmd=Retrieve&amp;amp;db=pubmed&amp;amp;dopt=Abstract&amp;amp;list_uids=30680676&amp;amp;query_hl=1&lt;/_url&gt;&lt;_volume&gt;3&lt;/_volume&gt;&lt;_created&gt;66161878&lt;/_created&gt;&lt;_modified&gt;66161878&lt;/_modified&gt;&lt;_impact_factor&gt;   2.000&lt;/_impact_factor&gt;&lt;_collection_scope&gt;ESCI&lt;/_collection_scope&gt;&lt;_accessed&gt;66161878&lt;/_accessed&gt;&lt;/Details&gt;&lt;Extra&gt;&lt;DBUID&gt;{DE16ABCE-A785-434C-BF43-2FE58866AFDD}&lt;/DBUID&gt;&lt;/Extra&gt;&lt;/Item&gt;&lt;/References&gt;&lt;/Group&gt;&lt;/Citation&gt;_x000a_"/>
    <w:docVar w:name="NE.Ref{7AEC010F-61A5-4745-B700-4D1F26BE76F7}" w:val=" ADDIN NE.Ref.{7AEC010F-61A5-4745-B700-4D1F26BE76F7}&lt;Citation&gt;&lt;Group&gt;&lt;References&gt;&lt;Item&gt;&lt;ID&gt;3613&lt;/ID&gt;&lt;UID&gt;{FFB8010C-46AD-4D64-ACC4-2AED228E089D}&lt;/UID&gt;&lt;Title&gt;The PRIME Type 2 Diabetes Model: a novel, patient-level model for estimating  long-term clinical and cost outcomes in patients with type 2 diabetes mellitus&lt;/Title&gt;&lt;Template&gt;Journal Article&lt;/Template&gt;&lt;Star&gt;0&lt;/Star&gt;&lt;Tag&gt;0&lt;/Tag&gt;&lt;Author&gt;Pollock, R F; Norrbacka, K; Boye, K S; Osumili, B; Valentine, W J&lt;/Author&gt;&lt;Year&gt;2022&lt;/Year&gt;&lt;Details&gt;&lt;_accession_num&gt;35105267&lt;/_accession_num&gt;&lt;_author_adr&gt;Health Economics and Outcomes Research, Covalence Research Ltd, London, UK.; Eli Lilly Finland, Helsinki, Finland.; Global Patient Outcomes and Real World Evidence, Eli Lilly and Company,  Indianapolis, USA.; GPORWE International, Eli Lilly and Company Ltd, Surrey, UK.; Health Economics, Ossian Health Economics and Communications, Basel, Switzerland.&lt;/_author_adr&gt;&lt;_date_display&gt;2022 Jan-Dec&lt;/_date_display&gt;&lt;_date&gt;2022-01-01&lt;/_date&gt;&lt;_doi&gt;10.1080/13696998.2022.2035132&lt;/_doi&gt;&lt;_isbn&gt;1941-837X (Electronic); 1369-6998 (Linking)&lt;/_isbn&gt;&lt;_issue&gt;1&lt;/_issue&gt;&lt;_journal&gt;J Med Econ&lt;/_journal&gt;&lt;_keywords&gt;C; C6; C63; Cost-effectiveness; I; I1; I10; model; risk prediction; type 2 diabetes mellitus&lt;/_keywords&gt;&lt;_language&gt;eng&lt;/_language&gt;&lt;_pages&gt;393-402&lt;/_pages&gt;&lt;_subject_headings&gt;Cost-Benefit Analysis; *Diabetes Complications; *Diabetes Mellitus, Type 2; Humans; Hypoglycemic Agents; Longitudinal Studies; Quality-Adjusted Life Years&lt;/_subject_headings&gt;&lt;_tertiary_title&gt;Journal of medical economics&lt;/_tertiary_title&gt;&lt;_type_work&gt;Journal Article; Systematic Review&lt;/_type_work&gt;&lt;_url&gt;http://www.ncbi.nlm.nih.gov/entrez/query.fcgi?cmd=Retrieve&amp;amp;db=pubmed&amp;amp;dopt=Abstract&amp;amp;list_uids=35105267&amp;amp;query_hl=1&lt;/_url&gt;&lt;_volume&gt;25&lt;/_volume&gt;&lt;_created&gt;66161821&lt;/_created&gt;&lt;_modified&gt;66161838&lt;/_modified&gt;&lt;_impact_factor&gt;   2.400&lt;/_impact_factor&gt;&lt;_social_category&gt;卫生保健与服务(4) &amp;amp; 医学：内科(3)&lt;/_social_category&gt;&lt;_collection_scope&gt;SCIE&lt;/_collection_scope&gt;&lt;_accessed&gt;66161839&lt;/_accessed&gt;&lt;/Details&gt;&lt;Extra&gt;&lt;DBUID&gt;{DE16ABCE-A785-434C-BF43-2FE58866AFDD}&lt;/DBUID&gt;&lt;/Extra&gt;&lt;/Item&gt;&lt;/References&gt;&lt;/Group&gt;&lt;/Citation&gt;_x000a_"/>
    <w:docVar w:name="NE.Ref{7B8D25F3-4E86-4B94-B04C-026509F98DF9}" w:val=" ADDIN NE.Ref.{7B8D25F3-4E86-4B94-B04C-026509F98DF9}&lt;Citation&gt;&lt;Group&gt;&lt;References&gt;&lt;Item&gt;&lt;ID&gt;1271&lt;/ID&gt;&lt;UID&gt;{AA3BF560-DE62-425F-B6DC-E0D11BEAE9E5}&lt;/UID&gt;&lt;Title&gt;Ceritinib versus chemotherapy in patients with ALK-rearranged non-small-cell lung  cancer previously given chemotherapy and crizotinib (ASCEND-5): a randomised,  controlled, open-label, phase 3 trial&lt;/Title&gt;&lt;Template&gt;Journal Article&lt;/Template&gt;&lt;Star&gt;0&lt;/Star&gt;&lt;Tag&gt;0&lt;/Tag&gt;&lt;Author&gt;Shaw, A T; Kim, T M; Crino, L; Gridelli, C; Kiura, K; Liu, G; Novello, S; Bearz, A; Gautschi, O; Mok, T; Nishio, M; Scagliotti, G; Spigel, D R; Deudon, S; Zheng, C; Pantano, S; Urban, P; Massacesi, C; Viraswami-Appanna, K; Felip, E&lt;/Author&gt;&lt;Year&gt;2017&lt;/Year&gt;&lt;Details&gt;&lt;_accession_num&gt;28602779&lt;/_accession_num&gt;&lt;_author_adr&gt;Massachusetts General Hospital, Boston, MA, USA. Electronic address:  ashaw1@mgh.harvard.edu.; Seoul National University Hospital, Seoul, Korea.; Istituto Scientifico Romagnolo per lo Studio e la Cura dei Tumori, Istituto di  Ricovero e Cura a Carattere Scientifico, Meldola, Italy.; SG Moscati Hospital, Citta Ospedaliera, Contrada Amoretta, Avellino, Italy.; Okayama University Hospital, Okayama, Japan.; Princess Margaret Cancer Centre, Toronto, ON, Canada.; University of Torino, Torino, Italy.; Istituto di Ricovero e Cura a Carattere Scientifico-Centro di Riferimento  Oncologico, Aviano, Italy.; Cantonal Hospital Lucerne, Lucerne, Switzerland.; State Key Laboratory of South China, Chinese University of Hong Kong, Shatin,  China.; Cancer Institute Hospital of Japanese Foundation for Cancer Research, Tokyo,  Japan.; University of Torino, Torino, Italy.; Sarah Cannon Research Institute, Nashville, TN, USA.; Novartis, Basel, Switzerland.; Novartis, East Hanover, NJ, USA.; Novartis, Basel, Switzerland.; Novartis, Basel, Switzerland.; Novartis, Basel, Switzerland.; Novartis, East Hanover, NJ, USA.; Vall d&amp;apos;Hebron University Hospital, Barcelona, Spain; Vall d&amp;apos;Hebron Institute of  Oncology, Barcelona, Spain.&lt;/_author_adr&gt;&lt;_collection_scope&gt;SCIE&lt;/_collection_scope&gt;&lt;_created&gt;65265042&lt;/_created&gt;&lt;_date&gt;2017-07-01&lt;/_date&gt;&lt;_date_display&gt;2017 Jul&lt;/_date_display&gt;&lt;_db_updated&gt;PubMed&lt;/_db_updated&gt;&lt;_doi&gt;10.1016/S1470-2045(17)30339-X&lt;/_doi&gt;&lt;_impact_factor&gt;  54.433&lt;/_impact_factor&gt;&lt;_isbn&gt;1474-5488 (Electronic); 1470-2045 (Linking)&lt;/_isbn&gt;&lt;_issue&gt;7&lt;/_issue&gt;&lt;_journal&gt;Lancet Oncol&lt;/_journal&gt;&lt;_language&gt;eng&lt;/_language&gt;&lt;_modified&gt;65265043&lt;/_modified&gt;&lt;_ori_publication&gt;Copyright (c) 2017 Elsevier Ltd. All rights reserved.&lt;/_ori_publication&gt;&lt;_pages&gt;874-886&lt;/_pages&gt;&lt;_social_category&gt;肿瘤学(1)&lt;/_social_category&gt;&lt;_subject_headings&gt;Adult; Alanine Transaminase/blood; Anaplastic Lymphoma Kinase; Antineoplastic Agents/*therapeutic use; Antineoplastic Combined Chemotherapy Protocols/therapeutic use; Aspartate Aminotransferases/blood; Carcinoma, Non-Small-Cell Lung/*drug therapy/genetics/secondary; Crizotinib; Disease Progression; Disease-Free Survival; Docetaxel; Female; Gene Rearrangement; Humans; Lung Neoplasms/*drug therapy/genetics/pathology; Male; Middle Aged; Neoplasm Staging; Pemetrexed/*therapeutic use; Platinum Compounds/administration &amp;amp; dosage; Pyrazoles/therapeutic use; Pyridines/therapeutic use; Pyrimidines/adverse effects/*therapeutic use; Receptor Protein-Tyrosine Kinases/*genetics; Response Evaluation Criteria in Solid Tumors; Retreatment; Sulfones/adverse effects/*therapeutic use; Taxoids/*therapeutic use; gamma-Glutamyltransferase/blood&lt;/_subject_headings&gt;&lt;_tertiary_title&gt;The Lancet. Oncology&lt;/_tertiary_title&gt;&lt;_type_work&gt;Clinical Trial, Phase III; Comparative Study; Journal Article; Multicenter Study; Randomized Controlled Trial&lt;/_type_work&gt;&lt;_url&gt;http://www.ncbi.nlm.nih.gov/entrez/query.fcgi?cmd=Retrieve&amp;amp;db=pubmed&amp;amp;dopt=Abstract&amp;amp;list_uids=28602779&amp;amp;query_hl=1&lt;/_url&gt;&lt;_volume&gt;18&lt;/_volume&gt;&lt;/Details&gt;&lt;Extra&gt;&lt;DBUID&gt;{A96A13AE-8553-4F4D-9468-5E97E276BB62}&lt;/DBUID&gt;&lt;/Extra&gt;&lt;/Item&gt;&lt;/References&gt;&lt;/Group&gt;&lt;/Citation&gt;_x000a_"/>
    <w:docVar w:name="NE.Ref{7BCAF3A4-C69C-421D-835D-CD89FBDEE67E}" w:val=" ADDIN NE.Ref.{7BCAF3A4-C69C-421D-835D-CD89FBDEE67E}&lt;Citation&gt;&lt;Group&gt;&lt;References&gt;&lt;Item&gt;&lt;ID&gt;1276&lt;/ID&gt;&lt;UID&gt;{A420BD0F-F247-4B3B-96C6-EA3A82AC1315}&lt;/UID&gt;&lt;Title&gt;Alectinib versus crizotinib in untreated Asian patients with anaplastic lymphoma kinase-positive non-small-cell lung cancer (ALESIA): a randomised phase 3 study&lt;/Title&gt;&lt;Template&gt;Journal Article&lt;/Template&gt;&lt;Star&gt;0&lt;/Star&gt;&lt;Tag&gt;0&lt;/Tag&gt;&lt;Author&gt;Zhou, Caicun;Kim, Sang We;Reungwetwattana, Thanyanan;Zhou, Jianying;Zhang, Yiping;He, Jianxing;Yang, Jin Ji;Cheng, Ying;Lee, Se Hoon;Bu, Lilian&lt;/Author&gt;&lt;Year&gt;2019&lt;/Year&gt;&lt;Details&gt;&lt;_created&gt;65265052&lt;/_created&gt;&lt;_db_provider&gt;百度学术&lt;/_db_provider&gt;&lt;_doi&gt;10.1016/S2213-2600(19)30053-0&lt;/_doi&gt;&lt;_journal&gt;The Lancet Respiratory Medicine&lt;/_journal&gt;&lt;_modified&gt;65265052&lt;/_modified&gt;&lt;_url&gt;https://www.nstl.gov.cn/paper_detail.html?id=e35eb246deb560b805fe8be75929d611&lt;/_url&gt;&lt;/Details&gt;&lt;Extra&gt;&lt;DBUID&gt;{A96A13AE-8553-4F4D-9468-5E97E276BB62}&lt;/DBUID&gt;&lt;/Extra&gt;&lt;/Item&gt;&lt;/References&gt;&lt;/Group&gt;&lt;/Citation&gt;_x000a_"/>
    <w:docVar w:name="NE.Ref{7C7C108B-761A-4069-AABE-80C049B29136}" w:val=" ADDIN NE.Ref.{7C7C108B-761A-4069-AABE-80C049B29136}&lt;Citation&gt;&lt;Group&gt;&lt;References&gt;&lt;Item&gt;&lt;ID&gt;1319&lt;/ID&gt;&lt;UID&gt;{40C35E01-CC21-4822-8DB4-B8232F9D4D90}&lt;/UID&gt;&lt;Title&gt;Brigatinib for ALK-positive advanced non_x0002_small-cell lung cancer that has not been previously treated with an ALK inhibitor &lt;/Title&gt;&lt;Template&gt;Web Page&lt;/Template&gt;&lt;Star&gt;0&lt;/Star&gt;&lt;Tag&gt;0&lt;/Tag&gt;&lt;Author/&gt;&lt;Year&gt;2021&lt;/Year&gt;&lt;Details&gt;&lt;_accessed&gt;65321226&lt;/_accessed&gt;&lt;_created&gt;65321226&lt;/_created&gt;&lt;_date_display&gt;2021-1-27&lt;/_date_display&gt;&lt;_issue&gt;2024-3-12&lt;/_issue&gt;&lt;_language&gt;Chinese&lt;/_language&gt;&lt;_modified&gt;65321234&lt;/_modified&gt;&lt;_url&gt;https://www.nice.org.uk/guidance/ta670/evidence/final-appraisal-determination-committee-papers-pdf-8964111853&lt;/_url&gt;&lt;_volume&gt;2024&lt;/_volume&gt;&lt;/Details&gt;&lt;Extra&gt;&lt;DBUID&gt;{A96A13AE-8553-4F4D-9468-5E97E276BB62}&lt;/DBUID&gt;&lt;/Extra&gt;&lt;/Item&gt;&lt;/References&gt;&lt;/Group&gt;&lt;/Citation&gt;_x000a_"/>
    <w:docVar w:name="NE.Ref{7D207B21-3101-49AB-9EDF-FFB77EE8DAD8}" w:val=" ADDIN NE.Ref.{7D207B21-3101-49AB-9EDF-FFB77EE8DAD8}&lt;Citation&gt;&lt;Group&gt;&lt;References&gt;&lt;Item&gt;&lt;ID&gt;1268&lt;/ID&gt;&lt;UID&gt;{DC2ABD6D-820B-454C-875A-35FF402DFA98}&lt;/UID&gt;&lt;Title&gt;Results of PROFILE 1029, a Phase III Comparison of First-Line Crizotinib versus  Chemotherapy in East Asian Patients with ALK-Positive Advanced Non-Small Cell  Lung Cancer&lt;/Title&gt;&lt;Template&gt;Journal Article&lt;/Template&gt;&lt;Star&gt;0&lt;/Star&gt;&lt;Tag&gt;0&lt;/Tag&gt;&lt;Author&gt;Wu, Y L; Lu, S; Lu, Y; Zhou, J; Shi, Y K; Sriuranpong, V; Ho, JCM; Ong, C K; Tsai, C M; Chung, C H; Wilner, K D; Tang, Y; Masters, E T; Selaru, P; Mok, T S&lt;/Author&gt;&lt;Year&gt;2018&lt;/Year&gt;&lt;Details&gt;&lt;_accession_num&gt;29966800&lt;/_accession_num&gt;&lt;_author_adr&gt;Guangdong Lung Cancer Institute, Guangdong General Hospital and Guangdong Academy  of Medical Sciences, Guangzhou, People&amp;apos;s Republic of China. Electronic address:  syylwu@live.cn.; Department of Shanghai Lung Cancer Center, Shanghai Chest Hospital, Jiao Tong  University, Shanghai, People&amp;apos;s Republic of China.; Department of Thoracic Oncology, West China Hospital, Sichuan University,  Chengdu, People&amp;apos;s Republic of China.; Respiratory Department, First Affiliated Hospital, School of Medicine, Zhejiang  University, Hangzhou, People&amp;apos;s Republic of China.; Department of Medical Oncology, Beijing Key Laboratory of Clinical Study on  Anticancer Molecular Targeted Drugs, National Cancer Center/Cancer Hospital,  Chinese Academy of Medical Sciences and Peking Union Medical College, Beijing,  People&amp;apos;s Republic of China.; Medical Oncology Unit, Department of Medicine, Chulalongkorn University and the  King Chulalongkorn Memorial Hospital, Bangkok, Thailand.; Department of Medicine, The University of Hong Kong, Hong Kong, People&amp;apos;s Republic  of China.; Department of Respiratory Medicine, Hospital Pulau Pinang, Pulau Pinang,  Malaysia.; Department of Oncology, Taipei Veterans General Hospital, Taipei, Taiwan,  Republic of China.; Pfizer Oncology, New York, New York.; Pfizer Oncology, La Jolla, California.; Pfizer Oncology, La Jolla, California.; Pfizer Oncology, New York, New York.; Pfizer Oncology, La Jolla, California.; Department of Clinical Oncology, State Laboratory of South China, The Chinese  University of Hong Kong, Hong Kong, People&amp;apos;s Republic of China.&lt;/_author_adr&gt;&lt;_collection_scope&gt;SCIE&lt;/_collection_scope&gt;&lt;_created&gt;65264684&lt;/_created&gt;&lt;_date&gt;2018-10-01&lt;/_date&gt;&lt;_date_display&gt;2018 Oct&lt;/_date_display&gt;&lt;_db_updated&gt;PubMed&lt;/_db_updated&gt;&lt;_doi&gt;10.1016/j.jtho.2018.06.012&lt;/_doi&gt;&lt;_impact_factor&gt;  20.121&lt;/_impact_factor&gt;&lt;_isbn&gt;1556-1380 (Electronic); 1556-0864 (Linking)&lt;/_isbn&gt;&lt;_issue&gt;10&lt;/_issue&gt;&lt;_journal&gt;J Thorac Oncol&lt;/_journal&gt;&lt;_keywords&gt;ALK-positive advanced non-small cell lung cancer; chemotherapy; crizotinib; phase III&lt;/_keywords&gt;&lt;_language&gt;eng&lt;/_language&gt;&lt;_modified&gt;65264684&lt;/_modified&gt;&lt;_ori_publication&gt;Copyright (c) 2018 International Association for the Study of Lung Cancer. _x000d__x000a_      Published by Elsevier Inc. All rights reserved.&lt;/_ori_publication&gt;&lt;_pages&gt;1539-1548&lt;/_pages&gt;&lt;_social_category&gt;肿瘤学(1) &amp;amp; 呼吸系统(1)&lt;/_social_category&gt;&lt;_subject_headings&gt;Adult; Aged; Antineoplastic Combined Chemotherapy Protocols/pharmacology/*therapeutic use; Asian People; Carcinoma, Non-Small-Cell Lung/*drug therapy/pathology; Crizotinib/pharmacology/*therapeutic use; Female; Humans; Lung Neoplasms/*drug therapy/pathology; Male; Middle Aged; Young Adult&lt;/_subject_headings&gt;&lt;_tertiary_title&gt;Journal of thoracic oncology : official publication of the International _x000d__x000a_      Association for the Study of Lung Cancer&lt;/_tertiary_title&gt;&lt;_type_work&gt;Clinical Trial, Phase III; Journal Article; Research Support, Non-U.S. Gov&amp;apos;t&lt;/_type_work&gt;&lt;_url&gt;http://www.ncbi.nlm.nih.gov/entrez/query.fcgi?cmd=Retrieve&amp;amp;db=pubmed&amp;amp;dopt=Abstract&amp;amp;list_uids=29966800&amp;amp;query_hl=1&lt;/_url&gt;&lt;_volume&gt;13&lt;/_volume&gt;&lt;/Details&gt;&lt;Extra&gt;&lt;DBUID&gt;{A96A13AE-8553-4F4D-9468-5E97E276BB62}&lt;/DBUID&gt;&lt;/Extra&gt;&lt;/Item&gt;&lt;/References&gt;&lt;/Group&gt;&lt;/Citation&gt;_x000a_"/>
    <w:docVar w:name="NE.Ref{7E278D89-A3F6-4C6E-A429-4A04935D425E}" w:val=" ADDIN NE.Ref.{7E278D89-A3F6-4C6E-A429-4A04935D425E}&lt;Citation&gt;&lt;Group&gt;&lt;References&gt;&lt;Item&gt;&lt;ID&gt;1336&lt;/ID&gt;&lt;UID&gt;{734DF524-4575-4775-92E1-FDF78B04D83B}&lt;/UID&gt;&lt;Title&gt;Alectinib in Crizotinib-Refractory ALK-Rearranged Non-Small-Cell Lung Cancer: A  Phase II Global Study&lt;/Title&gt;&lt;Template&gt;Journal Article&lt;/Template&gt;&lt;Star&gt;0&lt;/Star&gt;&lt;Tag&gt;0&lt;/Tag&gt;&lt;Author&gt;Ou, S H; Ahn, J S; De Petris, L; Govindan, R; Yang, J C; Hughes, B; Lena, H; Moro-Sibilot, D; Bearz, A; Ramirez, S V; Mekhail, T; Spira, A; Bordogna, W; Balas, B; Morcos, P N; Monnet, A; Zeaiter, A; Kim, D W&lt;/Author&gt;&lt;Year&gt;2016&lt;/Year&gt;&lt;Details&gt;&lt;_accession_num&gt;26598747&lt;/_accession_num&gt;&lt;_author_adr&gt;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ignatius.ou@uci.edu.;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e Lena, Centre Hospitalier Universitaire de Rennes, Rennes; Denis  Moro-Sibilot, Centre Hospitalier Universitaire de Grenoble, Institut National de  la Sante et de la Recherche Me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lt;/_author_adr&gt;&lt;_collection_scope&gt;SCIE&lt;/_collection_scope&gt;&lt;_created&gt;65322641&lt;/_created&gt;&lt;_date&gt;2016-03-01&lt;/_date&gt;&lt;_date_display&gt;2016 Mar 1&lt;/_date_display&gt;&lt;_db_updated&gt;PubMed&lt;/_db_updated&gt;&lt;_doi&gt;10.1200/jco.2015.63.9443&lt;/_doi&gt;&lt;_impact_factor&gt;  50.717&lt;/_impact_factor&gt;&lt;_isbn&gt;1527-7755 (Electronic); 0732-183X (Linking)&lt;/_isbn&gt;&lt;_issue&gt;7&lt;/_issue&gt;&lt;_journal&gt;J Clin Oncol&lt;/_journal&gt;&lt;_language&gt;eng&lt;/_language&gt;&lt;_modified&gt;65322641&lt;/_modified&gt;&lt;_ori_publication&gt;(c) 2015 by American Society of Clinical Oncology.&lt;/_ori_publication&gt;&lt;_pages&gt;661-8&lt;/_pages&gt;&lt;_social_category&gt;肿瘤学(1)&lt;/_social_category&gt;&lt;_subject_headings&gt;Administration, Oral; Adult; Aged; Anaplastic Lymphoma Kinase; Carbazoles/administration &amp;amp; dosage/*therapeutic use; Carcinoma, Non-Small-Cell Lung/*drug therapy/enzymology/pathology; Central Nervous System Neoplasms/secondary; Crizotinib; Disease Progression; Disease-Free Survival; Drug Resistance, Neoplasm; Female; Humans; Lung Neoplasms/*drug therapy/enzymology/pathology; Male; Middle Aged; Piperidines/administration &amp;amp; dosage/*therapeutic use; Protein Kinase Inhibitors/administration &amp;amp; dosage/*therapeutic use; Pyrazoles/administration &amp;amp; dosage/therapeutic use; Pyridines/administration &amp;amp; dosage/therapeutic use; Receptor Protein-Tyrosine Kinases/antagonists &amp;amp; inhibitors; Treatment Outcome&lt;/_subject_headings&gt;&lt;_tertiary_title&gt;Journal of clinical oncology : official journal of the American Society of _x000d__x000a_      Clinical Oncology&lt;/_tertiary_title&gt;&lt;_type_work&gt;Clinical Trial, Phase II; Journal Article; Multicenter Study; Research Support, Non-U.S. Gov&amp;apos;t&lt;/_type_work&gt;&lt;_url&gt;http://www.ncbi.nlm.nih.gov/entrez/query.fcgi?cmd=Retrieve&amp;amp;db=pubmed&amp;amp;dopt=Abstract&amp;amp;list_uids=26598747&amp;amp;query_hl=1&lt;/_url&gt;&lt;_volume&gt;34&lt;/_volume&gt;&lt;/Details&gt;&lt;Extra&gt;&lt;DBUID&gt;{A96A13AE-8553-4F4D-9468-5E97E276BB62}&lt;/DBUID&gt;&lt;/Extra&gt;&lt;/Item&gt;&lt;/References&gt;&lt;/Group&gt;&lt;/Citation&gt;_x000a_"/>
    <w:docVar w:name="NE.Ref{7E50D8DA-A313-43D3-AA57-58F6EDB8775F}" w:val=" ADDIN NE.Ref.{7E50D8DA-A313-43D3-AA57-58F6EDB8775F}&lt;Citation&gt;&lt;Group&gt;&lt;References&gt;&lt;Item&gt;&lt;ID&gt;3645&lt;/ID&gt;&lt;UID&gt;{9D6F756E-9025-4516-92DE-EEAFF0E2CB6E}&lt;/UID&gt;&lt;Title&gt;Trastuzumab Deruxtecan versus Trastuzumab Emtansine for Breast Cancer&lt;/Title&gt;&lt;Template&gt;Journal Article&lt;/Template&gt;&lt;Star&gt;0&lt;/Star&gt;&lt;Tag&gt;0&lt;/Tag&gt;&lt;Author&gt;Cortés, J; Kim, S B; Chung, W P; Im, S A; Park, Y H; Hegg, R; Kim, M H; Tseng, L M; Petry, V; Chung, C F; Iwata, H; Hamilton, E; Curigliano, G; Xu, B; Huang, C S; Kim, J H; Chiu, JWY; Pedrini, J L; Lee, C; Liu, Y; Cathcart, J; Bako, E; Verma, S; Hurvitz, S A&lt;/Author&gt;&lt;Year&gt;2022&lt;/Year&gt;&lt;Details&gt;&lt;_accession_num&gt;35320644&lt;/_accession_num&gt;&lt;_author_adr&gt;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lt;/_author_adr&gt;&lt;_date_display&gt;2022 Mar 24&lt;/_date_display&gt;&lt;_date&gt;2022-03-24&lt;/_date&gt;&lt;_doi&gt;10.1056/NEJMoa2115022&lt;/_doi&gt;&lt;_isbn&gt;1533-4406 (Electronic); 0028-4793 (Linking)&lt;/_isbn&gt;&lt;_issue&gt;12&lt;/_issue&gt;&lt;_journal&gt;N Engl J Med&lt;/_journal&gt;&lt;_language&gt;eng&lt;/_language&gt;&lt;_ori_publication&gt;Copyright © 2022 Massachusetts Medical Society.&lt;/_ori_publication&gt;&lt;_pages&gt;1143-1154&lt;/_pages&gt;&lt;_subject_headings&gt;Ado-Trastuzumab Emtansine/adverse effects/*therapeutic use; Adult; Aged; Aged, 80 and over; Antineoplastic Agents, Immunological/adverse effects/*therapeutic use; Breast Neoplasms/*drug therapy/mortality/pathology; Camptothecin/adverse effects/*analogs &amp;amp; derivatives/therapeutic use; Female; Humans; Immunoconjugates/adverse effects/*therapeutic use; Kaplan-Meier Estimate; Lung Diseases, Interstitial/chemically induced; Middle Aged; Pneumonia/chemically induced; Progression-Free Survival; Receptor, ErbB-2/antagonists &amp;amp; inhibitors/metabolism; Trastuzumab/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5320644&amp;amp;query_hl=1&lt;/_url&gt;&lt;_volume&gt;386&lt;/_volume&gt;&lt;_created&gt;66161876&lt;/_created&gt;&lt;_modified&gt;66161876&lt;/_modified&gt;&lt;_impact_factor&gt; 158.500&lt;/_impact_factor&gt;&lt;_social_category&gt;医学：内科(1)&lt;/_social_category&gt;&lt;_collection_scope&gt;SCIE&lt;/_collection_scope&gt;&lt;_accessed&gt;66161877&lt;/_accessed&gt;&lt;/Details&gt;&lt;Extra&gt;&lt;DBUID&gt;{DE16ABCE-A785-434C-BF43-2FE58866AFDD}&lt;/DBUID&gt;&lt;/Extra&gt;&lt;/Item&gt;&lt;/References&gt;&lt;/Group&gt;&lt;/Citation&gt;_x000a_"/>
    <w:docVar w:name="NE.Ref{7F9193A3-9388-454D-BE40-6A34ABAB034F}" w:val=" ADDIN NE.Ref.{7F9193A3-9388-454D-BE40-6A34ABAB034F}&lt;Citation&gt;&lt;Group&gt;&lt;References&gt;&lt;Item&gt;&lt;ID&gt;3645&lt;/ID&gt;&lt;UID&gt;{9D6F756E-9025-4516-92DE-EEAFF0E2CB6E}&lt;/UID&gt;&lt;Title&gt;Trastuzumab Deruxtecan versus Trastuzumab Emtansine for Breast Cancer&lt;/Title&gt;&lt;Template&gt;Journal Article&lt;/Template&gt;&lt;Star&gt;0&lt;/Star&gt;&lt;Tag&gt;0&lt;/Tag&gt;&lt;Author&gt;Cortés, J; Kim, S B; Chung, W P; Im, S A; Park, Y H; Hegg, R; Kim, M H; Tseng, L M; Petry, V; Chung, C F; Iwata, H; Hamilton, E; Curigliano, G; Xu, B; Huang, C S; Kim, J H; Chiu, JWY; Pedrini, J L; Lee, C; Liu, Y; Cathcart, J; Bako, E; Verma, S; Hurvitz, S A&lt;/Author&gt;&lt;Year&gt;2022&lt;/Year&gt;&lt;Details&gt;&lt;_accession_num&gt;35320644&lt;/_accession_num&gt;&lt;_author_adr&gt;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 From the International Breast Cancer Center, Quirónsalud Group, Barcelona, the  Scientific Department, Medica Scientia Innovation Research, Valencia, and the  Department of Medicine, Faculty of Biomedical and Health Sciences, Universidad  Europea de Madrid, Madrid - all in Spain (J. Cortés); Asan Medical Center,  University of Ulsan College of Medicine, Ulsan (S.-B.K.), Seoul National  University Hospital, Cancer Research Institute (S.-A.I.), and Seoul National  University Bundang Hospital (J.H.K.), Seoul National University College of  Medicine, and Samsung Medical Center (Y.H.P.), Seoul, and Severance Hospital,  Yonsei University, Yonsei (M.H.K.) - all in South Korea; the Department of  Oncology, National Cheng Kung University Hospital, College of Medicine, National  Cheng Kung University, Tainan (W.-P.C.), and the Department of Surgery, Taipei  Veterans General Hospital, College of Medicine, National Yang-Ming Chiao Tung  University (L.-M.T.), Koo Foundation Sun Yat-Sen Cancer Center (C.-F.C.), and  National Taiwan University Hospital and National Taiwan University College of  Medicine (C.-S.H.), Taipei - all in Taiwan; Clínica de Pesquisas e Centro de  Estudos em Oncologia Ginecológica e Mamária (R.H.) and Instituto do Câncer do  Estado de São Paulo Octavio Frias de Oliveira (V.P.), São Paulo, and Hospital  Nossa Senhora da Conceição, Porto Alegre (J.L.P.) - all in Brazil; Aichi Cancer  Center Hospital, Aichi, Japan (H.I.); Sarah Cannon Research Institute, Tennessee  Oncology, Nashville (E.H.); the Department of Oncology and Hematology-Oncology,  University of Milan, and the Division of Early Drug Development, European  Institute of Oncology, Istituto di Ricovero e Cura a Carattere Scientifico - both  in Milan (G.C.); the Cancer Hospital, Chinese Academy of Medical Sciences and  Peking Union Medical College, Beijing (B.X.); the University of Hong Kong, Hong  Kong (J.W.Y.C.); Daiichi Sankyo, Basking Ridge, NJ (C.L., Y.L., J. Cathcart,  E.B.); AstraZeneca, Gaithersburg, MD (S.V.); and the David Geffen School of  Medicine and Jonsson Comprehensive Cancer Center, University of California, Los  Angeles, Los Angeles (S.A.H.).&lt;/_author_adr&gt;&lt;_date_display&gt;2022 Mar 24&lt;/_date_display&gt;&lt;_date&gt;2022-03-24&lt;/_date&gt;&lt;_doi&gt;10.1056/NEJMoa2115022&lt;/_doi&gt;&lt;_isbn&gt;1533-4406 (Electronic); 0028-4793 (Linking)&lt;/_isbn&gt;&lt;_issue&gt;12&lt;/_issue&gt;&lt;_journal&gt;N Engl J Med&lt;/_journal&gt;&lt;_language&gt;eng&lt;/_language&gt;&lt;_ori_publication&gt;Copyright © 2022 Massachusetts Medical Society.&lt;/_ori_publication&gt;&lt;_pages&gt;1143-1154&lt;/_pages&gt;&lt;_subject_headings&gt;Ado-Trastuzumab Emtansine/adverse effects/*therapeutic use; Adult; Aged; Aged, 80 and over; Antineoplastic Agents, Immunological/adverse effects/*therapeutic use; Breast Neoplasms/*drug therapy/mortality/pathology; Camptothecin/adverse effects/*analogs &amp;amp; derivatives/therapeutic use; Female; Humans; Immunoconjugates/adverse effects/*therapeutic use; Kaplan-Meier Estimate; Lung Diseases, Interstitial/chemically induced; Middle Aged; Pneumonia/chemically induced; Progression-Free Survival; Receptor, ErbB-2/antagonists &amp;amp; inhibitors/metabolism; Trastuzumab/adverse effects/*therapeutic use&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5320644&amp;amp;query_hl=1&lt;/_url&gt;&lt;_volume&gt;386&lt;/_volume&gt;&lt;_created&gt;66161876&lt;/_created&gt;&lt;_modified&gt;66161876&lt;/_modified&gt;&lt;_impact_factor&gt; 158.500&lt;/_impact_factor&gt;&lt;_social_category&gt;医学：内科(1)&lt;/_social_category&gt;&lt;_collection_scope&gt;SCIE&lt;/_collection_scope&gt;&lt;_accessed&gt;66161877&lt;/_accessed&gt;&lt;/Details&gt;&lt;Extra&gt;&lt;DBUID&gt;{DE16ABCE-A785-434C-BF43-2FE58866AFDD}&lt;/DBUID&gt;&lt;/Extra&gt;&lt;/Item&gt;&lt;/References&gt;&lt;/Group&gt;&lt;/Citation&gt;_x000a_"/>
    <w:docVar w:name="NE.Ref{8157A1D4-DF5D-4571-AFC1-A81C33CB6FF9}" w:val=" ADDIN NE.Ref.{8157A1D4-DF5D-4571-AFC1-A81C33CB6FF9}&lt;Citation&gt;&lt;Group&gt;&lt;References&gt;&lt;Item&gt;&lt;ID&gt;3622&lt;/ID&gt;&lt;UID&gt;{B1DC4CD8-5CEA-436C-8C81-738B5854E9F2}&lt;/UID&gt;&lt;Title&gt;Brigatinib in Patients With Crizotinib-Refractory Anaplastic Lymphoma  Kinase-Positive Non-Small-Cell Lung Cancer: A Randomized, Multicenter Phase II  Trial&lt;/Title&gt;&lt;Template&gt;Journal Article&lt;/Template&gt;&lt;Star&gt;0&lt;/Star&gt;&lt;Tag&gt;0&lt;/Tag&gt;&lt;Author&gt;Kim, D W; Tiseo, M; Ahn, M J; Reckamp, K L; Hansen, K H; Kim, S W; Huber, R M; West, H L; Groen, HJM; Hochmair, M J; Leighl, N B; Gettinger, S N; Langer, C J; Paz-Ares, Rodríguez LG; Smit, E F; Kim, E S; Reichmann, W; Haluska, F G; Kerstein, D; Camidge, D R&lt;/Author&gt;&lt;Year&gt;2017&lt;/Year&gt;&lt;Details&gt;&lt;_accession_num&gt;28475456&lt;/_accession_num&gt;&lt;_author_adr&gt;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 Dong-Wan Kim, Seoul National University Hospital; Myung-Ju Ahn, Samsung Medical  Center; Sang-We Kim, Asan Medical Center, Seoul, South Korea; Marcello Tiseo,  University Hospital of Parma, Parma, Italy; Karen L. Reckamp, City of Hope,  Duarte, CA; Karin Holmskov Hansen, Odense University Hospital, Odense, Denmark;  Rudolf M. Huber, University Hospital of Munich, German Centre for Lung Research,  Munich, Germany; Howard L. West, Swedish Cancer Institute, Seattle, WA; Harry  J.M. Groen, University of Groningen, University Medical Center Groningen,  Groningen; Egbert F. Smit, VU University Medical Center, Amsterdam, the  Netherlands; Maximilian J. Hochmair, Otto Wagner Hospital, Vienna, Austria;  Natasha B. Leighl, Princess Margaret Cancer Centre, Toronto, Ontario, Canada;  Scott N. Gettinger, Yale Cancer Center, New Haven, CT; Corey J. Langer,  University of Pennsylvania Abramson Cancer Center, Philadelphia, PA; Luis G.  Paz-Ares Rodríguez, Hospital Universitario 12 de Octubre, Madrid, Spain; Edward  S. Kim, Levine Cancer Institute, Carolinas HealthCare System, Charlotte, NC;  William Reichmann, Frank G. Haluska, and David Kerstein, ARIAD Pharmaceuticals,  Cambridge, MA; and D. Ross Camidge, University of Colorado Cancer Center, Aurora,  CO.&lt;/_author_adr&gt;&lt;_date_display&gt;2017 Aug 1&lt;/_date_display&gt;&lt;_date&gt;2017-08-01&lt;/_date&gt;&lt;_doi&gt;10.1200/JCO.2016.71.5904&lt;/_doi&gt;&lt;_isbn&gt;1527-7755 (Electronic); 0732-183X (Linking)&lt;/_isbn&gt;&lt;_issue&gt;22&lt;/_issue&gt;&lt;_journal&gt;J Clin Oncol&lt;/_journal&gt;&lt;_language&gt;eng&lt;/_language&gt;&lt;_pages&gt;2490-2498&lt;/_pages&gt;&lt;_subject_headings&gt;Adolescent; Adult; Aged; Aged, 80 and over; Anaplastic Lymphoma Kinase; Antineoplastic Agents/administration &amp;amp; dosage/adverse effects/*therapeutic use; Brain Neoplasms/*drug therapy/secondary; Carcinoma, Non-Small-Cell Lung/*drug therapy/secondary; Cough/chemically induced; Crizotinib; Diarrhea/chemically induced; Disease Progression; Disease-Free Survival; Female; Headache/chemically induced; Humans; Lung Neoplasms/*drug therapy/pathology; Male; Middle Aged; Nausea/chemically induced; Organophosphorus Compounds/administration &amp;amp; dosage/adverse effects/*therapeutic _x000d__x000a_      use; Prospective Studies; Pyrazoles/therapeutic use; Pyridines/therapeutic use; Pyrimidines/administration &amp;amp; dosage/adverse effects/*therapeutic use; Receptor Protein-Tyrosine Kinases/*genetics; Retreatment; Treatment Outcome; Young Adult&lt;/_subject_headings&gt;&lt;_tertiary_title&gt;Journal of clinical oncology : official journal of the American Society of _x000d__x000a_      Clinical Oncology&lt;/_tertiary_title&gt;&lt;_type_work&gt;Clinical Trial, Phase II; Journal Article; Multicenter Study; Randomized Controlled Trial&lt;/_type_work&gt;&lt;_url&gt;http://www.ncbi.nlm.nih.gov/entrez/query.fcgi?cmd=Retrieve&amp;amp;db=pubmed&amp;amp;dopt=Abstract&amp;amp;list_uids=28475456&amp;amp;query_hl=1&lt;/_url&gt;&lt;_volume&gt;35&lt;/_volume&gt;&lt;_created&gt;66161850&lt;/_created&gt;&lt;_modified&gt;66161850&lt;/_modified&gt;&lt;_impact_factor&gt;  45.300&lt;/_impact_factor&gt;&lt;_social_category&gt;肿瘤学(1)&lt;/_social_category&gt;&lt;_collection_scope&gt;SCIE&lt;/_collection_scope&gt;&lt;_accessed&gt;66161850&lt;/_accessed&gt;&lt;/Details&gt;&lt;Extra&gt;&lt;DBUID&gt;{DE16ABCE-A785-434C-BF43-2FE58866AFDD}&lt;/DBUID&gt;&lt;/Extra&gt;&lt;/Item&gt;&lt;/References&gt;&lt;/Group&gt;&lt;/Citation&gt;_x000a_"/>
    <w:docVar w:name="NE.Ref{82551A3B-7D2E-4C4D-9F74-AC8D35D6F9D5}" w:val=" ADDIN NE.Ref.{82551A3B-7D2E-4C4D-9F74-AC8D35D6F9D5}&lt;Citation&gt;&lt;Group&gt;&lt;References&gt;&lt;Item&gt;&lt;ID&gt;3647&lt;/ID&gt;&lt;UID&gt;{A9DF10ED-5FA5-43FB-84A6-152BE82531B2}&lt;/UID&gt;&lt;Title&gt;Serplulimab Plus Chemotherapy vs Chemotherapy for Treatment of US and Chinese  Patients with Extensive-Stage Small-Cell Lung Cancer: A Cost-Effectiveness  Analysis to Inform Drug Pricing&lt;/Title&gt;&lt;Template&gt;Journal Article&lt;/Template&gt;&lt;Star&gt;0&lt;/Star&gt;&lt;Tag&gt;0&lt;/Tag&gt;&lt;Author&gt;Shao, T; Zhao, M; Liang, L; Tang, W&lt;/Author&gt;&lt;Year&gt;2023&lt;/Year&gt;&lt;Details&gt;&lt;_accession_num&gt;36840914&lt;/_accession_num&gt;&lt;_author_adr&gt;Center for Pharmacoeconomics and Outcomes Research, China Pharmaceutical  University, 639 Longmian Road, Jiangning District, Nanjing, 211198, China.; Center for Pharmacoeconomics and Outcomes Research, China Pharmaceutical  University, 639 Longmian Road, Jiangning District, Nanjing, 211198, China.; Center for Pharmacoeconomics and Outcomes Research, China Pharmaceutical  University, 639 Longmian Road, Jiangning District, Nanjing, 211198, China.; Center for Pharmacoeconomics and Outcomes Research, China Pharmaceutical  University, 639 Longmian Road, Jiangning District, Nanjing, 211198, China.  tokammy@cpu.edu.cn.; Department of Public Affairs Management, School of International Pharmaceutical  Business, China Pharmaceutical University, Nanjing, 211198, China.  tokammy@cpu.edu.cn.&lt;/_author_adr&gt;&lt;_date_display&gt;2023 May&lt;/_date_display&gt;&lt;_date&gt;2023-05-01&lt;/_date&gt;&lt;_doi&gt;10.1007/s40259-023-00586-6&lt;/_doi&gt;&lt;_isbn&gt;1179-190X (Electronic); 1173-8804 (Linking)&lt;/_isbn&gt;&lt;_issue&gt;3&lt;/_issue&gt;&lt;_journal&gt;BioDrugs&lt;/_journal&gt;&lt;_language&gt;eng&lt;/_language&gt;&lt;_ori_publication&gt;© 2023. The Author(s), under exclusive licence to Springer Nature Switzerland AG.&lt;/_ori_publication&gt;&lt;_pages&gt;421-432&lt;/_pages&gt;&lt;_subject_headings&gt;Humans; *Antibodies, Monoclonal/therapeutic use; Antineoplastic Combined Chemotherapy Protocols/therapeutic use; Cost-Benefit Analysis; *Cost-Effectiveness Analysis; Drug Costs; *Lung Neoplasms/drug therapy; United States; China; Antineoplastic Agents&lt;/_subject_headings&gt;&lt;_tertiary_title&gt;BioDrugs : clinical immunotherapeutics, biopharmaceuticals and gene therapy&lt;/_tertiary_title&gt;&lt;_type_work&gt;Comparative Study; Journal Article&lt;/_type_work&gt;&lt;_url&gt;http://www.ncbi.nlm.nih.gov/entrez/query.fcgi?cmd=Retrieve&amp;amp;db=pubmed&amp;amp;dopt=Abstract&amp;amp;list_uids=36840914&amp;amp;query_hl=1&lt;/_url&gt;&lt;_volume&gt;37&lt;/_volume&gt;&lt;_created&gt;66161879&lt;/_created&gt;&lt;_modified&gt;66161879&lt;/_modified&gt;&lt;_impact_factor&gt;   6.800&lt;/_impact_factor&gt;&lt;_social_category&gt;免疫学(3) &amp;amp; 肿瘤学(3) &amp;amp; 药学(2)&lt;/_social_category&gt;&lt;_collection_scope&gt;SCIE&lt;/_collection_scope&gt;&lt;_accessed&gt;66161879&lt;/_accessed&gt;&lt;/Details&gt;&lt;Extra&gt;&lt;DBUID&gt;{DE16ABCE-A785-434C-BF43-2FE58866AFDD}&lt;/DBUID&gt;&lt;/Extra&gt;&lt;/Item&gt;&lt;/References&gt;&lt;/Group&gt;&lt;/Citation&gt;_x000a_"/>
    <w:docVar w:name="NE.Ref{83173203-CF98-4AA9-9FDB-88EE3C701B08}" w:val=" ADDIN NE.Ref.{83173203-CF98-4AA9-9FDB-88EE3C701B08}&lt;Citation&gt;&lt;Group&gt;&lt;References&gt;&lt;Item&gt;&lt;ID&gt;3631&lt;/ID&gt;&lt;UID&gt;{08665328-B3FC-4A08-84FE-636E86A37279}&lt;/UID&gt;&lt;Title&gt;First-line ceritinib versus platinum-based chemotherapy in advanced  ALK-rearranged non-small-cell lung cancer (ASCEND-4): a randomised, open-label,  phase 3 study&lt;/Title&gt;&lt;Template&gt;Journal Article&lt;/Template&gt;&lt;Star&gt;0&lt;/Star&gt;&lt;Tag&gt;0&lt;/Tag&gt;&lt;Author&gt;Soria, J C; Tan, DSW; Chiari, R; Wu, Y L; Paz-Ares, L; Wolf, J; Geater, S L; Orlov, S; Cortinovis, D; Yu, C J; Hochmair, M; Cortot, A B; Tsai, C M; Moro-Sibilot, D; Campelo, R G; McCulloch, T; Sen, P; Dugan, M; Pantano, S; Branle, F; Massacesi, C; de Castro, G Jr&lt;/Author&gt;&lt;Year&gt;2017&lt;/Year&gt;&lt;Details&gt;&lt;_accession_num&gt;28126333&lt;/_accession_num&gt;&lt;_author_adr&gt;University Paris-Sud, Orsay, France; Institut Gustave Roussy, Villejuif, France.  Electronic address: Jean-Charles.Soria@gustaveroussy.fr.; National Cancer Centre Singapore and Genome Institute of Singapore, Singapore.; Azienda Ospedale Perugia, Perugia, Italy.; Guangdong Lung Cancer Institute, Guangdong General Hospital &amp;amp; Guangdong Academy  of Medical Sciences, Guangzhou, China.; University Hospital Virgen del RocioDoce de Octubre, Universidad Complutense &amp;amp;  CNIO, Madrid, Spain.; University Hospital Cologne, Cologne, Germany.; Songklanagarind Hospital, Songkla, Thailand.; State Pavlov Medical University, St Petersburg, Russia.; Az. Ospedaliera San Gerardo, Monza, Italy.; National Taiwan University Hospital, Taipei, Taiwan.; Respiratory Oncology Unit, Department of Respiratory and Critical Care Medicine,  Otto-Wagner-Spital, Vienna, Austria.; CHU de LILLE, Lille, France.; Taipei Veterans General Hospital, Taipei, Taiwan.; Hôpital Albert Michallon, Grenoble, France.; University Hospital A Coruña, La Coruna, Spain.; Novartis Pharmaceuticals Corporation, East Hanover, NJ, USA.; Novartis Pharmaceuticals Corporation, East Hanover, NJ, USA.; Novartis Pharmaceuticals Corporation, East Hanover, NJ, USA.; Novartis Pharma AG, Basel, Switzerland.; Novartis Pharma AG, Basel, Switzerland.; Novartis Pharma AG, Basel, Switzerland.; Instituto do Câncer do Estado de São Paulo, São Paulo, Brazil.&lt;/_author_adr&gt;&lt;_date_display&gt;2017 Mar 4&lt;/_date_display&gt;&lt;_date&gt;2017-03-04&lt;/_date&gt;&lt;_doi&gt;10.1016/S0140-6736(17)30123-X&lt;/_doi&gt;&lt;_isbn&gt;1474-547X (Electronic); 0140-6736 (Linking)&lt;/_isbn&gt;&lt;_issue&gt;10072&lt;/_issue&gt;&lt;_journal&gt;Lancet&lt;/_journal&gt;&lt;_language&gt;eng&lt;/_language&gt;&lt;_ori_publication&gt;Copyright © 2017 Elsevier Ltd. All rights reserved.&lt;/_ori_publication&gt;&lt;_pages&gt;917-929&lt;/_pages&gt;&lt;_subject_headings&gt;Adult; Aged; Aged, 80 and over; Antineoplastic Agents/*administration &amp;amp; dosage/adverse effects; Antineoplastic Combined Chemotherapy Protocols/therapeutic use; Carboplatin/administration &amp;amp; dosage/adverse effects; Carcinoma, Non-Small-Cell Lung/*drug therapy/mortality; Cisplatin/administration &amp;amp; dosage/adverse effects; Disease-Free Survival; Female; Humans; Kaplan-Meier Estimate; Lung Neoplasms/*drug therapy/mortality; Male; Middle Aged; Pemetrexed/administration &amp;amp; dosage/adverse effects; Pyrimidines/*administration &amp;amp; dosage/adverse effects; Sulfones/*administration &amp;amp; dosage/adverse effects; Treatment Outcome; Young Adult&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126333&amp;amp;query_hl=1&lt;/_url&gt;&lt;_volume&gt;389&lt;/_volume&gt;&lt;_created&gt;66161856&lt;/_created&gt;&lt;_modified&gt;66161856&lt;/_modified&gt;&lt;_impact_factor&gt; 168.900&lt;/_impact_factor&gt;&lt;_social_category&gt;医学：内科(1)&lt;/_social_category&gt;&lt;_collection_scope&gt;SCIE&lt;/_collection_scope&gt;&lt;_accessed&gt;66161856&lt;/_accessed&gt;&lt;/Details&gt;&lt;Extra&gt;&lt;DBUID&gt;{DE16ABCE-A785-434C-BF43-2FE58866AFDD}&lt;/DBUID&gt;&lt;/Extra&gt;&lt;/Item&gt;&lt;/References&gt;&lt;/Group&gt;&lt;/Citation&gt;_x000a_"/>
    <w:docVar w:name="NE.Ref{84C61DC8-96EE-4438-832C-9A844E3E5C88}" w:val=" ADDIN NE.Ref.{84C61DC8-96EE-4438-832C-9A844E3E5C88}&lt;Citation&gt;&lt;Group&gt;&lt;References&gt;&lt;Item&gt;&lt;ID&gt;3634&lt;/ID&gt;&lt;UID&gt;{1EC4D129-16F3-4736-9377-ED869E7E73A1}&lt;/UID&gt;&lt;Title&gt;Alectinib versus crizotinib in untreated Asian patients with anaplastic lymphoma  kinase-positive non-small-cell lung cancer (ALESIA): a randomised phase 3 study&lt;/Title&gt;&lt;Template&gt;Journal Article&lt;/Template&gt;&lt;Star&gt;0&lt;/Star&gt;&lt;Tag&gt;0&lt;/Tag&gt;&lt;Author&gt;Zhou, C; Kim, S W; Reungwetwattana, T; Zhou, J; Zhang, Y; He, J; Yang, J J; Cheng, Y; Lee, S H; Bu, L; Xu, T; Yang, L; Wang, C; Liu, T; Morcos, P N; Lu, Y; Zhang, L&lt;/Author&gt;&lt;Year&gt;2019&lt;/Year&gt;&lt;Details&gt;&lt;_accession_num&gt;30981696&lt;/_accession_num&gt;&lt;_author_adr&gt;Shanghai Pulmonary Hospital, Tongji University School of Medicine, Shanghai,  China.; Asan Medical Center, Seoul, South Korea.; Faculty of Medicine Ramathibodi Hospital, Mahidol University, Bangkok, Thailand.; The First Affiliated Hospital of College of Medicine, Zhejiang University,  Hangzhou, China.; Zhejiang Cancer Hospital, Hangzhou, China.; The First Affiliated Hospital of College of Medicine, Zhejiang University,  Hangzhou, China.; Guangdong General Hospital, Guangzhou, China.; The First Affiliated Hospital of Guangzhou Medical University, Guangzhou, China;  Jilin Cancer Hospital, Changchun, China.; Samsung Medical Center, Sungkyunkwan University School of Medicine, Seoul, South  Korea.; Roche Pharma Development, Shanghai, China.; Roche Pharma Development, Shanghai, China.; Roche Pharma Development, Shanghai, China.; Roche Pharma Development, Shanghai, China.; F Hoffmann-La Roche, Basel, Switzerland.; Roche Innovation Center, New York, NY, USA.; West China Hospital, Sichuan University, Chengdu, China.; Sun Yat-sen University Cancer Center, State Key Laboratory of Oncology in South  China, Collaborative Innovation Center for Cancer Medicine, Guangzhou, China.  Electronic address: ChinazhangLi6@mail.sysu.edu.cn.&lt;/_author_adr&gt;&lt;_date_display&gt;2019 May&lt;/_date_display&gt;&lt;_date&gt;2019-05-01&lt;/_date&gt;&lt;_doi&gt;10.1016/S2213-2600(19)30053-0&lt;/_doi&gt;&lt;_isbn&gt;2213-2619 (Electronic); 2213-2600 (Linking)&lt;/_isbn&gt;&lt;_issue&gt;5&lt;/_issue&gt;&lt;_journal&gt;Lancet Respir Med&lt;/_journal&gt;&lt;_language&gt;eng&lt;/_language&gt;&lt;_ori_publication&gt;Copyright © 2019 Elsevier Ltd. All rights reserved.&lt;/_ori_publication&gt;&lt;_pages&gt;437-446&lt;/_pages&gt;&lt;_subject_headings&gt;Adult; *Anaplastic Lymphoma Kinase; Carbazoles/*therapeutic use; Carcinoma, Non-Small-Cell Lung/*drug therapy; China; Crizotinib/*therapeutic use; Female; Humans; Lung Neoplasms/*drug therapy; Male; Middle Aged; Piperidines/*therapeutic use; Protein Kinase Inhibitors/*therapeutic use; Republic of Korea; Thailand; Treatment Outcome&lt;/_subject_headings&gt;&lt;_tertiary_title&gt;The Lancet. Respiratory medicine&lt;/_tertiary_title&gt;&lt;_type_work&gt;Clinical Trial, Phase III; Comparative Study; Journal Article; Randomized Controlled Trial; Research Support, Non-U.S. Gov&amp;apos;t&lt;/_type_work&gt;&lt;_url&gt;http://www.ncbi.nlm.nih.gov/entrez/query.fcgi?cmd=Retrieve&amp;amp;db=pubmed&amp;amp;dopt=Abstract&amp;amp;list_uids=30981696&amp;amp;query_hl=1&lt;/_url&gt;&lt;_volume&gt;7&lt;/_volume&gt;&lt;_created&gt;66161858&lt;/_created&gt;&lt;_modified&gt;66161858&lt;/_modified&gt;&lt;_impact_factor&gt;  76.200&lt;/_impact_factor&gt;&lt;_social_category&gt;危重病医学(1) &amp;amp; 呼吸系统(1)&lt;/_social_category&gt;&lt;_collection_scope&gt;SCIE&lt;/_collection_scope&gt;&lt;_accessed&gt;66161858&lt;/_accessed&gt;&lt;/Details&gt;&lt;Extra&gt;&lt;DBUID&gt;{DE16ABCE-A785-434C-BF43-2FE58866AFDD}&lt;/DBUID&gt;&lt;/Extra&gt;&lt;/Item&gt;&lt;/References&gt;&lt;/Group&gt;&lt;/Citation&gt;_x000a_"/>
    <w:docVar w:name="NE.Ref{87B9CA87-B1A5-4DDD-9BEB-EB1B08576BDC}" w:val=" ADDIN NE.Ref.{87B9CA87-B1A5-4DDD-9BEB-EB1B08576BDC}&lt;Citation&gt;&lt;Group&gt;&lt;References&gt;&lt;Item&gt;&lt;ID&gt;3624&lt;/ID&gt;&lt;UID&gt;{84A55A3F-131A-4F3E-8163-CC6F3C437B8B}&lt;/UID&gt;&lt;Title&gt;Lorlatinib in patients with ALK-positive non-small-cell lung cancer: results from  a global phase 2 study&lt;/Title&gt;&lt;Template&gt;Journal Article&lt;/Template&gt;&lt;Star&gt;0&lt;/Star&gt;&lt;Tag&gt;0&lt;/Tag&gt;&lt;Author&gt;Solomon, B J; Besse, B; Bauer, T M; Felip, E; Soo, R A; Camidge, D R; Chiari, R; Bearz, A; Lin, C C; Gadgeel, S M; Riely, G J; Tan, E H; Seto, T; James, L P; Clancy, J S; Abbattista, A; Martini, J F; Chen, J; Peltz, G; Thurm, H; Ou, S I; Shaw, A T&lt;/Author&gt;&lt;Year&gt;2018&lt;/Year&gt;&lt;Details&gt;&lt;_accession_num&gt;30413378&lt;/_accession_num&gt;&lt;_author_adr&gt;Peter MacCallum Cancer Centre, Melbourne, VIC, Australia. Electronic address:  ben.solomon@petermac.org.; Gustave Roussy Cancer Campus, Villejuif, France; Department of Cancer Medicine,  Paris-Sud University, Orsay, France.; Sarah Cannon Cancer Research Institute/Tennessee Oncology, PLLC, Nashville, TN,  USA.; Vall d&amp;apos;Hebron Institute of Oncology, Barcelona, Spain.; National University Hospital Singapore, Singapore.; Medical Oncology Department, University of Colorado, Aurora, CO, USA.; Santa Maria della Misericordia Hospital, Azienda Ospedaliera di Perugia, Perugia,  Italy.; National Institute for Cancer Research, Aviano, Italy.; National Taiwan University Hospital, Taipei, Taiwan.; Barbara Ann Karmanos Cancer Institute, University of Michigan, Ann Arbor, MI,  USA.; Memorial Sloan Kettering Cancer Center, New York, NY, USA.; National Cancer Center, Singapore.; National Kyushu Cancer Center, Fukuoka, Japan.; Pfizer Oncology, New York, NY, USA.; Pfizer Oncology, Cambridge, MA, USA.; Pfizer Oncology, Milan, Italy.; Pfizer Oncology, La Jolla, CA, USA.; Pfizer Oncology, New York, NY, USA.; Pfizer Oncology, Groton, CT, USA.; Pfizer Oncology, La Jolla, CA, USA.; University of California Irvine, Irvine, CA, USA.; Massachusetts General Hospital, Boston, MA, USA.&lt;/_author_adr&gt;&lt;_date_display&gt;2018 Dec&lt;/_date_display&gt;&lt;_date&gt;2018-12-01&lt;/_date&gt;&lt;_doi&gt;10.1016/S1470-2045(18)30649-1&lt;/_doi&gt;&lt;_isbn&gt;1474-5488 (Electronic); 1470-2045 (Linking)&lt;/_isbn&gt;&lt;_issue&gt;12&lt;/_issue&gt;&lt;_journal&gt;Lancet Oncol&lt;/_journal&gt;&lt;_language&gt;eng&lt;/_language&gt;&lt;_ori_publication&gt;Copyright © 2018 Elsevier Ltd. All rights reserved.&lt;/_ori_publication&gt;&lt;_pages&gt;1654-1667&lt;/_pages&gt;&lt;_subject_headings&gt;Adult; Aged; Aged, 80 and over; Aminopyridines; Anaplastic Lymphoma Kinase/*antagonists &amp;amp; inhibitors/genetics; Antineoplastic Agents/adverse effects/*therapeutic use; Biomarkers, Tumor/*antagonists &amp;amp; inhibitors/genetics; Brain Neoplasms/*drug therapy/enzymology/secondary; Carcinoma, Non-Small-Cell Lung/*drug therapy/enzymology/secondary; Female; Gene Rearrangement; Humans; Lactams; Lactams, Macrocyclic/adverse effects/*therapeutic use; Lung Neoplasms/*drug therapy/enzymology/genetics/pathology; Male; Middle Aged; Progression-Free Survival; Protein Kinase Inhibitors/adverse effects/*therapeutic use; Pyrazoles; Time Factors; Tumor Burden&lt;/_subject_headings&gt;&lt;_tertiary_title&gt;The Lancet. Oncology&lt;/_tertiary_title&gt;&lt;_type_work&gt;Clinical Trial, Phase II; Journal Article; Multicenter Study; Research Support, Non-U.S. Gov&amp;apos;t&lt;/_type_work&gt;&lt;_url&gt;http://www.ncbi.nlm.nih.gov/entrez/query.fcgi?cmd=Retrieve&amp;amp;db=pubmed&amp;amp;dopt=Abstract&amp;amp;list_uids=30413378&amp;amp;query_hl=1&lt;/_url&gt;&lt;_volume&gt;19&lt;/_volume&gt;&lt;_created&gt;66161851&lt;/_created&gt;&lt;_modified&gt;66161851&lt;/_modified&gt;&lt;_impact_factor&gt;  51.100&lt;/_impact_factor&gt;&lt;_social_category&gt;肿瘤学(1)&lt;/_social_category&gt;&lt;_collection_scope&gt;SCIE&lt;/_collection_scope&gt;&lt;_accessed&gt;66161851&lt;/_accessed&gt;&lt;/Details&gt;&lt;Extra&gt;&lt;DBUID&gt;{DE16ABCE-A785-434C-BF43-2FE58866AFDD}&lt;/DBUID&gt;&lt;/Extra&gt;&lt;/Item&gt;&lt;/References&gt;&lt;/Group&gt;&lt;/Citation&gt;_x000a_"/>
    <w:docVar w:name="NE.Ref{8848FD62-4529-4422-8A5E-1AC8B6CFB80C}" w:val=" ADDIN NE.Ref.{8848FD62-4529-4422-8A5E-1AC8B6CFB80C}&lt;Citation&gt;&lt;Group&gt;&lt;References&gt;&lt;Item&gt;&lt;ID&gt;3620&lt;/ID&gt;&lt;UID&gt;{6F6DCAF0-6F68-464C-A1B5-F8895F4E9958}&lt;/UID&gt;&lt;Title&gt;Brigatinib in Japanese Patients With ALK-Positive NSCLC Previously Treated With  Alectinib and Other Tyrosine Kinase Inhibitors: Outcomes of the Phase 2 J-ALTA  Trial&lt;/Title&gt;&lt;Template&gt;Journal Article&lt;/Template&gt;&lt;Star&gt;0&lt;/Star&gt;&lt;Tag&gt;0&lt;/Tag&gt;&lt;Author&gt;Nishio, M; Yoshida, T; Kumagai, T; Hida, T; Toyozawa, R; Shimokawaji, T; Goto, K; Nakagawa, K; Ohe, Y; Seto, T; Kudou, K; Asato, T; Zhang, P; Yamamoto, N&lt;/Author&gt;&lt;Year&gt;2021&lt;/Year&gt;&lt;Details&gt;&lt;_accession_num&gt;33248320&lt;/_accession_num&gt;&lt;_author_adr&gt;Department of Thoracic Medical Oncology, The Cancer Institute Hospital, Japanese  Foundation for Cancer Research, Koto, Tokyo, Japan.; Department of Thoracic Oncology, National Cancer Center Hospital, Chuo-ku, Tokyo,  Japan.; Department of Thoracic Oncology, Osaka International Cancer Institute, Chuo-ku,  Osaka, Japan.; Department of Thoracic Oncology, Aichi Cancer Center, Nagoya, Aichi, Japan.; Department of Thoracic Oncology, National Hospital Organization Kyushu Cancer  Center, Minami-ku, Fukuoka, Japan.; Department of Thoracic Oncology, Kanagawa Cancer Center, Yokohama, Kanagawa,  Japan.; Department of Thoracic Oncology, National Cancer Center Hospital East,  Kashiwa-shi, Chiba, Japan.; Department of Medical Oncology, Kindai University Faculty of Medicine,  Osaka-sayama, Osaka, Japan.; Department of Thoracic Oncology, National Cancer Center Hospital, Chuo-ku, Tokyo,  Japan.; Department of Thoracic Oncology, National Hospital Organization Kyushu Cancer  Center, Minami-ku, Fukuoka, Japan.; Biostatistics, Japan Development Center, Takeda Pharmaceutical Company Limited,  Chuo-ku, Osaka, Japan.; Oncology Clinical Research Department, Oncology Therapeutic Area Unit for Japan  and Asia, Takeda Pharmaceutical Company Limited, Chuo-ku, Osaka, Japan.; Millennium Pharmaceuticals, Inc., Cambridge, Massachusetts.; Internal Medicine III, Wakayama Medical University, Wakayama, Wakayama  Prefecture, Japan. Electronic address: nbyamamo@wakayama-med.ac.jp.&lt;/_author_adr&gt;&lt;_date_display&gt;2021 Mar&lt;/_date_display&gt;&lt;_date&gt;2021-03-01&lt;/_date&gt;&lt;_doi&gt;10.1016/j.jtho.2020.11.004&lt;/_doi&gt;&lt;_isbn&gt;1556-1380 (Electronic); 1556-0864 (Linking)&lt;/_isbn&gt;&lt;_issue&gt;3&lt;/_issue&gt;&lt;_journal&gt;J Thorac Oncol&lt;/_journal&gt;&lt;_keywords&gt;Alectinib; Anaplastic lymphoma kinase; Brigatinib; Crizotinib; Non–small cell lung cancer; Tyrosine kinase inhibitor&lt;/_keywords&gt;&lt;_language&gt;eng&lt;/_language&gt;&lt;_ori_publication&gt;Copyright © 2020 International Association for the Study of Lung Cancer. _x000d__x000a_      Published by Elsevier Inc. All rights reserved.&lt;/_ori_publication&gt;&lt;_pages&gt;452-463&lt;/_pages&gt;&lt;_subject_headings&gt;Anaplastic Lymphoma Kinase/genetics; Carbazoles/therapeutic use; Humans; Japan; *Lung Neoplasms/drug therapy; Organophosphorus Compounds; Piperidines; Protein Kinase Inhibitors/therapeutic use; Pyrimidines&lt;/_subject_headings&gt;&lt;_tertiary_title&gt;Journal of thoracic oncology : official publication of the International _x000d__x000a_      Association for the Study of Lung Cancer&lt;/_tertiary_title&gt;&lt;_type_work&gt;Clinical Trial, Phase II; Journal Article; Multicenter Study; Research Support, Non-U.S. Gov&amp;apos;t&lt;/_type_work&gt;&lt;_url&gt;http://www.ncbi.nlm.nih.gov/entrez/query.fcgi?cmd=Retrieve&amp;amp;db=pubmed&amp;amp;dopt=Abstract&amp;amp;list_uids=33248320&amp;amp;query_hl=1&lt;/_url&gt;&lt;_volume&gt;16&lt;/_volume&gt;&lt;_created&gt;66161848&lt;/_created&gt;&lt;_modified&gt;66161848&lt;/_modified&gt;&lt;_impact_factor&gt;  20.400&lt;/_impact_factor&gt;&lt;_social_category&gt;肿瘤学(1) &amp;amp; 呼吸系统(1)&lt;/_social_category&gt;&lt;_collection_scope&gt;SCIE&lt;/_collection_scope&gt;&lt;_accessed&gt;66161848&lt;/_accessed&gt;&lt;/Details&gt;&lt;Extra&gt;&lt;DBUID&gt;{DE16ABCE-A785-434C-BF43-2FE58866AFDD}&lt;/DBUID&gt;&lt;/Extra&gt;&lt;/Item&gt;&lt;/References&gt;&lt;/Group&gt;&lt;/Citation&gt;_x000a_"/>
    <w:docVar w:name="NE.Ref{8A0CFF8E-DD46-4848-90C3-A416D60771D5}" w:val=" ADDIN NE.Ref.{8A0CFF8E-DD46-4848-90C3-A416D60771D5}&lt;Citation&gt;&lt;Group&gt;&lt;References&gt;&lt;Item&gt;&lt;ID&gt;3652&lt;/ID&gt;&lt;UID&gt;{8DC9BE44-220C-48A5-999E-7D9AD0E63E03}&lt;/UID&gt;&lt;Title&gt;PD-L1 Test-Based Strategy With Nivolumab as the Second-Line Treatment in Advanced  NSCLC： A Cost-Effectiveness Analysis in China&lt;/Title&gt;&lt;Template&gt;Journal Article&lt;/Template&gt;&lt;Star&gt;0&lt;/Star&gt;&lt;Tag&gt;0&lt;/Tag&gt;&lt;Author&gt;Liu, Q; Luo, X; Zhou, Z; Peng, L; Yi, L; Wan, X; Tan, C; Zeng, X&lt;/Author&gt;&lt;Year&gt;2021&lt;/Year&gt;&lt;Details&gt;&lt;_accession_num&gt;34966668&lt;/_accession_num&gt;&lt;_author_adr&gt;Department of Pharmacy, The Second Xiangya Hospital of Central South University,  Changsha, China.; Department of Pharmacy, The Second Xiangya Hospital of Central South University,  Changsha, China.; Menzies Institute for Medical Research, University of Tasmania, Hobart, TAS,  Australia.; Department of Pharmacy, The Second Xiangya Hospital of Central South University,  Changsha, China.; Department of Pharmacy, The Second Xiangya Hospital of Central South University,  Changsha, China.; Department of Pharmacy, The Second Xiangya Hospital of Central South University,  Changsha, China.; Department of Pharmacy, The Second Xiangya Hospital of Central South University,  Changsha, China.; Department of Nuclear Medicine/PET Image Center, The Second Xiangya Hospital of  Central South University, Changsha, China.&lt;/_author_adr&gt;&lt;_date_display&gt;2021&lt;/_date_display&gt;&lt;_date&gt;2021-01-20&lt;/_date&gt;&lt;_doi&gt;10.3389/fonc.2021.745493&lt;/_doi&gt;&lt;_isbn&gt;2234-943X (Print); 2234-943X (Electronic); 2234-943X (Linking)&lt;/_isbn&gt;&lt;_journal&gt;Front Oncol&lt;/_journal&gt;&lt;_keywords&gt;China; NSCLC; PD-L1 test; cost-effectiveness; nivolumab&lt;/_keywords&gt;&lt;_language&gt;eng&lt;/_language&gt;&lt;_ori_publication&gt;Copyright © 2021 Liu, Luo, Zhou, Peng, Yi, Wan, Tan and Zeng.&lt;/_ori_publication&gt;&lt;_pages&gt;745493&lt;/_pages&gt;&lt;_tertiary_title&gt;Frontiers in oncology&lt;/_tertiary_title&gt;&lt;_type_work&gt;Journal Article&lt;/_type_work&gt;&lt;_url&gt;http://www.ncbi.nlm.nih.gov/entrez/query.fcgi?cmd=Retrieve&amp;amp;db=pubmed&amp;amp;dopt=Abstract&amp;amp;list_uids=34966668&amp;amp;query_hl=1&lt;/_url&gt;&lt;_volume&gt;11&lt;/_volume&gt;&lt;_created&gt;66161886&lt;/_created&gt;&lt;_modified&gt;66161886&lt;/_modified&gt;&lt;_impact_factor&gt;   4.700&lt;/_impact_factor&gt;&lt;_social_category&gt;肿瘤学(3)&lt;/_social_category&gt;&lt;_collection_scope&gt;SCIE&lt;/_collection_scope&gt;&lt;_accessed&gt;66161886&lt;/_accessed&gt;&lt;/Details&gt;&lt;Extra&gt;&lt;DBUID&gt;{DE16ABCE-A785-434C-BF43-2FE58866AFDD}&lt;/DBUID&gt;&lt;/Extra&gt;&lt;/Item&gt;&lt;/References&gt;&lt;/Group&gt;&lt;/Citation&gt;_x000a_"/>
    <w:docVar w:name="NE.Ref{8F62992C-539B-4816-A5BF-91D778DA3DE2}" w:val=" ADDIN NE.Ref.{8F62992C-539B-4816-A5BF-91D778DA3DE2}&lt;Citation&gt;&lt;Group&gt;&lt;References&gt;&lt;Item&gt;&lt;ID&gt;3650&lt;/ID&gt;&lt;UID&gt;{A08E70FC-2D40-47D4-A554-DCC2F54F56DC}&lt;/UID&gt;&lt;Title&gt;Cost-Effectiveness of Nivolumab Plus Chemotherapy vs. Chemotherapy as First-Line  Treatment for Advanced Gastric Cancer/Gastroesophageal Junction Cancer/Esophagel  Adenocarcinoma in China&lt;/Title&gt;&lt;Template&gt;Journal Article&lt;/Template&gt;&lt;Star&gt;0&lt;/Star&gt;&lt;Tag&gt;0&lt;/Tag&gt;&lt;Author&gt;Shu, Y; Ding, Y; Zhang, Q&lt;/Author&gt;&lt;Year&gt;2022&lt;/Year&gt;&lt;Details&gt;&lt;_accession_num&gt;35515123&lt;/_accession_num&gt;&lt;_author_adr&gt;Department of Pharmacy, Tongji Hospital, Tongji Medical College, Huazhong  University of Science and Technology, Wuhan, China.; Department of Pharmacy, Tongji Hospital, Tongji Medical College, Huazhong  University of Science and Technology, Wuhan, China.; Department of Pharmacy, Union Hospital, Tongji Medical College, Huazhong  University of Science and Technology, Wuhan, China.&lt;/_author_adr&gt;&lt;_date_display&gt;2022&lt;/_date_display&gt;&lt;_date&gt;2022-01-20&lt;/_date&gt;&lt;_doi&gt;10.3389/fonc.2022.851522&lt;/_doi&gt;&lt;_isbn&gt;2234-943X (Print); 2234-943X (Electronic); 2234-943X (Linking)&lt;/_isbn&gt;&lt;_journal&gt;Front Oncol&lt;/_journal&gt;&lt;_keywords&gt;CheckMate 649 trial; cost-effectiveness analysis; first-line treatment; gastric cancer/gastroesophageal junction cancer/esophageal adenocarcinoma; nivolumab&lt;/_keywords&gt;&lt;_language&gt;eng&lt;/_language&gt;&lt;_ori_publication&gt;Copyright © 2022 Shu, Ding and Zhang.&lt;/_ori_publication&gt;&lt;_pages&gt;851522&lt;/_pages&gt;&lt;_tertiary_title&gt;Frontiers in oncology&lt;/_tertiary_title&gt;&lt;_type_work&gt;Journal Article&lt;/_type_work&gt;&lt;_url&gt;http://www.ncbi.nlm.nih.gov/entrez/query.fcgi?cmd=Retrieve&amp;amp;db=pubmed&amp;amp;dopt=Abstract&amp;amp;list_uids=35515123&amp;amp;query_hl=1&lt;/_url&gt;&lt;_volume&gt;12&lt;/_volume&gt;&lt;_created&gt;66161883&lt;/_created&gt;&lt;_modified&gt;66161883&lt;/_modified&gt;&lt;_impact_factor&gt;   4.700&lt;/_impact_factor&gt;&lt;_social_category&gt;肿瘤学(3)&lt;/_social_category&gt;&lt;_collection_scope&gt;SCIE&lt;/_collection_scope&gt;&lt;_accessed&gt;66161883&lt;/_accessed&gt;&lt;/Details&gt;&lt;Extra&gt;&lt;DBUID&gt;{DE16ABCE-A785-434C-BF43-2FE58866AFDD}&lt;/DBUID&gt;&lt;/Extra&gt;&lt;/Item&gt;&lt;/References&gt;&lt;/Group&gt;&lt;/Citation&gt;_x000a_"/>
    <w:docVar w:name="NE.Ref{98D0CF6F-CB86-49DE-A824-C4B19816B54B}" w:val=" ADDIN NE.Ref.{98D0CF6F-CB86-49DE-A824-C4B19816B54B}&lt;Citation&gt;&lt;Group&gt;&lt;References&gt;&lt;Item&gt;&lt;ID&gt;1340&lt;/ID&gt;&lt;UID&gt;{1D8ECC62-5A82-40F6-B6D4-3B686A6C7EA1}&lt;/UID&gt;&lt;Title&gt;Phase 1/2 study of ceritinib in Chinese patients with advanced anaplastic  lymphoma kinase-rearranged non-small cell lung cancer previously treated with  crizotinib: Results from ASCEND-6&lt;/Title&gt;&lt;Template&gt;Journal Article&lt;/Template&gt;&lt;Star&gt;0&lt;/Star&gt;&lt;Tag&gt;0&lt;/Tag&gt;&lt;Author&gt;Wu, Y L; Shi, Y; Tan, DSW; Xiaoqing, L; Cheng, Y; Zhou, J; An, T T; Lu, Y; Zhu, B; Bai, C; Passos, V Q; Lau, Y Y; Xun, L; Zhang, L&lt;/Author&gt;&lt;Year&gt;2020&lt;/Year&gt;&lt;Details&gt;&lt;_accession_num&gt;33249379&lt;/_accession_num&gt;&lt;_author_adr&gt;Guangdong Lung Cancer Institute, Guangdong Provincial People&amp;apos;s Hospital and  Guangdong Academy of Medical Sciences, Guangzhou, China. Electronic address:  syylwu@live.cn.; National Cancer Center/National Clinical Research Center for Cancer/Cancer  Hospital, Chinese Academy of Medical Sciences and Peking Union Medical College,  Beijing, China.; National Cancer Center Singapore, Singapore.; Cancer Center, 307 Hospital of the Academy of Military Medical Sciences, Beijing,  China.; Jilin Province Cancer Hospital, Changchun, China.; The First Affiliated Hospital, College of Medicine, Zhejiang University,  Hangzhou, China.; Beijing Cancer Hospital, Beijing, China.; West China Hospital, Sichuan University, Chengdu, China.; Xinqiao Hospital, Third Military Medical University, Chongqing, China.; Shanghai Respiratory Research Institute, Shanghai, China.; Novartis Pharmaceuticals Corporation, East Hanover, NJ, USA.; Novartis Pharmaceuticals Corporation, East Hanover, NJ, USA.; Beijing Novartis Pharma Co., Ltd, Beijing, China.; Sun Yat-Sen University Cancer Center, Guangzhou, China.&lt;/_author_adr&gt;&lt;_collection_scope&gt;SCIE&lt;/_collection_scope&gt;&lt;_created&gt;65322646&lt;/_created&gt;&lt;_date&gt;2020-12-01&lt;/_date&gt;&lt;_date_display&gt;2020 Dec&lt;/_date_display&gt;&lt;_db_updated&gt;PubMed&lt;/_db_updated&gt;&lt;_doi&gt;10.1016/j.lungcan.2020.10.024&lt;/_doi&gt;&lt;_impact_factor&gt;   6.081&lt;/_impact_factor&gt;&lt;_isbn&gt;1872-8332 (Electronic); 0169-5002 (Linking)&lt;/_isbn&gt;&lt;_journal&gt;Lung Cancer&lt;/_journal&gt;&lt;_keywords&gt;ALK inhibitor; Brain metastasis; Chemotherapy; NSCLC; Pharmacokinetics; Safety&lt;/_keywords&gt;&lt;_language&gt;eng&lt;/_language&gt;&lt;_modified&gt;65322646&lt;/_modified&gt;&lt;_ori_publication&gt;Copyright (c) 2020. Published by Elsevier B.V.&lt;/_ori_publication&gt;&lt;_pages&gt;240-246&lt;/_pages&gt;&lt;_social_category&gt;肿瘤学(2) &amp;amp; 呼吸系统(2)&lt;/_social_category&gt;&lt;_subject_headings&gt;Adult; Anaplastic Lymphoma Kinase/genetics; *Antineoplastic Agents/therapeutic use; *Carcinoma, Non-Small-Cell Lung/drug therapy/genetics; China; Crizotinib/therapeutic use; Humans; *Lung Neoplasms/drug therapy/genetics; Neoplasm Recurrence, Local; *Pharmaceutical Preparations; Protein Kinase Inhibitors/therapeutic use; Pyrimidines; Receptor Protein-Tyrosine Kinases/genetics/therapeutic use; Sulfones&lt;/_subject_headings&gt;&lt;_tertiary_title&gt;Lung cancer (Amsterdam, Netherlands)&lt;/_tertiary_title&gt;&lt;_type_work&gt;Clinical Trial, Phase I; Clinical Trial, Phase II; Journal Article; Research Support, Non-U.S. Gov&amp;apos;t&lt;/_type_work&gt;&lt;_url&gt;http://www.ncbi.nlm.nih.gov/entrez/query.fcgi?cmd=Retrieve&amp;amp;db=pubmed&amp;amp;dopt=Abstract&amp;amp;list_uids=33249379&amp;amp;query_hl=1&lt;/_url&gt;&lt;_volume&gt;150&lt;/_volume&gt;&lt;/Details&gt;&lt;Extra&gt;&lt;DBUID&gt;{A96A13AE-8553-4F4D-9468-5E97E276BB62}&lt;/DBUID&gt;&lt;/Extra&gt;&lt;/Item&gt;&lt;/References&gt;&lt;/Group&gt;&lt;/Citation&gt;_x000a_"/>
    <w:docVar w:name="NE.Ref{9A33822F-C793-4930-B780-6111EF011760}" w:val=" ADDIN NE.Ref.{9A33822F-C793-4930-B780-6111EF011760}&lt;Citation&gt;&lt;Group&gt;&lt;References&gt;&lt;Item&gt;&lt;ID&gt;1267&lt;/ID&gt;&lt;UID&gt;{1ECFF174-85EB-4AF4-952A-C132070AD061}&lt;/UID&gt;&lt;Title&gt;Final Overall Survival Analysis From a Study Comparing First-Line Crizotinib  Versus Chemotherapy in ALK-Mutation-Positive Non-Small-Cell Lung Cancer&lt;/Title&gt;&lt;Template&gt;Journal Article&lt;/Template&gt;&lt;Star&gt;0&lt;/Star&gt;&lt;Tag&gt;0&lt;/Tag&gt;&lt;Author&gt;Solomon, B J; Kim, D W; Wu, Y L; Nakagawa, K; Mekhail, T; Felip, E; Cappuzzo, F; Paolini, J; Usari, T; Tang, Y; Wilner, K D; Blackhall, F; Mok, T S&lt;/Author&gt;&lt;Year&gt;2018&lt;/Year&gt;&lt;Details&gt;&lt;_accessed&gt;65321897&lt;/_accessed&gt;&lt;_accession_num&gt;29768118&lt;/_accession_num&gt;&lt;_author_adr&gt;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 Benjamin J. Solomon, Peter MacCallum Cancer Centre, Melbourne, Victoria,  Australia; Dong-Wan Kim, Seoul National University Hospital, Seoul, Republic of  Korea; Yi-Long Wu, Guangdong General Hospital and Guangdong Academy of Medical  Sciences, Guangzhou; Tony S. Mok, The Chinese University of Hong Kong, Hong Kong,  Special Administrative Region, People&amp;apos;s Republic of China; Kazuhiko Nakagawa,  Kindai University Faculty of Medicine, Osaka, Japan; Tarek Mekhail, Florida  Hospital, Orlando, FL; Enriqueta Felip, Vall d&amp;apos;Hebron University Hospital, Vall  d&amp;apos;Hebron Institute of Oncology, Barcelona, Spain; Federico Cappuzzo, Azienda  Unita Sanitaria Locale Della Romagna, Ravenna; Jolanda Paolini and Tiziana Usari,  Pfizer Oncology, Milan, Italy; Yiyun Tang and Keith D. Wilner, Pfizer Oncology,  La Jolla, CA; and Fiona Blackhall, Manchester University, and Christie Hospital  National Health Service Foundation Trust, Manchester, United Kingdom.&lt;/_author_adr&gt;&lt;_collection_scope&gt;SCIE&lt;/_collection_scope&gt;&lt;_created&gt;65264684&lt;/_created&gt;&lt;_date&gt;2018-08-01&lt;/_date&gt;&lt;_date_display&gt;2018 Aug 1&lt;/_date_display&gt;&lt;_db_updated&gt;PubMed&lt;/_db_updated&gt;&lt;_doi&gt;10.1200/JCO.2017.77.4794&lt;/_doi&gt;&lt;_impact_factor&gt;  50.717&lt;/_impact_factor&gt;&lt;_isbn&gt;1527-7755 (Electronic); 0732-183X (Linking)&lt;/_isbn&gt;&lt;_issue&gt;22&lt;/_issue&gt;&lt;_journal&gt;J Clin Oncol&lt;/_journal&gt;&lt;_language&gt;eng&lt;/_language&gt;&lt;_modified&gt;65264684&lt;/_modified&gt;&lt;_pages&gt;2251-2258&lt;/_pages&gt;&lt;_social_category&gt;肿瘤学(1)&lt;/_social_category&gt;&lt;_subject_headings&gt;Aged; Anaplastic Lymphoma Kinase/*genetics; Antineoplastic Combined Chemotherapy Protocols/adverse effects/*therapeutic use; Carboplatin/administration &amp;amp; dosage/adverse effects; Carcinoma, Non-Small-Cell Lung/*drug therapy/enzymology/genetics; Cisplatin/administration &amp;amp; dosage/adverse effects; Crizotinib/*administration &amp;amp; dosage/adverse effects; Female; Humans; Lung Neoplasms/*drug therapy/enzymology/genetics; Male; Middle Aged; Mutation; Pemetrexed/administration &amp;amp; dosage/adverse effects; Protein Kinase Inhibitors/administration &amp;amp; dosage/adverse effects; Survival Rate&lt;/_subject_headings&gt;&lt;_tertiary_title&gt;Journal of clinical oncology : official journal of the American Society of _x000d__x000a_      Clinical Oncology&lt;/_tertiary_title&gt;&lt;_type_work&gt;Clinical Trial, Phase III; Journal Article; Randomized Controlled Trial; Research Support, Non-U.S. Gov&amp;apos;t&lt;/_type_work&gt;&lt;_url&gt;http://www.ncbi.nlm.nih.gov/entrez/query.fcgi?cmd=Retrieve&amp;amp;db=pubmed&amp;amp;dopt=Abstract&amp;amp;list_uids=29768118&amp;amp;query_hl=1&lt;/_url&gt;&lt;_volume&gt;36&lt;/_volume&gt;&lt;/Details&gt;&lt;Extra&gt;&lt;DBUID&gt;{A96A13AE-8553-4F4D-9468-5E97E276BB62}&lt;/DBUID&gt;&lt;/Extra&gt;&lt;/Item&gt;&lt;/References&gt;&lt;/Group&gt;&lt;/Citation&gt;_x000a_"/>
    <w:docVar w:name="NE.Ref{9B424323-6A25-4AD2-8B99-F4C0EEC3578F}" w:val=" ADDIN NE.Ref.{9B424323-6A25-4AD2-8B99-F4C0EEC3578F}&lt;Citation&gt;&lt;Group&gt;&lt;References&gt;&lt;Item&gt;&lt;ID&gt;3636&lt;/ID&gt;&lt;UID&gt;{BB48397B-A19C-4F14-822D-3D49C25CB60C}&lt;/UID&gt;&lt;Title&gt;Final efficacy and safety data, and exploratory molecular profiling from the  phase III ALUR study of alectinib versus chemotherapy in crizotinib-pretreated  ALK-positive non-small-cell lung cancer&lt;/Title&gt;&lt;Template&gt;Journal Article&lt;/Template&gt;&lt;Star&gt;0&lt;/Star&gt;&lt;Tag&gt;0&lt;/Tag&gt;&lt;Author&gt;Wolf, J; Helland, Å; Oh, I J; Migliorino, M R; Dziadziuszko, R; Wrona, A; de Castro, J; Mazieres, J; Griesinger, F; Chlistalla, M; Cardona, A; Ruf, T; Trunzer, K; Smoljanovic, V; Novello, S&lt;/Author&gt;&lt;Year&gt;2022&lt;/Year&gt;&lt;Details&gt;&lt;_accession_num&gt;35042152&lt;/_accession_num&gt;&lt;_author_adr&gt;Department I of Internal Medicine, Center for Integrated Oncology, University  Hospital Cologne, Cologne, Germany.; Department of Cancer Genetics and Department of Oncology, Institute for Cancer  Research, Oslo University Hospital, University of Oslo, Oslo, Norway.; Department of Internal Medicine, Chonnam National University Medical School,  Hwasun-gun Jeollanam-do, Republic of Korea.; Pulmonary Oncology Unit, Azienda Ospedaliera San Camillo Forlanini Hospital,  Rome, Italy.; Department of Oncology and Radiotherapy, Medical University of Gdansk, Gdansk,  Poland.; Department of Oncology and Radiotherapy, Medical University of Gdansk, Gdansk,  Poland.; Department of Medical Oncology, La Paz University Hospital, IdiPAZ, Madrid,  Spain.; Department of Pneumology, Toulouse University Hospital, Paul Sabatier University,  Toulouse, France.; Department of Hematology and Oncology, Pius Hospital, University Medicine  Oldenburg, Oldenburg, Germany.; F. Hoffmann-La Roche Ltd., Basel, Switzerland.; F. Hoffmann-La Roche Ltd., Basel, Switzerland.; F. Hoffmann-La Roche Ltd., Basel, Switzerland.; F. Hoffmann-La Roche Ltd., Basel, Switzerland.; F. Hoffmann-La Roche Ltd., Basel, Switzerland.; Department of Oncology, University of Turin, Orbassano, Italy. Electronic  address: silvia.novello@unito.it.&lt;/_author_adr&gt;&lt;_date_display&gt;2022 Feb&lt;/_date_display&gt;&lt;_date&gt;2022-02-01&lt;/_date&gt;&lt;_doi&gt;10.1016/j.esmoop.2021.100333&lt;/_doi&gt;&lt;_isbn&gt;2059-7029 (Electronic); 2059-7029 (Linking)&lt;/_isbn&gt;&lt;_issue&gt;1&lt;/_issue&gt;&lt;_journal&gt;ESMO Open&lt;/_journal&gt;&lt;_keywords&gt;ALK-positive NSCLC; ALUR; TP53; alectinib; chemotherapy&lt;/_keywords&gt;&lt;_language&gt;eng&lt;/_language&gt;&lt;_ori_publication&gt;Copyright © 2021 The Authors. Published by Elsevier Ltd.. All rights reserved.&lt;/_ori_publication&gt;&lt;_pages&gt;100333&lt;/_pages&gt;&lt;_subject_headings&gt;Anaplastic Lymphoma Kinase/genetics; Carbazoles; *Carcinoma, Non-Small-Cell Lung/drug therapy/genetics/pathology; Crizotinib/adverse effects; Humans; *Lung Neoplasms/drug therapy/genetics/pathology; Piperidines&lt;/_subject_headings&gt;&lt;_tertiary_title&gt;ESMO open&lt;/_tertiary_title&gt;&lt;_type_work&gt;Journal Article; Randomized Controlled Trial; Research Support, Non-U.S. Gov&amp;apos;t&lt;/_type_work&gt;&lt;_url&gt;http://www.ncbi.nlm.nih.gov/entrez/query.fcgi?cmd=Retrieve&amp;amp;db=pubmed&amp;amp;dopt=Abstract&amp;amp;list_uids=35042152&amp;amp;query_hl=1&lt;/_url&gt;&lt;_volume&gt;7&lt;/_volume&gt;&lt;_created&gt;66161859&lt;/_created&gt;&lt;_modified&gt;66161859&lt;/_modified&gt;&lt;_impact_factor&gt;   7.300&lt;/_impact_factor&gt;&lt;_social_category&gt;肿瘤学(3)&lt;/_social_category&gt;&lt;_collection_scope&gt;SCIE&lt;/_collection_scope&gt;&lt;_accessed&gt;66161859&lt;/_accessed&gt;&lt;/Details&gt;&lt;Extra&gt;&lt;DBUID&gt;{DE16ABCE-A785-434C-BF43-2FE58866AFDD}&lt;/DBUID&gt;&lt;/Extra&gt;&lt;/Item&gt;&lt;/References&gt;&lt;/Group&gt;&lt;/Citation&gt;_x000a_"/>
    <w:docVar w:name="NE.Ref{9B89B674-2F02-462E-AA4D-E19A281AF98F}" w:val=" ADDIN NE.Ref.{9B89B674-2F02-462E-AA4D-E19A281AF98F}&lt;Citation&gt;&lt;Group&gt;&lt;References&gt;&lt;Item&gt;&lt;ID&gt;3646&lt;/ID&gt;&lt;UID&gt;{543B6656-6F78-43DF-B947-3232BEF37DEF}&lt;/UID&gt;&lt;Title&gt;Cost Effectiveness of Avelumab for Metastatic Merkel Cell Carcinoma&lt;/Title&gt;&lt;Template&gt;Journal Article&lt;/Template&gt;&lt;Star&gt;0&lt;/Star&gt;&lt;Tag&gt;0&lt;/Tag&gt;&lt;Author&gt;Bullement, A; Nathan, P; Willis, A; Amin, A; Lilley, C; Stapelkamp, C; Hatswell, A; Pescott, C; Bharmal, M&lt;/Author&gt;&lt;Year&gt;2019&lt;/Year&gt;&lt;Details&gt;&lt;_accession_num&gt;30680676&lt;/_accession_num&gt;&lt;_author_adr&gt;BresMed, Sheffield, UK.; Delta Hat, Nottingham, UK.; Mount Vernon Cancer Centre, Northwood, UK.; BresMed, Sheffield, UK.; Merck Serono, Feltham, UK.; BresMed, Sheffield, UK.; Merck Serono, Feltham, UK.; Delta Hat, Nottingham, UK.; Department of Statistical Science, University College London, London, UK.; Merck KGaA, Darmstadt, Germany.; Merck KGaA, Darmstadt, Germany. murtuza.bharmal@merckgroup.com.&lt;/_author_adr&gt;&lt;_date_display&gt;2019 Sep&lt;/_date_display&gt;&lt;_date&gt;2019-09-01&lt;/_date&gt;&lt;_doi&gt;10.1007/s41669-018-0115-y&lt;/_doi&gt;&lt;_isbn&gt;2509-4254 (Electronic); 2509-4262 (Print); 2509-4262 (Linking)&lt;/_isbn&gt;&lt;_issue&gt;3&lt;/_issue&gt;&lt;_journal&gt;Pharmacoecon Open&lt;/_journal&gt;&lt;_language&gt;eng&lt;/_language&gt;&lt;_pages&gt;377-390&lt;/_pages&gt;&lt;_tertiary_title&gt;PharmacoEconomics - open&lt;/_tertiary_title&gt;&lt;_type_work&gt;Journal Article&lt;/_type_work&gt;&lt;_url&gt;http://www.ncbi.nlm.nih.gov/entrez/query.fcgi?cmd=Retrieve&amp;amp;db=pubmed&amp;amp;dopt=Abstract&amp;amp;list_uids=30680676&amp;amp;query_hl=1&lt;/_url&gt;&lt;_volume&gt;3&lt;/_volume&gt;&lt;_created&gt;66161878&lt;/_created&gt;&lt;_modified&gt;66161878&lt;/_modified&gt;&lt;_impact_factor&gt;   2.000&lt;/_impact_factor&gt;&lt;_collection_scope&gt;ESCI&lt;/_collection_scope&gt;&lt;_accessed&gt;66161878&lt;/_accessed&gt;&lt;/Details&gt;&lt;Extra&gt;&lt;DBUID&gt;{DE16ABCE-A785-434C-BF43-2FE58866AFDD}&lt;/DBUID&gt;&lt;/Extra&gt;&lt;/Item&gt;&lt;/References&gt;&lt;/Group&gt;&lt;/Citation&gt;_x000a_"/>
    <w:docVar w:name="NE.Ref{9BBD514D-7E23-4152-AA64-060B363A30F5}" w:val=" ADDIN NE.Ref.{9BBD514D-7E23-4152-AA64-060B363A30F5}&lt;Citation&gt;&lt;Group&gt;&lt;References&gt;&lt;Item&gt;&lt;ID&gt;3623&lt;/ID&gt;&lt;UID&gt;{1202378A-45DD-4C16-AD57-2F4AEB15CC2A}&lt;/UID&gt;&lt;Title&gt;Efficacy, safety, and biomarker analysis of ensartinib in crizotinib-resistant,  ALK-positive non-small-cell lung cancer: a multicentre, phase 2 trial&lt;/Title&gt;&lt;Template&gt;Journal Article&lt;/Template&gt;&lt;Star&gt;0&lt;/Star&gt;&lt;Tag&gt;0&lt;/Tag&gt;&lt;Author&gt;Yang, Y; Zhou, J; Zhou, J; Feng, J; Zhuang, W; Chen, J; Zhao, J; Zhong, W; Zhao, Y; Zhang, Y; Song, Y; Hu, Y; Yu, Z; Gong, Y; Chen, Y; Ye, F; Zhang, S; Cao, L; Fan, Y; Wu, G; Guo, Y; Zhou, C; Ma, K; Fang, J; Feng, W; Liu, Y; Zheng, Z; Li, G; Wu, N; Song, W; Liu, X; Zhao, S; Ding, L; Mao, L; Selvaggi, G; Yuan, X; Fu, Y; Wang, T; Xiao, S; Zhang, L&lt;/Author&gt;&lt;Year&gt;2020&lt;/Year&gt;&lt;Details&gt;&lt;_accession_num&gt;31628085&lt;/_accession_num&gt;&lt;_author_adr&gt;Department of Medical Oncology, Sun Yat-sen University Cancer Center, State Key  Laboratory of Oncology in South China, Collaborative Innovation Center for Cancer  Medicine, Guangzhou, China.; Department of Respiratory Disease, Thoracic Disease Center, The First Affiliated  Hospital, College of Medicine, Zhejiang University, Hangzhou, China.; Department of Respiratory Disease, Thoracic Disease Center, The First Affiliated  Hospital, College of Medicine, Zhejiang University, Hangzhou, China.; Department of Medical Oncology, Jiangsu Cancer Hospital, Jiangsu Institute of  Cancer Research, The Affiliated Cancer Hospital of Nanjing Medical University,  Nanjing, China.; Department of Thoracic Oncology, Fujian Provincial Cancer Hospital, Fujian  Medical University Cancer Hospital, Fuzhou, China.; Department of Medical Oncology-Chest, Hunan Cancer Hospital, Changsha, China.; Department of Thoracic Oncology, Beijing Cancer Hospital, Beijing, China.; Department of Pulmonary Medicine, Peking Union Medical College Hospital, Chinese  Academy of Medical Sciences, Peking Union Medical College, Beijing, China.; Respiratory Department of Internal Medicine, Henan Provincial Cancer Hospital,  Affiliated Cancer Hospital of Zhengzhou University, Zhengzhou, China.; Thoracic Medical Oncology, Zhejiang Cancer Hospital, Hangzhou, China.; Division of Respiratory Medicine, Jinling Hospital, Nanjing University School of  Medicine, Nanjing, China.; Department of Oncology, Chinese PLA General Hospital, Beijing, China.; Department of Oncology, The Affiliated Hospital of Qingdao University, Qingdao,  China.; Department of Thoracic Oncology, Cancer Center, West China Hospital, Sichuan  University, Chengdu, China.; Department of Oncology, Tongji Hospital, Tongji Medical College, Huazhong  University of Science and Technology, Wuhan, China.; Department of Medical Oncology, Cancer Hospital, The First Affiliated Hospital of  Xiamen University, School of Medicine, Xiamen University, Teaching Hospital of  Fujian Medical University, Xiamen, China.; Department of Medical Oncology, Beijing Chest Hospital, Capital Medical  University, Beijing Tuberculosis and Thoracic Tumor Research Institute, Beijing,  China.; Respiratory Medicine, The First Affiliated Hospital of the University of Science  and Technology of China, Anhui Provincial Hospital, Hefei, China.; Thoracic Medical Oncology, Zhejiang Cancer Hospital, Hangzhou, China.; Cancer Center, Union Hospital, Tongji Medical College, Huazhong University of  Science and Technology, Wuhan, China.; Pulmonary &amp;amp; Critical Care Medicine, The First Affiliated Hospital, Sun Yat-sen  University, Guangzhou, China.; Respiratory Medicine Department, State Key Laboratory of Respiratory Disease,  National Clinical Research Center for Respiratory Disease, Guangzhou Institute of  Respiratory Health, The First Affiliated Hospital of Guangzhou Medical  University, Guangzhou, China.; Cancer Center, The First Hospital of Jilin University, Changchun, China.; Department of Thoracic Oncology, Beijing Cancer Hospital, Beijing, China.; Department of Head and Neck and Thoracic Medical Oncology, The First People&amp;apos;s  Hospital Of Foshan, Foshan, China.; Oncology Medicine, The First Hospital of China Medical University, Shenyang,  China.; Oncology Department, General Hospital of Northern Theater Command, Shenyang,  China.; 2nd Department of Thoracic Surgery, Yunnan Cancer Hospital, Kunming, China.; Department of Diagnostic Radiology, National Cancer Center, National Clinical  Research Center for Cancer, Cancer Hospital, Chinese Academy of Medical Sciences,  Peking Union Medical College, Beijing, China.; Department of Radiology, Peking Union Medical College Hospital, Chinese Academy  of Medical Sciences, Peking Union Medical College, Beijing, China.; Department of Pulmonary Oncology, The Fifth Medical Centre Chinese PLA General  Hospital, Beijing, China.; Department of Diagnostic Radiology, National Cancer Center, National Clinical  Research Center for Cancer, Cancer Hospital, Chinese Academy of Medical Sciences,  Peking Union Medical College, Beijing, China.; Betta Pharmaceuticals, Hangzhou, China.; Betta Pharmaceuticals, Hangzhou, China.; X-covery Holdings, Palm Beach Gardens, FL, USA.; Betta Pharmaceuticals, Hangzhou, China.; Betta Pharmaceuticals, Hangzhou, China.; Hangzhou Repugene Technology, Hangzhou, China.; Hangzhou Repugene Technology, Hangzhou, China.; Department of Medical Oncology, Sun Yat-sen University Cancer Center, State Key  Laboratory of Oncology in South China, Collaborative Innovation Center for Cancer  Medicine, Guangzhou, China. Electronic address: zhangli@sysucc.org.cn.&lt;/_author_adr&gt;&lt;_date_display&gt;2020 Jan&lt;/_date_display&gt;&lt;_date&gt;2020-01-01&lt;/_date&gt;&lt;_doi&gt;10.1016/S2213-2600(19)30252-8&lt;/_doi&gt;&lt;_isbn&gt;2213-2619 (Electronic); 2213-2600 (Linking)&lt;/_isbn&gt;&lt;_issue&gt;1&lt;/_issue&gt;&lt;_journal&gt;Lancet Respir Med&lt;/_journal&gt;&lt;_language&gt;eng&lt;/_language&gt;&lt;_ori_publication&gt;Copyright © 2020 Elsevier Ltd. All rights reserved.&lt;/_ori_publication&gt;&lt;_pages&gt;45-53&lt;/_pages&gt;&lt;_subject_headings&gt;Anaplastic Lymphoma Kinase/drug effects; Carcinoma, Non-Small-Cell Lung/*drug therapy; China; Crizotinib/therapeutic use; Female; Humans; Lung Neoplasms/*drug therapy; Male; Neoplasm Metastasis/drug therapy; Piperazines/*administration &amp;amp; dosage/adverse effects/pharmacology; Protein Kinase Inhibitors/*administration &amp;amp; dosage/adverse effects/pharmacology; Pyridazines/*administration &amp;amp; dosage/adverse effects/pharmacology&lt;/_subject_headings&gt;&lt;_tertiary_title&gt;The Lancet. Respiratory medicine&lt;/_tertiary_title&gt;&lt;_type_work&gt;Clinical Trial, Phase II; Journal Article; Multicenter Study; Randomized Controlled Trial; Research Support, Non-U.S. Gov&amp;apos;t&lt;/_type_work&gt;&lt;_url&gt;http://www.ncbi.nlm.nih.gov/entrez/query.fcgi?cmd=Retrieve&amp;amp;db=pubmed&amp;amp;dopt=Abstract&amp;amp;list_uids=31628085&amp;amp;query_hl=1&lt;/_url&gt;&lt;_volume&gt;8&lt;/_volume&gt;&lt;_created&gt;66161850&lt;/_created&gt;&lt;_modified&gt;66161850&lt;/_modified&gt;&lt;_impact_factor&gt;  76.200&lt;/_impact_factor&gt;&lt;_social_category&gt;危重病医学(1) &amp;amp; 呼吸系统(1)&lt;/_social_category&gt;&lt;_collection_scope&gt;SCIE&lt;/_collection_scope&gt;&lt;_accessed&gt;66161850&lt;/_accessed&gt;&lt;/Details&gt;&lt;Extra&gt;&lt;DBUID&gt;{DE16ABCE-A785-434C-BF43-2FE58866AFDD}&lt;/DBUID&gt;&lt;/Extra&gt;&lt;/Item&gt;&lt;/References&gt;&lt;/Group&gt;&lt;/Citation&gt;_x000a_"/>
    <w:docVar w:name="NE.Ref{9C0C6B29-4F63-4F1F-9530-9A8007282B88}" w:val=" ADDIN NE.Ref.{9C0C6B29-4F63-4F1F-9530-9A8007282B88}&lt;Citation&gt;&lt;Group&gt;&lt;References&gt;&lt;Item&gt;&lt;ID&gt;3613&lt;/ID&gt;&lt;UID&gt;{FFB8010C-46AD-4D64-ACC4-2AED228E089D}&lt;/UID&gt;&lt;Title&gt;The PRIME Type 2 Diabetes Model: a novel, patient-level model for estimating  long-term clinical and cost outcomes in patients with type 2 diabetes mellitus&lt;/Title&gt;&lt;Template&gt;Journal Article&lt;/Template&gt;&lt;Star&gt;0&lt;/Star&gt;&lt;Tag&gt;0&lt;/Tag&gt;&lt;Author&gt;Pollock, R F; Norrbacka, K; Boye, K S; Osumili, B; Valentine, W J&lt;/Author&gt;&lt;Year&gt;2022&lt;/Year&gt;&lt;Details&gt;&lt;_accession_num&gt;35105267&lt;/_accession_num&gt;&lt;_author_adr&gt;Health Economics and Outcomes Research, Covalence Research Ltd, London, UK.; Eli Lilly Finland, Helsinki, Finland.; Global Patient Outcomes and Real World Evidence, Eli Lilly and Company,  Indianapolis, USA.; GPORWE International, Eli Lilly and Company Ltd, Surrey, UK.; Health Economics, Ossian Health Economics and Communications, Basel, Switzerland.&lt;/_author_adr&gt;&lt;_date_display&gt;2022 Jan-Dec&lt;/_date_display&gt;&lt;_date&gt;2022-01-01&lt;/_date&gt;&lt;_doi&gt;10.1080/13696998.2022.2035132&lt;/_doi&gt;&lt;_isbn&gt;1941-837X (Electronic); 1369-6998 (Linking)&lt;/_isbn&gt;&lt;_issue&gt;1&lt;/_issue&gt;&lt;_journal&gt;J Med Econ&lt;/_journal&gt;&lt;_keywords&gt;C; C6; C63; Cost-effectiveness; I; I1; I10; model; risk prediction; type 2 diabetes mellitus&lt;/_keywords&gt;&lt;_language&gt;eng&lt;/_language&gt;&lt;_pages&gt;393-402&lt;/_pages&gt;&lt;_subject_headings&gt;Cost-Benefit Analysis; *Diabetes Complications; *Diabetes Mellitus, Type 2; Humans; Hypoglycemic Agents; Longitudinal Studies; Quality-Adjusted Life Years&lt;/_subject_headings&gt;&lt;_tertiary_title&gt;Journal of medical economics&lt;/_tertiary_title&gt;&lt;_type_work&gt;Journal Article; Systematic Review&lt;/_type_work&gt;&lt;_url&gt;http://www.ncbi.nlm.nih.gov/entrez/query.fcgi?cmd=Retrieve&amp;amp;db=pubmed&amp;amp;dopt=Abstract&amp;amp;list_uids=35105267&amp;amp;query_hl=1&lt;/_url&gt;&lt;_volume&gt;25&lt;/_volume&gt;&lt;_created&gt;66161821&lt;/_created&gt;&lt;_modified&gt;66161821&lt;/_modified&gt;&lt;_impact_factor&gt;   2.400&lt;/_impact_factor&gt;&lt;_social_category&gt;卫生保健与服务(4) &amp;amp; 医学：内科(3)&lt;/_social_category&gt;&lt;_collection_scope&gt;SCIE&lt;/_collection_scope&gt;&lt;_accessed&gt;66161821&lt;/_accessed&gt;&lt;/Details&gt;&lt;Extra&gt;&lt;DBUID&gt;{DE16ABCE-A785-434C-BF43-2FE58866AFDD}&lt;/DBUID&gt;&lt;/Extra&gt;&lt;/Item&gt;&lt;/References&gt;&lt;/Group&gt;&lt;/Citation&gt;_x000a_"/>
    <w:docVar w:name="NE.Ref{9D74B067-0597-4EA4-BA04-1534E61041BA}" w:val=" ADDIN NE.Ref.{9D74B067-0597-4EA4-BA04-1534E61041BA}&lt;Citation&gt;&lt;Group&gt;&lt;References&gt;&lt;Item&gt;&lt;ID&gt;3613&lt;/ID&gt;&lt;UID&gt;{FFB8010C-46AD-4D64-ACC4-2AED228E089D}&lt;/UID&gt;&lt;Title&gt;The PRIME Type 2 Diabetes Model: a novel, patient-level model for estimating  long-term clinical and cost outcomes in patients with type 2 diabetes mellitus&lt;/Title&gt;&lt;Template&gt;Journal Article&lt;/Template&gt;&lt;Star&gt;0&lt;/Star&gt;&lt;Tag&gt;0&lt;/Tag&gt;&lt;Author&gt;Pollock, R F; Norrbacka, K; Boye, K S; Osumili, B; Valentine, W J&lt;/Author&gt;&lt;Year&gt;2022&lt;/Year&gt;&lt;Details&gt;&lt;_accession_num&gt;35105267&lt;/_accession_num&gt;&lt;_author_adr&gt;Health Economics and Outcomes Research, Covalence Research Ltd, London, UK.; Eli Lilly Finland, Helsinki, Finland.; Global Patient Outcomes and Real World Evidence, Eli Lilly and Company,  Indianapolis, USA.; GPORWE International, Eli Lilly and Company Ltd, Surrey, UK.; Health Economics, Ossian Health Economics and Communications, Basel, Switzerland.&lt;/_author_adr&gt;&lt;_date_display&gt;2022 Jan-Dec&lt;/_date_display&gt;&lt;_date&gt;2022-01-01&lt;/_date&gt;&lt;_doi&gt;10.1080/13696998.2022.2035132&lt;/_doi&gt;&lt;_isbn&gt;1941-837X (Electronic); 1369-6998 (Linking)&lt;/_isbn&gt;&lt;_issue&gt;1&lt;/_issue&gt;&lt;_journal&gt;J Med Econ&lt;/_journal&gt;&lt;_keywords&gt;C; C6; C63; Cost-effectiveness; I; I1; I10; model; risk prediction; type 2 diabetes mellitus&lt;/_keywords&gt;&lt;_language&gt;eng&lt;/_language&gt;&lt;_pages&gt;393-402&lt;/_pages&gt;&lt;_subject_headings&gt;Cost-Benefit Analysis; *Diabetes Complications; *Diabetes Mellitus, Type 2; Humans; Hypoglycemic Agents; Longitudinal Studies; Quality-Adjusted Life Years&lt;/_subject_headings&gt;&lt;_tertiary_title&gt;Journal of medical economics&lt;/_tertiary_title&gt;&lt;_type_work&gt;Journal Article; Systematic Review&lt;/_type_work&gt;&lt;_url&gt;http://www.ncbi.nlm.nih.gov/entrez/query.fcgi?cmd=Retrieve&amp;amp;db=pubmed&amp;amp;dopt=Abstract&amp;amp;list_uids=35105267&amp;amp;query_hl=1&lt;/_url&gt;&lt;_volume&gt;25&lt;/_volume&gt;&lt;_created&gt;66161821&lt;/_created&gt;&lt;_modified&gt;66161821&lt;/_modified&gt;&lt;_impact_factor&gt;   2.400&lt;/_impact_factor&gt;&lt;_social_category&gt;卫生保健与服务(4) &amp;amp; 医学：内科(3)&lt;/_social_category&gt;&lt;_collection_scope&gt;SCIE&lt;/_collection_scope&gt;&lt;_accessed&gt;66161821&lt;/_accessed&gt;&lt;/Details&gt;&lt;Extra&gt;&lt;DBUID&gt;{DE16ABCE-A785-434C-BF43-2FE58866AFDD}&lt;/DBUID&gt;&lt;/Extra&gt;&lt;/Item&gt;&lt;/References&gt;&lt;/Group&gt;&lt;/Citation&gt;_x000a_"/>
    <w:docVar w:name="NE.Ref{9EB4EE08-2209-4DCC-B7FB-D2E4EFA1D944}" w:val=" ADDIN NE.Ref.{9EB4EE08-2209-4DCC-B7FB-D2E4EFA1D944}&lt;Citation&gt;&lt;Group&gt;&lt;References&gt;&lt;Item&gt;&lt;ID&gt;1339&lt;/ID&gt;&lt;UID&gt;{28D0B9DA-D763-4765-8CDA-651D2EDC698B}&lt;/UID&gt;&lt;Title&gt;Final Overall Survival and Other Efficacy and Safety Results From ASCEND-3: Phase  II Study of Ceritinib in ALKi-Naive Patients With ALK-Rearranged NSCLC&lt;/Title&gt;&lt;Template&gt;Journal Article&lt;/Template&gt;&lt;Star&gt;0&lt;/Star&gt;&lt;Tag&gt;0&lt;/Tag&gt;&lt;Author&gt;Nishio, M; Felip, E; Orlov, S; Park, K; Yu, C J; Tsai, C M; Cobo, M; McKeage, M; Su, W C; Mok, T; Scagliotti, G V; Spigel, D R; Viraswami-Appanna, K; Chen, Z; Passos, V Q; Shaw, A T&lt;/Author&gt;&lt;Year&gt;2020&lt;/Year&gt;&lt;Details&gt;&lt;_accession_num&gt;31778798&lt;/_accession_num&gt;&lt;_author_adr&gt;Thoracic Medical Oncology Department, Cancer Institute Hospital of Japanese  Foundation for Cancer Research, Tokyo, Japan. Electronic address:  mnishio@jfcr.or.jp.; Department of Medical Oncology, Vall d&amp;apos;Hebron University Hospital and Vall  d&amp;apos;Hebron Institute of Oncology, Barcelona, Spain.; Department of Thoracic Oncology, Pavlov First Saint Petersburg State Medical  University, St. Petersburg, Russia.; Division of Hematology and Oncology, Samsung Medical Center, Sungkyunkwan  University School of Medicine, Seoul, Republic of Korea.; Department of Internal Medicine, National Taiwan University, Taipei, Taiwan.; Department of Oncology, Taipei Veterans General Hospital, Taipei, Taiwan.; Medical Oncology Department, Hospital Regional Universitario Malaga, Instituto de  Investigaciones Biomedicas, Malaga, Spain.; Division of Pharmacology and Clinical Pharmacology, Auckland City Hospital and  University of Auckland, Auckland, New Zealand.; Department of Internal Medicine, National Cheng Kung University Hospital, Tainan,  Taiwan.; Department of Clinical Oncology, The Chinese University of Hong Kong, Shatin, The  People&amp;apos;s Republic of China.; Department of Oncology, University of Torino, Orbassano, Torino, Italy.; Medical Oncology, Sarah Cannon Research Institute, Nashville, Tennessee.; Novartis Pharmaceuticals Corporation, East Hanover, New Jersey.; Novartis Pharmaceuticals Corporation, East Hanover, New Jersey.; Novartis Pharmaceuticals Corporation, East Hanover, New Jersey.; Department of Medicine and Pathology, Massachusetts General Hospital, Boston,  Massachusetts.&lt;/_author_adr&gt;&lt;_collection_scope&gt;SCIE&lt;/_collection_scope&gt;&lt;_created&gt;65322644&lt;/_created&gt;&lt;_date&gt;2020-04-01&lt;/_date&gt;&lt;_date_display&gt;2020 Apr&lt;/_date_display&gt;&lt;_db_updated&gt;PubMed&lt;/_db_updated&gt;&lt;_doi&gt;10.1016/j.jtho.2019.11.006&lt;/_doi&gt;&lt;_impact_factor&gt;  20.121&lt;/_impact_factor&gt;&lt;_isbn&gt;1556-1380 (Electronic); 1556-0864 (Linking)&lt;/_isbn&gt;&lt;_issue&gt;4&lt;/_issue&gt;&lt;_journal&gt;J Thorac Oncol&lt;/_journal&gt;&lt;_keywords&gt;ALK; Ceritinib; NSCLC; Phase II&lt;/_keywords&gt;&lt;_language&gt;eng&lt;/_language&gt;&lt;_modified&gt;65322645&lt;/_modified&gt;&lt;_ori_publication&gt;Copyright (c) 2019 International Association for the Study of Lung Cancer. _x000d__x000a_      Published by Elsevier Inc. All rights reserved.&lt;/_ori_publication&gt;&lt;_pages&gt;609-617&lt;/_pages&gt;&lt;_social_category&gt;肿瘤学(1) &amp;amp; 呼吸系统(1)&lt;/_social_category&gt;&lt;_subject_headings&gt;Anaplastic Lymphoma Kinase/genetics; *Antineoplastic Agents/therapeutic use; Humans; *Lung Neoplasms/drug therapy/genetics; Protein Kinase Inhibitors/therapeutic use; Pyrimidines; Quality of Life; Receptor Protein-Tyrosine Kinases; Sulfones&lt;/_subject_headings&gt;&lt;_tertiary_title&gt;Journal of thoracic oncology : official publication of the International _x000d__x000a_      Association for the Study of Lung Cancer&lt;/_tertiary_title&gt;&lt;_type_work&gt;Clinical Trial, Phase II; Journal Article; Research Support, Non-U.S. Gov&amp;apos;t&lt;/_type_work&gt;&lt;_url&gt;http://www.ncbi.nlm.nih.gov/entrez/query.fcgi?cmd=Retrieve&amp;amp;db=pubmed&amp;amp;dopt=Abstract&amp;amp;list_uids=31778798&amp;amp;query_hl=1&lt;/_url&gt;&lt;_volume&gt;15&lt;/_volume&gt;&lt;/Details&gt;&lt;Extra&gt;&lt;DBUID&gt;{A96A13AE-8553-4F4D-9468-5E97E276BB62}&lt;/DBUID&gt;&lt;/Extra&gt;&lt;/Item&gt;&lt;/References&gt;&lt;/Group&gt;&lt;/Citation&gt;_x000a_"/>
    <w:docVar w:name="NE.Ref{9F43197C-70F2-4F28-9AA4-D8F057ABF89C}" w:val=" ADDIN NE.Ref.{9F43197C-70F2-4F28-9AA4-D8F057ABF89C}&lt;Citation&gt;&lt;Group&gt;&lt;References&gt;&lt;Item&gt;&lt;ID&gt;3649&lt;/ID&gt;&lt;UID&gt;{8FFD87A9-5BC8-41C5-A91D-F141D0FD0275}&lt;/UID&gt;&lt;Title&gt;Cost-Effectiveness Analysis Of Ceritinib And Alectinib Versus Crizotinib In The  Treatment Of Anaplastic Lymphoma Kinase-Positive Advanced Non-Small Cell Lung  Cancer&lt;/Title&gt;&lt;Template&gt;Journal Article&lt;/Template&gt;&lt;Star&gt;0&lt;/Star&gt;&lt;Tag&gt;0&lt;/Tag&gt;&lt;Author&gt;Liu, M; Zhang, L; Huang, Q; Li, N; Zheng, B; Cai, H&lt;/Author&gt;&lt;Year&gt;2019&lt;/Year&gt;&lt;Details&gt;&lt;_accession_num&gt;31749634&lt;/_accession_num&gt;&lt;_author_adr&gt;Department of Pharmacy, Fujian Medical University Union Hospital, Fuzhou, Fujian  Province, People&amp;apos;s Republic of China.; Department of Medical Oncology, Fujian Provincial Cancer Hospital, Fuzhou, Fujian  Province, People&amp;apos;s Republic of China.; College of Pharmacy, Fujian Medical University,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lt;/_author_adr&gt;&lt;_date_display&gt;2019&lt;/_date_display&gt;&lt;_date&gt;2019-01-20&lt;/_date&gt;&lt;_doi&gt;10.2147/CMAR.S223441&lt;/_doi&gt;&lt;_isbn&gt;1179-1322 (Print); 1179-1322 (Electronic); 1179-1322 (Linking)&lt;/_isbn&gt;&lt;_journal&gt;Cancer Manag Res&lt;/_journal&gt;&lt;_keywords&gt;NSCLC; alectinib; ceritinib; cost-effectiveness; crizotinib&lt;/_keywords&gt;&lt;_language&gt;eng&lt;/_language&gt;&lt;_ori_publication&gt;© 2019 Liu et al.&lt;/_ori_publication&gt;&lt;_pages&gt;9195-9202&lt;/_pages&gt;&lt;_tertiary_title&gt;Cancer management and research&lt;/_tertiary_title&gt;&lt;_type_work&gt;Journal Article&lt;/_type_work&gt;&lt;_url&gt;http://www.ncbi.nlm.nih.gov/entrez/query.fcgi?cmd=Retrieve&amp;amp;db=pubmed&amp;amp;dopt=Abstract&amp;amp;list_uids=31749634&amp;amp;query_hl=1&lt;/_url&gt;&lt;_volume&gt;11&lt;/_volume&gt;&lt;_created&gt;66161882&lt;/_created&gt;&lt;_modified&gt;66161882&lt;/_modified&gt;&lt;_impact_factor&gt;   3.300&lt;/_impact_factor&gt;&lt;_social_category&gt;肿瘤学(4)&lt;/_social_category&gt;&lt;_collection_scope&gt;SCIE&lt;/_collection_scope&gt;&lt;_accessed&gt;66161882&lt;/_accessed&gt;&lt;/Details&gt;&lt;Extra&gt;&lt;DBUID&gt;{DE16ABCE-A785-434C-BF43-2FE58866AFDD}&lt;/DBUID&gt;&lt;/Extra&gt;&lt;/Item&gt;&lt;/References&gt;&lt;/Group&gt;&lt;/Citation&gt;_x000a_"/>
    <w:docVar w:name="NE.Ref{A88B02D0-B814-4509-9194-D14342F4DFC3}" w:val=" ADDIN NE.Ref.{A88B02D0-B814-4509-9194-D14342F4DFC3}&lt;Citation&gt;&lt;Group&gt;&lt;References&gt;&lt;Item&gt;&lt;ID&gt;3639&lt;/ID&gt;&lt;UID&gt;{812AD44D-079F-498C-86E6-C8A3854B079B}&lt;/UID&gt;&lt;Title&gt;Crizotinib versus chemotherapy in advanced ALK-positive lung cancer&lt;/Title&gt;&lt;Template&gt;Journal Article&lt;/Template&gt;&lt;Star&gt;0&lt;/Star&gt;&lt;Tag&gt;0&lt;/Tag&gt;&lt;Author&gt;Shaw, A T; Kim, D W; Nakagawa, K; Seto, T; Crinó, L; Ahn, M J; De Pas, T; Besse, B; Solomon, B J; Blackhall, F; Wu, Y L; Thomas, M; O&amp;apos;Byrne, K J; Moro-Sibilot, D; Camidge, D R; Mok, T; Hirsh, V; Riely, G J; Iyer, S; Tassell, V; Polli, A; Wilner, K D; Jänne, P A&lt;/Author&gt;&lt;Year&gt;2013&lt;/Year&gt;&lt;Details&gt;&lt;_accession_num&gt;23724913&lt;/_accession_num&gt;&lt;_author_adr&gt;Massachusetts General Hospital, Boston, MA 02114, USA. ashaw1@partners.org&lt;/_author_adr&gt;&lt;_date_display&gt;2013 Jun 20&lt;/_date_display&gt;&lt;_date&gt;2013-06-20&lt;/_date&gt;&lt;_doi&gt;10.1056/NEJMoa1214886&lt;/_doi&gt;&lt;_isbn&gt;1533-4406 (Electronic); 0028-4793 (Linking)&lt;/_isbn&gt;&lt;_issue&gt;25&lt;/_issue&gt;&lt;_journal&gt;N Engl J Med&lt;/_journal&gt;&lt;_language&gt;eng&lt;/_language&gt;&lt;_pages&gt;2385-94&lt;/_pages&gt;&lt;_subject_headings&gt;Adult; Aged; Aged, 80 and over; Antineoplastic Agents/adverse effects/*therapeutic use; Carcinoma, Non-Small-Cell Lung/*drug therapy/mortality; Crizotinib; Disease-Free Survival; Docetaxel; Female; Glutamates/adverse effects/therapeutic use; Guanine/adverse effects/analogs &amp;amp; derivatives/therapeutic use; Humans; Kaplan-Meier Estimate; Lung Neoplasms/*drug therapy/mortality; Male; Middle Aged; Pemetrexed; Protein Kinase Inhibitors/adverse effects/*therapeutic use; Pyrazoles/adverse effects/*therapeutic use; Pyridines/adverse effects/*therapeutic use; Quality of Life; Taxoids/adverse effects/therapeutic use; Young Adult&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23724913&amp;amp;query_hl=1&lt;/_url&gt;&lt;_volume&gt;368&lt;/_volume&gt;&lt;_created&gt;66161861&lt;/_created&gt;&lt;_modified&gt;66161861&lt;/_modified&gt;&lt;_impact_factor&gt; 158.500&lt;/_impact_factor&gt;&lt;_social_category&gt;医学：内科(1)&lt;/_social_category&gt;&lt;_collection_scope&gt;SCIE&lt;/_collection_scope&gt;&lt;_accessed&gt;66161861&lt;/_accessed&gt;&lt;/Details&gt;&lt;Extra&gt;&lt;DBUID&gt;{DE16ABCE-A785-434C-BF43-2FE58866AFDD}&lt;/DBUID&gt;&lt;/Extra&gt;&lt;/Item&gt;&lt;/References&gt;&lt;/Group&gt;&lt;/Citation&gt;_x000a_"/>
    <w:docVar w:name="NE.Ref{AB8C0A91-DE45-4A08-8AA4-2FFB0104412F}" w:val=" ADDIN NE.Ref.{AB8C0A91-DE45-4A08-8AA4-2FFB0104412F}&lt;Citation&gt;&lt;Group&gt;&lt;References&gt;&lt;Item&gt;&lt;ID&gt;1293&lt;/ID&gt;&lt;UID&gt;{9FE25F06-D249-4D63-B53C-050D053A99FD}&lt;/UID&gt;&lt;Title&gt;Efficacy, safety, and biomarker analysis of ensartinib in crizotinib-resistant,  ALK-positive non-small-cell lung cancer: a multicentre, phase 2 trial&lt;/Title&gt;&lt;Template&gt;Journal Article&lt;/Template&gt;&lt;Star&gt;0&lt;/Star&gt;&lt;Tag&gt;0&lt;/Tag&gt;&lt;Author&gt;Yang, Y; Zhou, J; Zhou, J; Feng, J; Zhuang, W; Chen, J; Zhao, J; Zhong, W; Zhao, Y; Zhang, Y; Song, Y; Hu, Y; Yu, Z; Gong, Y; Chen, Y; Ye, F; Zhang, S; Cao, L; Fan, Y; Wu, G; Guo, Y; Zhou, C; Ma, K; Fang, J; Feng, W; Liu, Y; Zheng, Z; Li, G; Wu, N; Song, W; Liu, X; Zhao, S; Ding, L; Mao, L; Selvaggi, G; Yuan, X; Fu, Y; Wang, T; Xiao, S; Zhang, L&lt;/Author&gt;&lt;Year&gt;2020&lt;/Year&gt;&lt;Details&gt;&lt;_accession_num&gt;31628085&lt;/_accession_num&gt;&lt;_author_adr&gt;Department of Medical Oncology, Sun Yat-sen University Cancer Center, State Key  Laboratory of Oncology in South China, Collaborative Innovation Center for Cancer  Medicine, Guangzhou, China.; Department of Respiratory Disease, Thoracic Disease Center, The First Affiliated  Hospital, College of Medicine, Zhejiang University, Hangzhou, China.; Department of Respiratory Disease, Thoracic Disease Center, The First Affiliated  Hospital, College of Medicine, Zhejiang University, Hangzhou, China.; Department of Medical Oncology, Jiangsu Cancer Hospital, Jiangsu Institute of  Cancer Research, The Affiliated Cancer Hospital of Nanjing Medical University,  Nanjing, China.; Department of Thoracic Oncology, Fujian Provincial Cancer Hospital, Fujian  Medical University Cancer Hospital, Fuzhou, China.; Department of Medical Oncology-Chest, Hunan Cancer Hospital, Changsha, China.; Department of Thoracic Oncology, Beijing Cancer Hospital, Beijing, China.; Department of Pulmonary Medicine, Peking Union Medical College Hospital, Chinese  Academy of Medical Sciences, Peking Union Medical College, Beijing, China.; Respiratory Department of Internal Medicine, Henan Provincial Cancer Hospital,  Affiliated Cancer Hospital of Zhengzhou University, Zhengzhou, China.; Thoracic Medical Oncology, Zhejiang Cancer Hospital, Hangzhou, China.; Division of Respiratory Medicine, Jinling Hospital, Nanjing University School of  Medicine, Nanjing, China.; Department of Oncology, Chinese PLA General Hospital, Beijing, China.; Department of Oncology, The Affiliated Hospital of Qingdao University, Qingdao,  China.; Department of Thoracic Oncology, Cancer Center, West China Hospital, Sichuan  University, Chengdu, China.; Department of Oncology, Tongji Hospital, Tongji Medical College, Huazhong  University of Science and Technology, Wuhan, China.; Department of Medical Oncology, Cancer Hospital, The First Affiliated Hospital of  Xiamen University, School of Medicine, Xiamen University, Teaching Hospital of  Fujian Medical University, Xiamen, China.; Department of Medical Oncology, Beijing Chest Hospital, Capital Medical  University, Beijing Tuberculosis and Thoracic Tumor Research Institute, Beijing,  China.; Respiratory Medicine, The First Affiliated Hospital of the University of Science  and Technology of China, Anhui Provincial Hospital, Hefei, China.; Thoracic Medical Oncology, Zhejiang Cancer Hospital, Hangzhou, China.; Cancer Center, Union Hospital, Tongji Medical College, Huazhong University of  Science and Technology, Wuhan, China.; Pulmonary &amp;amp; Critical Care Medicine, The First Affiliated Hospital, Sun Yat-sen  University, Guangzhou, China.; Respiratory Medicine Department, State Key Laboratory of Respiratory Disease,  National Clinical Research Center for Respiratory Disease, Guangzhou Institute of  Respiratory Health, The First Affiliated Hospital of Guangzhou Medical  University, Guangzhou, China.; Cancer Center, The First Hospital of Jilin University, Changchun, China.; Department of Thoracic Oncology, Beijing Cancer Hospital, Beijing, China.; Department of Head and Neck and Thoracic Medical Oncology, The First People&amp;apos;s  Hospital Of Foshan, Foshan, China.; Oncology Medicine, The First Hospital of China Medical University, Shenyang,  China.; Oncology Department, General Hospital of Northern Theater Command, Shenyang,  China.; 2nd Department of Thoracic Surgery, Yunnan Cancer Hospital, Kunming, China.; Department of Diagnostic Radiology, National Cancer Center, National Clinical  Research Center for Cancer, Cancer Hospital, Chinese Academy of Medical Sciences,  Peking Union Medical College, Beijing, China.; Department of Radiology, Peking Union Medical College Hospital, Chinese Academy  of Medical Sciences, Peking Union Medical College, Beijing, China.; Department of Pulmonary Oncology, The Fifth Medical Centre Chinese PLA General  Hospital, Beijing, China.; Department of Diagnostic Radiology, National Cancer Center, National Clinical  Research Center for Cancer, Cancer Hospital, Chinese Academy of Medical Sciences,  Peking Union Medical College, Beijing, China.; Betta Pharmaceuticals, Hangzhou, China.; Betta Pharmaceuticals, Hangzhou, China.; X-covery Holdings, Palm Beach Gardens, FL, USA.; Betta Pharmaceuticals, Hangzhou, China.; Betta Pharmaceuticals, Hangzhou, China.; Hangzhou Repugene Technology, Hangzhou, China.; Hangzhou Repugene Technology, Hangzhou, China.; Department of Medical Oncology, Sun Yat-sen University Cancer Center, State Key  Laboratory of Oncology in South China, Collaborative Innovation Center for Cancer  Medicine, Guangzhou, China. Electronic address: zhangli@sysucc.org.cn.&lt;/_author_adr&gt;&lt;_collection_scope&gt;SCIE&lt;/_collection_scope&gt;&lt;_created&gt;65294001&lt;/_created&gt;&lt;_date&gt;2020-01-01&lt;/_date&gt;&lt;_date_display&gt;2020 Jan&lt;/_date_display&gt;&lt;_db_updated&gt;PubMed&lt;/_db_updated&gt;&lt;_doi&gt;10.1016/S2213-2600(19)30252-8&lt;/_doi&gt;&lt;_impact_factor&gt; 102.642&lt;/_impact_factor&gt;&lt;_isbn&gt;2213-2619 (Electronic); 2213-2600 (Linking)&lt;/_isbn&gt;&lt;_issue&gt;1&lt;/_issue&gt;&lt;_journal&gt;Lancet Respir Med&lt;/_journal&gt;&lt;_language&gt;eng&lt;/_language&gt;&lt;_modified&gt;65294001&lt;/_modified&gt;&lt;_ori_publication&gt;Copyright (c) 2020 Elsevier Ltd. All rights reserved.&lt;/_ori_publication&gt;&lt;_pages&gt;45-53&lt;/_pages&gt;&lt;_social_category&gt;危重病医学(1) &amp;amp; 呼吸系统(1)&lt;/_social_category&gt;&lt;_subject_headings&gt;Anaplastic Lymphoma Kinase/drug effects; Carcinoma, Non-Small-Cell Lung/*drug therapy; China; Crizotinib/therapeutic use; Female; Humans; Lung Neoplasms/*drug therapy; Male; Neoplasm Metastasis/drug therapy; Piperazines/*administration &amp;amp; dosage/adverse effects/pharmacology; Protein Kinase Inhibitors/*administration &amp;amp; dosage/adverse effects/pharmacology; Pyridazines/*administration &amp;amp; dosage/adverse effects/pharmacology&lt;/_subject_headings&gt;&lt;_tertiary_title&gt;The Lancet. Respiratory medicine&lt;/_tertiary_title&gt;&lt;_type_work&gt;Clinical Trial, Phase II; Journal Article; Multicenter Study; Randomized Controlled Trial; Research Support, Non-U.S. Gov&amp;apos;t&lt;/_type_work&gt;&lt;_url&gt;http://www.ncbi.nlm.nih.gov/entrez/query.fcgi?cmd=Retrieve&amp;amp;db=pubmed&amp;amp;dopt=Abstract&amp;amp;list_uids=31628085&amp;amp;query_hl=1&lt;/_url&gt;&lt;_volume&gt;8&lt;/_volume&gt;&lt;/Details&gt;&lt;Extra&gt;&lt;DBUID&gt;{A96A13AE-8553-4F4D-9468-5E97E276BB62}&lt;/DBUID&gt;&lt;/Extra&gt;&lt;/Item&gt;&lt;/References&gt;&lt;/Group&gt;&lt;/Citation&gt;_x000a_"/>
    <w:docVar w:name="NE.Ref{AC9E22DA-250D-418C-947D-D06C1FE6ECEC}" w:val=" ADDIN NE.Ref.{AC9E22DA-250D-418C-947D-D06C1FE6ECEC}&lt;Citation&gt;&lt;Group&gt;&lt;References&gt;&lt;Item&gt;&lt;ID&gt;3647&lt;/ID&gt;&lt;UID&gt;{A9DF10ED-5FA5-43FB-84A6-152BE82531B2}&lt;/UID&gt;&lt;Title&gt;Serplulimab Plus Chemotherapy vs Chemotherapy for Treatment of US and Chinese  Patients with Extensive-Stage Small-Cell Lung Cancer: A Cost-Effectiveness  Analysis to Inform Drug Pricing&lt;/Title&gt;&lt;Template&gt;Journal Article&lt;/Template&gt;&lt;Star&gt;0&lt;/Star&gt;&lt;Tag&gt;0&lt;/Tag&gt;&lt;Author&gt;Shao, T; Zhao, M; Liang, L; Tang, W&lt;/Author&gt;&lt;Year&gt;2023&lt;/Year&gt;&lt;Details&gt;&lt;_accession_num&gt;36840914&lt;/_accession_num&gt;&lt;_author_adr&gt;Center for Pharmacoeconomics and Outcomes Research, China Pharmaceutical  University, 639 Longmian Road, Jiangning District, Nanjing, 211198, China.; Center for Pharmacoeconomics and Outcomes Research, China Pharmaceutical  University, 639 Longmian Road, Jiangning District, Nanjing, 211198, China.; Center for Pharmacoeconomics and Outcomes Research, China Pharmaceutical  University, 639 Longmian Road, Jiangning District, Nanjing, 211198, China.; Center for Pharmacoeconomics and Outcomes Research, China Pharmaceutical  University, 639 Longmian Road, Jiangning District, Nanjing, 211198, China.  tokammy@cpu.edu.cn.; Department of Public Affairs Management, School of International Pharmaceutical  Business, China Pharmaceutical University, Nanjing, 211198, China.  tokammy@cpu.edu.cn.&lt;/_author_adr&gt;&lt;_date_display&gt;2023 May&lt;/_date_display&gt;&lt;_date&gt;2023-05-01&lt;/_date&gt;&lt;_doi&gt;10.1007/s40259-023-00586-6&lt;/_doi&gt;&lt;_isbn&gt;1179-190X (Electronic); 1173-8804 (Linking)&lt;/_isbn&gt;&lt;_issue&gt;3&lt;/_issue&gt;&lt;_journal&gt;BioDrugs&lt;/_journal&gt;&lt;_language&gt;eng&lt;/_language&gt;&lt;_ori_publication&gt;© 2023. The Author(s), under exclusive licence to Springer Nature Switzerland AG.&lt;/_ori_publication&gt;&lt;_pages&gt;421-432&lt;/_pages&gt;&lt;_subject_headings&gt;Humans; *Antibodies, Monoclonal/therapeutic use; Antineoplastic Combined Chemotherapy Protocols/therapeutic use; Cost-Benefit Analysis; *Cost-Effectiveness Analysis; Drug Costs; *Lung Neoplasms/drug therapy; United States; China; Antineoplastic Agents&lt;/_subject_headings&gt;&lt;_tertiary_title&gt;BioDrugs : clinical immunotherapeutics, biopharmaceuticals and gene therapy&lt;/_tertiary_title&gt;&lt;_type_work&gt;Comparative Study; Journal Article&lt;/_type_work&gt;&lt;_url&gt;http://www.ncbi.nlm.nih.gov/entrez/query.fcgi?cmd=Retrieve&amp;amp;db=pubmed&amp;amp;dopt=Abstract&amp;amp;list_uids=36840914&amp;amp;query_hl=1&lt;/_url&gt;&lt;_volume&gt;37&lt;/_volume&gt;&lt;_created&gt;66161879&lt;/_created&gt;&lt;_modified&gt;66161879&lt;/_modified&gt;&lt;_impact_factor&gt;   6.800&lt;/_impact_factor&gt;&lt;_social_category&gt;免疫学(3) &amp;amp; 肿瘤学(3) &amp;amp; 药学(2)&lt;/_social_category&gt;&lt;_collection_scope&gt;SCIE&lt;/_collection_scope&gt;&lt;_accessed&gt;66161879&lt;/_accessed&gt;&lt;/Details&gt;&lt;Extra&gt;&lt;DBUID&gt;{DE16ABCE-A785-434C-BF43-2FE58866AFDD}&lt;/DBUID&gt;&lt;/Extra&gt;&lt;/Item&gt;&lt;/References&gt;&lt;/Group&gt;&lt;/Citation&gt;_x000a_"/>
    <w:docVar w:name="NE.Ref{AD2FE4A7-D7D3-438F-B7F6-3628D01C56C5}" w:val=" ADDIN NE.Ref.{AD2FE4A7-D7D3-438F-B7F6-3628D01C56C5}&lt;Citation&gt;&lt;Group&gt;&lt;References&gt;&lt;Item&gt;&lt;ID&gt;3642&lt;/ID&gt;&lt;UID&gt;{8A795457-A564-47DA-AE89-217218FBA50B}&lt;/UID&gt;&lt;Title&gt;Cost-Effectiveness Analysis of Five Systemic Treatments for Unresectable  Hepatocellular Carcinoma in China: An Economic Evaluation Based on Network  Meta-Analysis&lt;/Title&gt;&lt;Template&gt;Journal Article&lt;/Template&gt;&lt;Star&gt;0&lt;/Star&gt;&lt;Tag&gt;0&lt;/Tag&gt;&lt;Author&gt;Zhao, M; Pan, X; Yin, Y; Hu, H; Wei, J; Bai, Z; Tang, W&lt;/Author&gt;&lt;Year&gt;2022&lt;/Year&gt;&lt;Details&gt;&lt;_accession_num&gt;35493395&lt;/_accession_num&gt;&lt;_author_adr&gt;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Jiangsu Institute of Cancer Research, Jiangsu Cancer Hospital, The Affiliated  Cancer Hospital of Nanjing Medical University, Nanjing, China.; Jiangsu Institute of Cancer Research, Jiangsu Cancer Hospital, The Affiliated  Cancer Hospital of Nanjing Medical University, Nanjing, China.; Department of Pharmacoeconomics, School of International Pharmaceutical Business,  China Pharmaceutical University, Nanjing, China.; Center for Pharmacoeconomics and Outcomes Research, China Pharmaceutical  University, Nanjing, China.&lt;/_author_adr&gt;&lt;_date_display&gt;2022&lt;/_date_display&gt;&lt;_date&gt;2022-01-20&lt;/_date&gt;&lt;_doi&gt;10.3389/fpubh.2022.869960&lt;/_doi&gt;&lt;_isbn&gt;2296-2565 (Electronic); 2296-2565 (Linking)&lt;/_isbn&gt;&lt;_journal&gt;Front Public Health&lt;/_journal&gt;&lt;_keywords&gt;cost-effectiveness analysis; fractional polynomial; network meta-analysis; partitioned survival; unresectable hepatocellular carcinoma&lt;/_keywords&gt;&lt;_language&gt;eng&lt;/_language&gt;&lt;_ori_publication&gt;Copyright © 2022 Zhao, Pan, Yin, Hu, Wei, Bai and Tang.&lt;/_ori_publication&gt;&lt;_pages&gt;869960&lt;/_pages&gt;&lt;_subject_headings&gt;Bevacizumab/therapeutic use; *Carcinoma, Hepatocellular/drug therapy; Cost-Benefit Analysis; Humans; *Liver Neoplasms/drug therapy; Sorafenib/therapeutic use&lt;/_subject_headings&gt;&lt;_tertiary_title&gt;Frontiers in public health&lt;/_tertiary_title&gt;&lt;_type_work&gt;Journal Article; Network Meta-Analysis; Research Support, Non-U.S. Gov&amp;apos;t&lt;/_type_work&gt;&lt;_url&gt;http://www.ncbi.nlm.nih.gov/entrez/query.fcgi?cmd=Retrieve&amp;amp;db=pubmed&amp;amp;dopt=Abstract&amp;amp;list_uids=35493395&amp;amp;query_hl=1&lt;/_url&gt;&lt;_volume&gt;10&lt;/_volume&gt;&lt;_created&gt;66161872&lt;/_created&gt;&lt;_modified&gt;66161872&lt;/_modified&gt;&lt;_impact_factor&gt;   5.200&lt;/_impact_factor&gt;&lt;_social_category&gt;公共卫生、环境卫生与职业卫生(3)&lt;/_social_category&gt;&lt;_collection_scope&gt;SSCI;SCIE&lt;/_collection_scope&gt;&lt;_accessed&gt;66161872&lt;/_accessed&gt;&lt;/Details&gt;&lt;Extra&gt;&lt;DBUID&gt;{DE16ABCE-A785-434C-BF43-2FE58866AFDD}&lt;/DBUID&gt;&lt;/Extra&gt;&lt;/Item&gt;&lt;/References&gt;&lt;/Group&gt;&lt;/Citation&gt;_x000a_"/>
    <w:docVar w:name="NE.Ref{AD7CF21B-C915-430E-B614-E100BC77FB60}" w:val=" ADDIN NE.Ref.{AD7CF21B-C915-430E-B614-E100BC77FB60}&lt;Citation&gt;&lt;Group&gt;&lt;References&gt;&lt;Item&gt;&lt;ID&gt;3642&lt;/ID&gt;&lt;UID&gt;{8A795457-A564-47DA-AE89-217218FBA50B}&lt;/UID&gt;&lt;Title&gt;Cost-Effectiveness Analysis of Five Systemic Treatments for Unresectable  Hepatocellular Carcinoma in China: An Economic Evaluation Based on Network  Meta-Analysis&lt;/Title&gt;&lt;Template&gt;Journal Article&lt;/Template&gt;&lt;Star&gt;0&lt;/Star&gt;&lt;Tag&gt;0&lt;/Tag&gt;&lt;Author&gt;Zhao, M; Pan, X; Yin, Y; Hu, H; Wei, J; Bai, Z; Tang, W&lt;/Author&gt;&lt;Year&gt;2022&lt;/Year&gt;&lt;Details&gt;&lt;_accession_num&gt;35493395&lt;/_accession_num&gt;&lt;_author_adr&gt;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Jiangsu Institute of Cancer Research, Jiangsu Cancer Hospital, The Affiliated  Cancer Hospital of Nanjing Medical University, Nanjing, China.; Jiangsu Institute of Cancer Research, Jiangsu Cancer Hospital, The Affiliated  Cancer Hospital of Nanjing Medical University, Nanjing, China.; Department of Pharmacoeconomics, School of International Pharmaceutical Business,  China Pharmaceutical University, Nanjing, China.; Center for Pharmacoeconomics and Outcomes Research, China Pharmaceutical  University, Nanjing, China.&lt;/_author_adr&gt;&lt;_date_display&gt;2022&lt;/_date_display&gt;&lt;_date&gt;2022-01-20&lt;/_date&gt;&lt;_doi&gt;10.3389/fpubh.2022.869960&lt;/_doi&gt;&lt;_isbn&gt;2296-2565 (Electronic); 2296-2565 (Linking)&lt;/_isbn&gt;&lt;_journal&gt;Front Public Health&lt;/_journal&gt;&lt;_keywords&gt;cost-effectiveness analysis; fractional polynomial; network meta-analysis; partitioned survival; unresectable hepatocellular carcinoma&lt;/_keywords&gt;&lt;_language&gt;eng&lt;/_language&gt;&lt;_ori_publication&gt;Copyright © 2022 Zhao, Pan, Yin, Hu, Wei, Bai and Tang.&lt;/_ori_publication&gt;&lt;_pages&gt;869960&lt;/_pages&gt;&lt;_subject_headings&gt;Bevacizumab/therapeutic use; *Carcinoma, Hepatocellular/drug therapy; Cost-Benefit Analysis; Humans; *Liver Neoplasms/drug therapy; Sorafenib/therapeutic use&lt;/_subject_headings&gt;&lt;_tertiary_title&gt;Frontiers in public health&lt;/_tertiary_title&gt;&lt;_type_work&gt;Journal Article; Network Meta-Analysis; Research Support, Non-U.S. Gov&amp;apos;t&lt;/_type_work&gt;&lt;_url&gt;http://www.ncbi.nlm.nih.gov/entrez/query.fcgi?cmd=Retrieve&amp;amp;db=pubmed&amp;amp;dopt=Abstract&amp;amp;list_uids=35493395&amp;amp;query_hl=1&lt;/_url&gt;&lt;_volume&gt;10&lt;/_volume&gt;&lt;_created&gt;66161872&lt;/_created&gt;&lt;_modified&gt;66161872&lt;/_modified&gt;&lt;_impact_factor&gt;   5.200&lt;/_impact_factor&gt;&lt;_social_category&gt;公共卫生、环境卫生与职业卫生(3)&lt;/_social_category&gt;&lt;_collection_scope&gt;SSCI;SCIE&lt;/_collection_scope&gt;&lt;_accessed&gt;66161872&lt;/_accessed&gt;&lt;/Details&gt;&lt;Extra&gt;&lt;DBUID&gt;{DE16ABCE-A785-434C-BF43-2FE58866AFDD}&lt;/DBUID&gt;&lt;/Extra&gt;&lt;/Item&gt;&lt;/References&gt;&lt;/Group&gt;&lt;/Citation&gt;_x000a_"/>
    <w:docVar w:name="NE.Ref{AEB253D1-0AE8-478E-B531-9920D2D67DFE}" w:val=" ADDIN NE.Ref.{AEB253D1-0AE8-478E-B531-9920D2D67DFE}&lt;Citation&gt;&lt;Group&gt;&lt;References&gt;&lt;Item&gt;&lt;ID&gt;3649&lt;/ID&gt;&lt;UID&gt;{8FFD87A9-5BC8-41C5-A91D-F141D0FD0275}&lt;/UID&gt;&lt;Title&gt;Cost-Effectiveness Analysis Of Ceritinib And Alectinib Versus Crizotinib In The  Treatment Of Anaplastic Lymphoma Kinase-Positive Advanced Non-Small Cell Lung  Cancer&lt;/Title&gt;&lt;Template&gt;Journal Article&lt;/Template&gt;&lt;Star&gt;0&lt;/Star&gt;&lt;Tag&gt;0&lt;/Tag&gt;&lt;Author&gt;Liu, M; Zhang, L; Huang, Q; Li, N; Zheng, B; Cai, H&lt;/Author&gt;&lt;Year&gt;2019&lt;/Year&gt;&lt;Details&gt;&lt;_accession_num&gt;31749634&lt;/_accession_num&gt;&lt;_author_adr&gt;Department of Pharmacy, Fujian Medical University Union Hospital, Fuzhou, Fujian  Province, People&amp;apos;s Republic of China.; Department of Medical Oncology, Fujian Provincial Cancer Hospital, Fuzhou, Fujian  Province, People&amp;apos;s Republic of China.; College of Pharmacy, Fujian Medical University,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lt;/_author_adr&gt;&lt;_date_display&gt;2019&lt;/_date_display&gt;&lt;_date&gt;2019-01-20&lt;/_date&gt;&lt;_doi&gt;10.2147/CMAR.S223441&lt;/_doi&gt;&lt;_isbn&gt;1179-1322 (Print); 1179-1322 (Electronic); 1179-1322 (Linking)&lt;/_isbn&gt;&lt;_journal&gt;Cancer Manag Res&lt;/_journal&gt;&lt;_keywords&gt;NSCLC; alectinib; ceritinib; cost-effectiveness; crizotinib&lt;/_keywords&gt;&lt;_language&gt;eng&lt;/_language&gt;&lt;_ori_publication&gt;© 2019 Liu et al.&lt;/_ori_publication&gt;&lt;_pages&gt;9195-9202&lt;/_pages&gt;&lt;_tertiary_title&gt;Cancer management and research&lt;/_tertiary_title&gt;&lt;_type_work&gt;Journal Article&lt;/_type_work&gt;&lt;_url&gt;http://www.ncbi.nlm.nih.gov/entrez/query.fcgi?cmd=Retrieve&amp;amp;db=pubmed&amp;amp;dopt=Abstract&amp;amp;list_uids=31749634&amp;amp;query_hl=1&lt;/_url&gt;&lt;_volume&gt;11&lt;/_volume&gt;&lt;_created&gt;66161882&lt;/_created&gt;&lt;_modified&gt;66161882&lt;/_modified&gt;&lt;_impact_factor&gt;   3.300&lt;/_impact_factor&gt;&lt;_social_category&gt;肿瘤学(4)&lt;/_social_category&gt;&lt;_collection_scope&gt;SCIE&lt;/_collection_scope&gt;&lt;_accessed&gt;66161882&lt;/_accessed&gt;&lt;/Details&gt;&lt;Extra&gt;&lt;DBUID&gt;{DE16ABCE-A785-434C-BF43-2FE58866AFDD}&lt;/DBUID&gt;&lt;/Extra&gt;&lt;/Item&gt;&lt;/References&gt;&lt;/Group&gt;&lt;/Citation&gt;_x000a_"/>
    <w:docVar w:name="NE.Ref{AEC88D19-7CD5-413D-9185-B60F7F5D5F7B}" w:val=" ADDIN NE.Ref.{AEC88D19-7CD5-413D-9185-B60F7F5D5F7B}&lt;Citation&gt;&lt;Group&gt;&lt;References&gt;&lt;Item&gt;&lt;ID&gt;1314&lt;/ID&gt;&lt;UID&gt;{39EF0914-5C7E-45E8-ABC5-7FF215093C20}&lt;/UID&gt;&lt;Title&gt;Efficacy and safety of iruplinalkib (WX-0593) in ALK-positive  crizotinib-resistant advanced non-small cell lung cancer patients: a single-arm,  multicenter phase II study (INTELLECT)&lt;/Title&gt;&lt;Template&gt;Journal Article&lt;/Template&gt;&lt;Star&gt;0&lt;/Star&gt;&lt;Tag&gt;0&lt;/Tag&gt;&lt;Author&gt;Shi, Y; Chen, J; Zhang, H; Zhang, Z; Zhang, Y; Wang, Z; Zhang, S; Zhao, J; Liu, C; Wang, X; Zhao, Y; Hu, C; Yang, L; Hao, X; Wang, L; Liu, Y; Yu, Y; Zhao, J; Wang, M; Zhang, L; Sun, S; Hu, Y; Gu, K; Hang, X; Shan, J; Zhang, Y; Tan, B; Yang, W; Yang, R; Si, M; Geng, H; Li, H; Kang, X&lt;/Author&gt;&lt;Year&gt;2023&lt;/Year&gt;&lt;Details&gt;&lt;_accession_num&gt;36829154&lt;/_accession_num&gt;&lt;_author_adr&gt;Department of Medical Oncology, National Cancer Center/National Clinical Research  Center for Cancer/Cancer Hospital, Chinese Academy of Medical Sciences &amp;amp; Peking  Union Medical College, Beijing Key Laboratory of Clinical Study on Anticancer  Molecular Targeted Drugs, Beijing, China. syuankai@cicams.ac.cn.; Thoracic Medicine Department I, Hunan Tumor Hospital, Changsha, China.; Oncology Department, the Second Affiliated Hospital of Air Force Medical  University, Xi&amp;apos;an, China.; Department of Respiratory Oncology, Anhui Provincial Cancer Hospital, Hefei,  China.; Thoracic Medical Oncology, Zhejiang Cancer Hospital, Hangzhou, China.; Respiratory Medical Oncology Ward II, Shandong Provincial Institute of Cancer  Prevention and Treatment, Jinan, China.; Oncology Department II, Beijing Chest Hospital, Capital Medical University,  Beijing, China.; Thoracic Surgery I, Affiliated Cancer Hospital and Institute of Guangzhou Medical  University, Guangzhou, China.; Pulmonary Medicine Ward II, The Affiliated Tumour Hospital of Xingjiang Medical  University, Urumqi, China.; Chemotherapy Department, Qilu Hospital of Shandong University, Jinan, China.; Respiratory Medicine Ward I, The Affiliated Cancer Hospital of Zhengzhou  University &amp;amp; Henan Cancer Hospital, Zhengzhou, China.; Ward IV of Department of Oncology, Anhui Provincial Cancer Hospital, Hefei,  China.; Department of Respiratory Oncology, Gansu Province Cancer Hospital, Lanzhou,  China.; Department of Medical Oncology, National Cancer Center/National Clinical Research  Center for Cancer/Cancer Hospital, Chinese Academy of Medical Sciences &amp;amp; Peking  Union Medical College, Beijing Key Laboratory of Clinical Study on Anticancer  Molecular Targeted Drugs, Beijing, China.; Department of Medical Oncology, National Cancer Center/National Clinical Research  Center for Cancer/Cancer Hospital, Chinese Academy of Medical Sciences &amp;amp; Peking  Union Medical College, Beijing Key Laboratory of Clinical Study on Anticancer  Molecular Targeted Drugs, Beijing, China.; Department of Medical Oncology Ward II, The First Hospital of China Medical  University, Shenyang, China.; Respiratory Medicine Ward III, Harbin Medical University Cancer Hospital, Harbin,  China.; Department of Thoracic Oncology I, Peking University Cancer Hospital, Beijing,  China.; Department of Pulmonary and Critical care Medicine, Peking Union Medical College  Hospital, Chinese Academy of Medical Sciences &amp;amp; Peking Union Medical College,  Beijing, China.; Oncology Department, Yantai Yuhuangding Hospital, Yantai, China.; Department of Medical Oncology, Xuzhou Central Hospital, Xuzhou, China.; Thoracic Oncology (2), Hubei Cancer Hospital, Wuhan, China.; Department of Oncology, the First Affiliated Hospital of Anhui Medical  University, Hefei, China.; Medical Oncology, Affiliated Hospital of Jiangnan University, Wuxi, China.; Oncology Department, Army Medical Center of PLA, Chongqing, China.; Respiratory Department, Nanjing Chest Hospital, Medical School of Southeast  University, Nanjing, China.; Department of Oncology, Affiliated Hospital of North Sichuan Medical college,  Nanchong, China.; Department of Respiratory, Shanxi Provincial Cancer Hospital, Taiyuan, China.; The Second Department of Medical Oncology, Yunnan Cancer Hospital, Kunming,  China.; Clinical Research Center, Qilu Pharmaceutical Co., Ltd., Jinan, China.; Clinical Research Center, Qilu Pharmaceutical Co., Ltd., Jinan, China.; Clinical Research Center, Qilu Pharmaceutical Co., Ltd., Jinan, China.; Clinical Research Center, Qilu Pharmaceutical Co., Ltd., Jinan, China.&lt;/_author_adr&gt;&lt;_collection_scope&gt;SCIE&lt;/_collection_scope&gt;&lt;_created&gt;65321209&lt;/_created&gt;&lt;_date&gt;2023-02-24&lt;/_date&gt;&lt;_date_display&gt;2023 Feb 24&lt;/_date_display&gt;&lt;_db_updated&gt;PubMed&lt;/_db_updated&gt;&lt;_doi&gt;10.1186/s12916-023-02738-5&lt;/_doi&gt;&lt;_impact_factor&gt;  11.150&lt;/_impact_factor&gt;&lt;_isbn&gt;1741-7015 (Electronic); 1741-7015 (Linking)&lt;/_isbn&gt;&lt;_issue&gt;1&lt;/_issue&gt;&lt;_journal&gt;BMC Med&lt;/_journal&gt;&lt;_keywords&gt;Anaplastic lymphoma kinase; Iruplinalkib; Non-small cell lung cancer; Tyrosine kinase inhibitor; WX-0593&lt;/_keywords&gt;&lt;_language&gt;eng&lt;/_language&gt;&lt;_modified&gt;65321209&lt;/_modified&gt;&lt;_ori_publication&gt;(c) 2023. The Author(s).&lt;/_ori_publication&gt;&lt;_pages&gt;72&lt;/_pages&gt;&lt;_social_category&gt;医学：内科(1)&lt;/_social_category&gt;&lt;_subject_headings&gt;Humans; Adolescent; Adult; *Carcinoma, Non-Small-Cell Lung/drug therapy; Crizotinib/therapeutic use; *Lung Neoplasms/drug therapy; Protein-Tyrosine Kinases/therapeutic use; Anaplastic Lymphoma Kinase/therapeutic use; Proto-Oncogene Proteins/therapeutic use; Protein Kinase Inhibitors/therapeutic use&lt;/_subject_headings&gt;&lt;_tertiary_title&gt;BMC medicine&lt;/_tertiary_title&gt;&lt;_type_work&gt;Clinical Trial, Phase II; Journal Article; Multicenter Study; Research Support, Non-U.S. Gov&amp;apos;t&lt;/_type_work&gt;&lt;_url&gt;http://www.ncbi.nlm.nih.gov/entrez/query.fcgi?cmd=Retrieve&amp;amp;db=pubmed&amp;amp;dopt=Abstract&amp;amp;list_uids=36829154&amp;amp;query_hl=1&lt;/_url&gt;&lt;_volume&gt;21&lt;/_volume&gt;&lt;/Details&gt;&lt;Extra&gt;&lt;DBUID&gt;{A96A13AE-8553-4F4D-9468-5E97E276BB62}&lt;/DBUID&gt;&lt;/Extra&gt;&lt;/Item&gt;&lt;/References&gt;&lt;/Group&gt;&lt;/Citation&gt;_x000a_"/>
    <w:docVar w:name="NE.Ref{B1602060-25BE-468A-A843-FE80FC0DA4A7}" w:val=" ADDIN NE.Ref.{B1602060-25BE-468A-A843-FE80FC0DA4A7}&lt;Citation&gt;&lt;Group&gt;&lt;References&gt;&lt;Item&gt;&lt;ID&gt;3629&lt;/ID&gt;&lt;UID&gt;{D1A36C97-2A3A-4345-BEA4-0D8CC21C216B}&lt;/UID&gt;&lt;Title&gt;Updated overall survival and final progression-free survival data for patients  with treatment-naive advanced ALK-positive non-small-cell lung cancer in the ALEX  study&lt;/Title&gt;&lt;Template&gt;Journal Article&lt;/Template&gt;&lt;Star&gt;0&lt;/Star&gt;&lt;Tag&gt;0&lt;/Tag&gt;&lt;Author&gt;Mok, T; Camidge, D R; Gadgeel, S M; Rosell, R; Dziadziuszko, R; Kim, D W; Pérol, M; Ou, S I; Ahn, J S; Shaw, A T; Bordogna, W; Smoljanović, V; Hilton, M; Ruf, T; Noé, J; Peters, S&lt;/Author&gt;&lt;Year&gt;2020&lt;/Year&gt;&lt;Details&gt;&lt;_accession_num&gt;32418886&lt;/_accession_num&gt;&lt;_author_adr&gt;State Key Laboratory of Translational Oncology, Chinese University of Hong Kong,  Shatin, NT, Hong Kong.; University of Colorado, Denver, USA.; Department of Internal Medicine, Rogel Cancer Center/University of Michigan, Ann  Arbor, USA.; Catalan Institute of Oncology, Barcelona, Spain.; Department of Oncology and Radiotherapy, Medical University of Gdansk, Gdansk,  Poland.; Seoul National University Hospital, Seoul, South Korea.; Department of Medical Oncology, Léon Bérard Cancer Center, Lyon, France.; Chao Family Comprehensive Cancer Center, University of California, Irvine, USA.; Samsung Medical Center, Sungkyunkwan University School of Medicine, Seoul, South  Korea.; Massachusetts General Hospital, Boston, USA.; F. Hoffmann-La Roche Ltd, Basel, Switzerland.; F. Hoffmann-La Roche Ltd, Basel, Switzerland.; F. Hoffmann-La Roche Ltd, Basel, Switzerland.; F. Hoffmann-La Roche Ltd, Basel, Switzerland.; F. Hoffmann-La Roche Ltd, Basel, Switzerland.; Lausanne University Hospital, Centre Hospitalier Universitaire Vaudois (CHUV),  Lausanne, Switzerland. Electronic address: solange.peters@chuv.ch.&lt;/_author_adr&gt;&lt;_date_display&gt;2020 Aug&lt;/_date_display&gt;&lt;_date&gt;2020-08-01&lt;/_date&gt;&lt;_doi&gt;10.1016/j.annonc.2020.04.478&lt;/_doi&gt;&lt;_isbn&gt;1569-8041 (Electronic); 0923-7534 (Linking)&lt;/_isbn&gt;&lt;_issue&gt;8&lt;/_issue&gt;&lt;_journal&gt;Ann Oncol&lt;/_journal&gt;&lt;_keywords&gt;ALK-positive; alectinib; crizotinib; non-small-cell lung cancer; overall survival; progression-free survival&lt;/_keywords&gt;&lt;_language&gt;eng&lt;/_language&gt;&lt;_ori_publication&gt;Copyright © 2020 The Authors. Published by Elsevier Ltd.. All rights reserved.&lt;/_ori_publication&gt;&lt;_pages&gt;1056-1064&lt;/_pages&gt;&lt;_subject_headings&gt;Anaplastic Lymphoma Kinase/genetics; *Carcinoma, Non-Small-Cell Lung/drug therapy/genetics; *Crizotinib/therapeutic use; Humans; *Lung Neoplasms/drug therapy/genetics; Progression-Free Survival; Protein Kinase Inhibitors/therapeutic use&lt;/_subject_headings&gt;&lt;_tertiary_title&gt;Annals of oncology : official journal of the European Society for Medical _x000d__x000a_      Oncology&lt;/_tertiary_title&gt;&lt;_type_work&gt;Journal Article; Randomized Controlled Trial; Research Support, Non-U.S. Gov&amp;apos;t&lt;/_type_work&gt;&lt;_url&gt;http://www.ncbi.nlm.nih.gov/entrez/query.fcgi?cmd=Retrieve&amp;amp;db=pubmed&amp;amp;dopt=Abstract&amp;amp;list_uids=32418886&amp;amp;query_hl=1&lt;/_url&gt;&lt;_volume&gt;31&lt;/_volume&gt;&lt;_created&gt;66161855&lt;/_created&gt;&lt;_modified&gt;66161855&lt;/_modified&gt;&lt;_impact_factor&gt;  50.500&lt;/_impact_factor&gt;&lt;_social_category&gt;肿瘤学(1)&lt;/_social_category&gt;&lt;_collection_scope&gt;SCIE&lt;/_collection_scope&gt;&lt;_accessed&gt;66161855&lt;/_accessed&gt;&lt;/Details&gt;&lt;Extra&gt;&lt;DBUID&gt;{DE16ABCE-A785-434C-BF43-2FE58866AFDD}&lt;/DBUID&gt;&lt;/Extra&gt;&lt;/Item&gt;&lt;/References&gt;&lt;/Group&gt;&lt;/Citation&gt;_x000a_"/>
    <w:docVar w:name="NE.Ref{B2681283-91BD-4CFB-84A4-E7EBE8697EA2}" w:val=" ADDIN NE.Ref.{B2681283-91BD-4CFB-84A4-E7EBE8697EA2}&lt;Citation&gt;&lt;Group&gt;&lt;References&gt;&lt;Item&gt;&lt;ID&gt;3641&lt;/ID&gt;&lt;UID&gt;{4BC09D59-2D66-4150-83C1-9C64BF7FF171}&lt;/UID&gt;&lt;Title&gt;Cost-Effectiveness of 12 First-Line Treatments for Patients With Advanced EGFR  Mutated NSCLC in the United Kingdom and China&lt;/Title&gt;&lt;Template&gt;Journal Article&lt;/Template&gt;&lt;Star&gt;0&lt;/Star&gt;&lt;Tag&gt;0&lt;/Tag&gt;&lt;Author&gt;Guan, H; Wang, C; Chen, C; Han, S; Zhao, Z&lt;/Author&gt;&lt;Year&gt;2022&lt;/Year&gt;&lt;Details&gt;&lt;_accession_num&gt;35785198&lt;/_accession_num&gt;&lt;_author_adr&gt;Department of Pharmacy, Beijing Tiantan Hospital, Capital Medical University,  Beijing, China.; China Center for Health Economic Research, Peking University, Beijing, China.; International Research Center for Medicinal Administration, Peking University,  Beijing, China.; China Center for Health Economic Research, Peking University, Beijing, China.; Department of Global Health, School of Public Health, Wuhan University, Wuhan,  China.; International Research Center for Medicinal Administration, Peking University,  Beijing, China.; Department of Pharmacy, Beijing Tiantan Hospital, Capital Medical University,  Beijing, China.&lt;/_author_adr&gt;&lt;_date_display&gt;2022&lt;/_date_display&gt;&lt;_date&gt;2022-01-20&lt;/_date&gt;&lt;_doi&gt;10.3389/fonc.2022.819674&lt;/_doi&gt;&lt;_isbn&gt;2234-943X (Print); 2234-943X (Electronic); 2234-943X (Linking)&lt;/_isbn&gt;&lt;_journal&gt;Front Oncol&lt;/_journal&gt;&lt;_keywords&gt;China; cost-effectiveness; epidermal growth factor receptor; non-small cell lung cancer; the United Kingdom&lt;/_keywords&gt;&lt;_language&gt;eng&lt;/_language&gt;&lt;_ori_publication&gt;Copyright © 2022 Guan, Wang, Chen, Han and Zhao.&lt;/_ori_publication&gt;&lt;_pages&gt;819674&lt;/_pages&gt;&lt;_tertiary_title&gt;Frontiers in oncology&lt;/_tertiary_title&gt;&lt;_type_work&gt;Journal Article&lt;/_type_work&gt;&lt;_url&gt;http://www.ncbi.nlm.nih.gov/entrez/query.fcgi?cmd=Retrieve&amp;amp;db=pubmed&amp;amp;dopt=Abstract&amp;amp;list_uids=35785198&amp;amp;query_hl=1&lt;/_url&gt;&lt;_volume&gt;12&lt;/_volume&gt;&lt;_created&gt;66161870&lt;/_created&gt;&lt;_modified&gt;66161870&lt;/_modified&gt;&lt;_impact_factor&gt;   4.700&lt;/_impact_factor&gt;&lt;_social_category&gt;肿瘤学(3)&lt;/_social_category&gt;&lt;_collection_scope&gt;SCIE&lt;/_collection_scope&gt;&lt;_accessed&gt;66161870&lt;/_accessed&gt;&lt;/Details&gt;&lt;Extra&gt;&lt;DBUID&gt;{DE16ABCE-A785-434C-BF43-2FE58866AFDD}&lt;/DBUID&gt;&lt;/Extra&gt;&lt;/Item&gt;&lt;/References&gt;&lt;/Group&gt;&lt;/Citation&gt;_x000a_"/>
    <w:docVar w:name="NE.Ref{B3009969-3BE5-4B13-8CD8-B02B990FAB05}" w:val=" ADDIN NE.Ref.{B3009969-3BE5-4B13-8CD8-B02B990FAB05}&lt;Citation&gt;&lt;Group&gt;&lt;References&gt;&lt;Item&gt;&lt;ID&gt;3648&lt;/ID&gt;&lt;UID&gt;{4DFDA544-8E51-47E1-9CD1-206C9534FCCE}&lt;/UID&gt;&lt;Title&gt;Pembrolizumab vs cemiplimab for the treatment of advanced non-small cell lung  cancer with PD-L1 expression levels of at least 50%: A network meta-analysis and  cost-effectiveness analysis&lt;/Title&gt;&lt;Template&gt;Journal Article&lt;/Template&gt;&lt;Star&gt;0&lt;/Star&gt;&lt;Tag&gt;0&lt;/Tag&gt;&lt;Author&gt;Li, Y; Liang, X; Yang, T; Guo, S; Chen, X&lt;/Author&gt;&lt;Year&gt;2022&lt;/Year&gt;&lt;Details&gt;&lt;_accession_num&gt;36226060&lt;/_accession_num&gt;&lt;_author_adr&gt;Department of Pharmacy, The People&amp;apos;s Hospital of Guangxi Zhuang Autonomous  Region, Nanning, China.; Department of Pharmacy, The People&amp;apos;s Hospital of Guangxi Zhuang Autonomous  Region, Nanning, China.; Department of Pharmacy, The People&amp;apos;s Hospital of Guangxi Zhuang Autonomous  Region, Nanning, China.; School of Pharmaceutical Sciences, Guangxi Medical University, Nanning, China.; Department of Pharmacy, The People&amp;apos;s Hospital of Guangxi Zhuang Autonomous  Region, Nanning, China.; Department of Pharmacy, The People&amp;apos;s Hospital of Guangxi Zhuang Autonomous  Region, Nanning, China.&lt;/_author_adr&gt;&lt;_date_display&gt;2022&lt;/_date_display&gt;&lt;_date&gt;2022-01-20&lt;/_date&gt;&lt;_doi&gt;10.3389/fonc.2022.878054&lt;/_doi&gt;&lt;_isbn&gt;2234-943X (Print); 2234-943X (Electronic); 2234-943X (Linking)&lt;/_isbn&gt;&lt;_journal&gt;Front Oncol&lt;/_journal&gt;&lt;_keywords&gt;cemiplimab; cost-effectiveness; network meta-analysis; non-small lung cancer; pembrolizumab&lt;/_keywords&gt;&lt;_language&gt;eng&lt;/_language&gt;&lt;_ori_publication&gt;Copyright © 2022 Li, Liang, Yang, Guo and Chen.&lt;/_ori_publication&gt;&lt;_pages&gt;878054&lt;/_pages&gt;&lt;_tertiary_title&gt;Frontiers in oncology&lt;/_tertiary_title&gt;&lt;_type_work&gt;Journal Article&lt;/_type_work&gt;&lt;_url&gt;http://www.ncbi.nlm.nih.gov/entrez/query.fcgi?cmd=Retrieve&amp;amp;db=pubmed&amp;amp;dopt=Abstract&amp;amp;list_uids=36226060&amp;amp;query_hl=1&lt;/_url&gt;&lt;_volume&gt;12&lt;/_volume&gt;&lt;_created&gt;66161880&lt;/_created&gt;&lt;_modified&gt;66161880&lt;/_modified&gt;&lt;_impact_factor&gt;   4.700&lt;/_impact_factor&gt;&lt;_social_category&gt;肿瘤学(3)&lt;/_social_category&gt;&lt;_collection_scope&gt;SCIE&lt;/_collection_scope&gt;&lt;_accessed&gt;66161880&lt;/_accessed&gt;&lt;/Details&gt;&lt;Extra&gt;&lt;DBUID&gt;{DE16ABCE-A785-434C-BF43-2FE58866AFDD}&lt;/DBUID&gt;&lt;/Extra&gt;&lt;/Item&gt;&lt;/References&gt;&lt;/Group&gt;&lt;/Citation&gt;_x000a_"/>
    <w:docVar w:name="NE.Ref{B3D2148E-2EA2-4D6F-B49F-7E42DDF0105B}" w:val=" ADDIN NE.Ref.{B3D2148E-2EA2-4D6F-B49F-7E42DDF0105B}&lt;Citation&gt;&lt;Group&gt;&lt;References&gt;&lt;Item&gt;&lt;ID&gt;3640&lt;/ID&gt;&lt;UID&gt;{32032E3F-9C47-44E6-9C2A-2D9367C21E18}&lt;/UID&gt;&lt;Title&gt;Brigatinib Versus Crizotinib in ALK Inhibitor-Naive Advanced ALK-Positive NSCLC:  Final Results of Phase 3 ALTA-1L Trial&lt;/Title&gt;&lt;Template&gt;Journal Article&lt;/Template&gt;&lt;Star&gt;0&lt;/Star&gt;&lt;Tag&gt;0&lt;/Tag&gt;&lt;Author&gt;Camidge, D R; Kim, H R; Ahn, M J; Yang, JCH; Han, J Y; Hochmair, M J; Lee, K H; Delmonte, A; Garcia, Campelo MR; Kim, D W; Griesinger, F; Felip, E; Califano, R; Spira, A I; Gettinger, S N; Tiseo, M; Lin, H M; Liu, Y; Vranceanu, F; Niu, H; Zhang, P; Popat, S&lt;/Author&gt;&lt;Year&gt;2021&lt;/Year&gt;&lt;Details&gt;&lt;_accession_num&gt;34537440&lt;/_accession_num&gt;&lt;_author_adr&gt;Department of Medicine, University of Colorado Cancer Center, Aurora, Colorado.  Electronic address: ross.camidge@cuanschutz.edu.; Division of Medical Oncology, Department of Internal Medicine, Yonsei Cancer  Center, Yonsei University College of Medicine, Seoul, South Korea.; Division of Hematology-Oncology, Samsung Medical Center, Seoul, South Korea.; Department of Medical Oncology, National Taiwan University Cancer Center, Taipei,  Taiwan.; Department of Precision Medicine, National Cancer Center, Gyeonggi, South Korea.; Department of Respiratory and Critical Care Medicine, Karl Landsteiner Institute  of Lung Research and Pulmonary Oncology, Vienna, Austria.; Internal Medicine Department, Chungbuk National University Hospital, Chungbuk,  South Korea.; Department of Medical Oncology, Istituto Romagnolo per lo Studio dei Tumori &amp;quot;Dino  Amadori&amp;quot; (IRST) Istituto di Ricovero e Cura a Carattere Scientifico (IRCCS),  Meldola, Italy.; Department of Medical Oncology, Complejo Hospitalario Universitario A Coruña  (CHUAC), University Hospital A Coruña, A Coruña, Spain.; Department of Internal Medicine, Seoul National University Hospital, Seoul  National University College of Medicine, Seoul, South Korea.; Department of Hematology and Oncology, Pius-Hospital Oldenburg, University of  Oldenburg, Oldenburg, Germany.; Vall d&amp;apos;Hebron Institute of Oncology, Vall d&amp;apos;Hebron University Hospital,  Barcelona, Spain.; Department of Medical Oncology, The Christie NHS Foundation Trust, Manchester,  United Kingdom; Department of Medical Oncology, Division of Cancer Sciences, The  University of Manchester, Manchester, England, United Kingdom.; Department of Medical Oncology, Virginia Cancer Specialists, US Oncology  Research, Fairfax, Virginia.; Department of Medical Oncology, Yale Cancer Center, New Haven, Connecticut.; Department of Medicine and Surgery, University Hospital of Parma, Parma, Italy.; Global Evidence and Outcome, Millennium Pharmaceuticals, Inc., a wholly-owned  subsidiary of Takeda Pharmaceutical Company Limited, Cambridge, Massachusetts.; Oncology Statistics, Millennium Pharmaceuticals, Inc., a wholly-owned subsidiary  of Takeda Pharmaceutical Company Limited, Cambridge, Massachusetts.; Clinical Science, Millennium Pharmaceuticals, Inc., a wholly-owned subsidiary of  Takeda Pharmaceutical Company Limited, Cambridge, Massachusetts.; Oncology Translational Sciences, Millennium Pharmaceuticals, Inc., a wholly-owned  subsidiary of Takeda Pharmaceutical Company Limited, Cambridge, Massachusetts.; Oncology Clinical Research, Millennium Pharmaceuticals, Inc., a wholly-owned  subsidiary of Takeda Pharmaceutical Company Limited, Cambridge, Massachusetts.; Royal Marsden Hospital, London, United Kingdom.&lt;/_author_adr&gt;&lt;_date_display&gt;2021 Dec&lt;/_date_display&gt;&lt;_date&gt;2021-12-01&lt;/_date&gt;&lt;_doi&gt;10.1016/j.jtho.2021.07.035&lt;/_doi&gt;&lt;_isbn&gt;1556-1380 (Electronic); 1556-0864 (Linking)&lt;/_isbn&gt;&lt;_issue&gt;12&lt;/_issue&gt;&lt;_journal&gt;J Thorac Oncol&lt;/_journal&gt;&lt;_keywords&gt;ALK tyrosine kinase inhibitor; Anaplastic lymphoma kinase; Brigatinib; Crizotinib; Non–small cell lung cancer&lt;/_keywords&gt;&lt;_language&gt;eng&lt;/_language&gt;&lt;_ori_publication&gt;Copyright © 2021 International Association for the Study of Lung Cancer. _x000d__x000a_      Published by Elsevier Inc. All rights reserved.&lt;/_ori_publication&gt;&lt;_pages&gt;2091-2108&lt;/_pages&gt;&lt;_subject_headings&gt;Anaplastic Lymphoma Kinase/genetics; Crizotinib/therapeutic use; Humans; *Lung Neoplasms/drug therapy/genetics; Organophosphorus Compounds; Protein Kinase Inhibitors/therapeutic use; Pyrimidines/therapeutic use&lt;/_subject_headings&gt;&lt;_tertiary_title&gt;Journal of thoracic oncology : official publication of the International _x000d__x000a_      Association for the Study of Lung Cancer&lt;/_tertiary_title&gt;&lt;_type_work&gt;Journal Article; Randomized Controlled Trial; Research Support, Non-U.S. Gov&amp;apos;t&lt;/_type_work&gt;&lt;_url&gt;http://www.ncbi.nlm.nih.gov/entrez/query.fcgi?cmd=Retrieve&amp;amp;db=pubmed&amp;amp;dopt=Abstract&amp;amp;list_uids=34537440&amp;amp;query_hl=1&lt;/_url&gt;&lt;_volume&gt;16&lt;/_volume&gt;&lt;_created&gt;66161862&lt;/_created&gt;&lt;_modified&gt;66161862&lt;/_modified&gt;&lt;_impact_factor&gt;  20.400&lt;/_impact_factor&gt;&lt;_social_category&gt;肿瘤学(1) &amp;amp; 呼吸系统(1)&lt;/_social_category&gt;&lt;_collection_scope&gt;SCIE&lt;/_collection_scope&gt;&lt;_accessed&gt;66161862&lt;/_accessed&gt;&lt;/Details&gt;&lt;Extra&gt;&lt;DBUID&gt;{DE16ABCE-A785-434C-BF43-2FE58866AFDD}&lt;/DBUID&gt;&lt;/Extra&gt;&lt;/Item&gt;&lt;/References&gt;&lt;/Group&gt;&lt;/Citation&gt;_x000a_"/>
    <w:docVar w:name="NE.Ref{B4278047-0A78-4F3E-A4C9-28AA23733DB6}" w:val=" ADDIN NE.Ref.{B4278047-0A78-4F3E-A4C9-28AA23733DB6}&lt;Citation&gt;&lt;Group&gt;&lt;References&gt;&lt;Item&gt;&lt;ID&gt;3619&lt;/ID&gt;&lt;UID&gt;{9BA6C9B1-56AF-4A9B-9CE5-5417C2FB0477}&lt;/UID&gt;&lt;Title&gt;Efficacy and safety of iruplinalkib (WX-0593) in ALK-positive  crizotinib-resistant advanced non-small cell lung cancer patients: a single-arm,  multicenter phase II study (INTELLECT)&lt;/Title&gt;&lt;Template&gt;Journal Article&lt;/Template&gt;&lt;Star&gt;0&lt;/Star&gt;&lt;Tag&gt;0&lt;/Tag&gt;&lt;Author&gt;Shi, Y; Chen, J; Zhang, H; Zhang, Z; Zhang, Y; Wang, Z; Zhang, S; Zhao, J; Liu, C; Wang, X; Zhao, Y; Hu, C; Yang, L; Hao, X; Wang, L; Liu, Y; Yu, Y; Zhao, J; Wang, M; Zhang, L; Sun, S; Hu, Y; Gu, K; Hang, X; Shan, J; Zhang, Y; Tan, B; Yang, W; Yang, R; Si, M; Geng, H; Li, H; Kang, X&lt;/Author&gt;&lt;Year&gt;2023&lt;/Year&gt;&lt;Details&gt;&lt;_accession_num&gt;36829154&lt;/_accession_num&gt;&lt;_author_adr&gt;Department of Medical Oncology, National Cancer Center/National Clinical Research  Center for Cancer/Cancer Hospital, Chinese Academy of Medical Sciences &amp;amp; Peking  Union Medical College, Beijing Key Laboratory of Clinical Study on Anticancer  Molecular Targeted Drugs, Beijing, China. syuankai@cicams.ac.cn.; Thoracic Medicine Department I, Hunan Tumor Hospital, Changsha, China.; Oncology Department, the Second Affiliated Hospital of Air Force Medical  University, Xi&amp;apos;an, China.; Department of Respiratory Oncology, Anhui Provincial Cancer Hospital, Hefei,  China.; Thoracic Medical Oncology, Zhejiang Cancer Hospital, Hangzhou, China.; Respiratory Medical Oncology Ward II, Shandong Provincial Institute of Cancer  Prevention and Treatment, Jinan, China.; Oncology Department II, Beijing Chest Hospital, Capital Medical University,  Beijing, China.; Thoracic Surgery I, Affiliated Cancer Hospital and Institute of Guangzhou Medical  University, Guangzhou, China.; Pulmonary Medicine Ward II, The Affiliated Tumour Hospital of Xingjiang Medical  University, Urumqi, China.; Chemotherapy Department, Qilu Hospital of Shandong University, Jinan, China.; Respiratory Medicine Ward I, The Affiliated Cancer Hospital of Zhengzhou  University &amp;amp; Henan Cancer Hospital, Zhengzhou, China.; Ward IV of Department of Oncology, Anhui Provincial Cancer Hospital, Hefei,  China.; Department of Respiratory Oncology, Gansu Province Cancer Hospital, Lanzhou,  China.; Department of Medical Oncology, National Cancer Center/National Clinical Research  Center for Cancer/Cancer Hospital, Chinese Academy of Medical Sciences &amp;amp; Peking  Union Medical College, Beijing Key Laboratory of Clinical Study on Anticancer  Molecular Targeted Drugs, Beijing, China.; Department of Medical Oncology, National Cancer Center/National Clinical Research  Center for Cancer/Cancer Hospital, Chinese Academy of Medical Sciences &amp;amp; Peking  Union Medical College, Beijing Key Laboratory of Clinical Study on Anticancer  Molecular Targeted Drugs, Beijing, China.; Department of Medical Oncology Ward II, The First Hospital of China Medical  University, Shenyang, China.; Respiratory Medicine Ward III, Harbin Medical University Cancer Hospital, Harbin,  China.; Department of Thoracic Oncology I, Peking University Cancer Hospital, Beijing,  China.; Department of Pulmonary and Critical care Medicine, Peking Union Medical College  Hospital, Chinese Academy of Medical Sciences &amp;amp; Peking Union Medical College,  Beijing, China.; Oncology Department, Yantai Yuhuangding Hospital, Yantai, China.; Department of Medical Oncology, Xuzhou Central Hospital, Xuzhou, China.; Thoracic Oncology (2), Hubei Cancer Hospital, Wuhan, China.; Department of Oncology, the First Affiliated Hospital of Anhui Medical  University, Hefei, China.; Medical Oncology, Affiliated Hospital of Jiangnan University, Wuxi, China.; Oncology Department, Army Medical Center of PLA, Chongqing, China.; Respiratory Department, Nanjing Chest Hospital, Medical School of Southeast  University, Nanjing, China.; Department of Oncology, Affiliated Hospital of North Sichuan Medical college,  Nanchong, China.; Department of Respiratory, Shanxi Provincial Cancer Hospital, Taiyuan, China.; The Second Department of Medical Oncology, Yunnan Cancer Hospital, Kunming,  China.; Clinical Research Center, Qilu Pharmaceutical Co., Ltd., Jinan, China.; Clinical Research Center, Qilu Pharmaceutical Co., Ltd., Jinan, China.; Clinical Research Center, Qilu Pharmaceutical Co., Ltd., Jinan, China.; Clinical Research Center, Qilu Pharmaceutical Co., Ltd., Jinan, China.&lt;/_author_adr&gt;&lt;_date_display&gt;2023 Feb 24&lt;/_date_display&gt;&lt;_date&gt;2023-02-24&lt;/_date&gt;&lt;_doi&gt;10.1186/s12916-023-02738-5&lt;/_doi&gt;&lt;_isbn&gt;1741-7015 (Electronic); 1741-7015 (Linking)&lt;/_isbn&gt;&lt;_issue&gt;1&lt;/_issue&gt;&lt;_journal&gt;BMC Med&lt;/_journal&gt;&lt;_keywords&gt;Anaplastic lymphoma kinase; Iruplinalkib; Non-small cell lung cancer; Tyrosine kinase inhibitor; WX-0593&lt;/_keywords&gt;&lt;_language&gt;eng&lt;/_language&gt;&lt;_ori_publication&gt;© 2023. The Author(s).&lt;/_ori_publication&gt;&lt;_pages&gt;72&lt;/_pages&gt;&lt;_subject_headings&gt;Humans; Adolescent; Adult; *Carcinoma, Non-Small-Cell Lung/drug therapy; Crizotinib/therapeutic use; *Lung Neoplasms/drug therapy; Protein-Tyrosine Kinases/therapeutic use; Anaplastic Lymphoma Kinase/therapeutic use; Proto-Oncogene Proteins/therapeutic use; Protein Kinase Inhibitors/therapeutic use&lt;/_subject_headings&gt;&lt;_tertiary_title&gt;BMC medicine&lt;/_tertiary_title&gt;&lt;_type_work&gt;Clinical Trial, Phase II; Journal Article; Multicenter Study; Research Support, Non-U.S. Gov&amp;apos;t&lt;/_type_work&gt;&lt;_url&gt;http://www.ncbi.nlm.nih.gov/entrez/query.fcgi?cmd=Retrieve&amp;amp;db=pubmed&amp;amp;dopt=Abstract&amp;amp;list_uids=36829154&amp;amp;query_hl=1&lt;/_url&gt;&lt;_volume&gt;21&lt;/_volume&gt;&lt;_created&gt;66161847&lt;/_created&gt;&lt;_modified&gt;66161847&lt;/_modified&gt;&lt;_impact_factor&gt;   9.300&lt;/_impact_factor&gt;&lt;_social_category&gt;医学：内科(1)&lt;/_social_category&gt;&lt;_collection_scope&gt;SCIE&lt;/_collection_scope&gt;&lt;_accessed&gt;66161848&lt;/_accessed&gt;&lt;/Details&gt;&lt;Extra&gt;&lt;DBUID&gt;{DE16ABCE-A785-434C-BF43-2FE58866AFDD}&lt;/DBUID&gt;&lt;/Extra&gt;&lt;/Item&gt;&lt;/References&gt;&lt;/Group&gt;&lt;/Citation&gt;_x000a_"/>
    <w:docVar w:name="NE.Ref{B442C0FE-1CF5-49E9-BB1F-DCFCAC4861A9}" w:val=" ADDIN NE.Ref.{B442C0FE-1CF5-49E9-BB1F-DCFCAC4861A9}&lt;Citation&gt;&lt;Group&gt;&lt;References&gt;&lt;Item&gt;&lt;ID&gt;3617&lt;/ID&gt;&lt;UID&gt;{C11C2AAF-AF4A-4A84-B5E8-97B0424BB144}&lt;/UID&gt;&lt;Title&gt;Phase 1/2 study of ceritinib in Chinese patients with advanced anaplastic  lymphoma kinase-rearranged non-small cell lung cancer previously treated with  crizotinib: Results from ASCEND-6&lt;/Title&gt;&lt;Template&gt;Journal Article&lt;/Template&gt;&lt;Star&gt;0&lt;/Star&gt;&lt;Tag&gt;0&lt;/Tag&gt;&lt;Author&gt;Wu, Y L; Shi, Y; Tan, DSW; Xiaoqing, L; Cheng, Y; Zhou, J; An, T T; Lu, Y; Zhu, B; Bai, C; Passos, V Q; Lau, Y Y; Xun, L; Zhang, L&lt;/Author&gt;&lt;Year&gt;2020&lt;/Year&gt;&lt;Details&gt;&lt;_accession_num&gt;33249379&lt;/_accession_num&gt;&lt;_author_adr&gt;Guangdong Lung Cancer Institute, Guangdong Provincial People&amp;apos;s Hospital and  Guangdong Academy of Medical Sciences, Guangzhou, China. Electronic address:  syylwu@live.cn.; National Cancer Center/National Clinical Research Center for Cancer/Cancer  Hospital, Chinese Academy of Medical Sciences and Peking Union Medical College,  Beijing, China.; National Cancer Center Singapore, Singapore.; Cancer Center, 307 Hospital of the Academy of Military Medical Sciences, Beijing,  China.; Jilin Province Cancer Hospital, Changchun, China.; The First Affiliated Hospital, College of Medicine, Zhejiang University,  Hangzhou, China.; Beijing Cancer Hospital, Beijing, China.; West China Hospital, Sichuan University, Chengdu, China.; Xinqiao Hospital, Third Military Medical University, Chongqing, China.; Shanghai Respiratory Research Institute, Shanghai, China.; Novartis Pharmaceuticals Corporation, East Hanover, NJ, USA.; Novartis Pharmaceuticals Corporation, East Hanover, NJ, USA.; Beijing Novartis Pharma Co., Ltd, Beijing, China.; Sun Yat-Sen University Cancer Center, Guangzhou, China.&lt;/_author_adr&gt;&lt;_date_display&gt;2020 Dec&lt;/_date_display&gt;&lt;_date&gt;2020-12-01&lt;/_date&gt;&lt;_doi&gt;10.1016/j.lungcan.2020.10.024&lt;/_doi&gt;&lt;_isbn&gt;1872-8332 (Electronic); 0169-5002 (Linking)&lt;/_isbn&gt;&lt;_journal&gt;Lung Cancer&lt;/_journal&gt;&lt;_keywords&gt;ALK inhibitor; Brain metastasis; Chemotherapy; NSCLC; Pharmacokinetics; Safety&lt;/_keywords&gt;&lt;_language&gt;eng&lt;/_language&gt;&lt;_ori_publication&gt;Copyright © 2020. Published by Elsevier B.V.&lt;/_ori_publication&gt;&lt;_pages&gt;240-246&lt;/_pages&gt;&lt;_subject_headings&gt;Adult; Anaplastic Lymphoma Kinase/genetics; *Antineoplastic Agents/therapeutic use; *Carcinoma, Non-Small-Cell Lung/drug therapy/genetics; China; Crizotinib/therapeutic use; Humans; *Lung Neoplasms/drug therapy/genetics; Neoplasm Recurrence, Local; *Pharmaceutical Preparations; Protein Kinase Inhibitors/therapeutic use; Pyrimidines; Receptor Protein-Tyrosine Kinases/genetics/therapeutic use; Sulfones&lt;/_subject_headings&gt;&lt;_tertiary_title&gt;Lung cancer (Amsterdam, Netherlands)&lt;/_tertiary_title&gt;&lt;_type_work&gt;Clinical Trial, Phase I; Clinical Trial, Phase II; Journal Article; Research Support, Non-U.S. Gov&amp;apos;t&lt;/_type_work&gt;&lt;_url&gt;http://www.ncbi.nlm.nih.gov/entrez/query.fcgi?cmd=Retrieve&amp;amp;db=pubmed&amp;amp;dopt=Abstract&amp;amp;list_uids=33249379&amp;amp;query_hl=1&lt;/_url&gt;&lt;_volume&gt;150&lt;/_volume&gt;&lt;_created&gt;66161846&lt;/_created&gt;&lt;_modified&gt;66161846&lt;/_modified&gt;&lt;_impact_factor&gt;   5.300&lt;/_impact_factor&gt;&lt;_social_category&gt;肿瘤学(2) &amp;amp; 呼吸系统(2)&lt;/_social_category&gt;&lt;_collection_scope&gt;SCIE&lt;/_collection_scope&gt;&lt;_accessed&gt;66161846&lt;/_accessed&gt;&lt;/Details&gt;&lt;Extra&gt;&lt;DBUID&gt;{DE16ABCE-A785-434C-BF43-2FE58866AFDD}&lt;/DBUID&gt;&lt;/Extra&gt;&lt;/Item&gt;&lt;/References&gt;&lt;/Group&gt;&lt;/Citation&gt;_x000a_"/>
    <w:docVar w:name="NE.Ref{BC4961A6-861C-45A1-BA01-901B788D817D}" w:val=" ADDIN NE.Ref.{BC4961A6-861C-45A1-BA01-901B788D817D}&lt;Citation&gt;&lt;Group&gt;&lt;References&gt;&lt;Item&gt;&lt;ID&gt;3641&lt;/ID&gt;&lt;UID&gt;{4BC09D59-2D66-4150-83C1-9C64BF7FF171}&lt;/UID&gt;&lt;Title&gt;Cost-Effectiveness of 12 First-Line Treatments for Patients With Advanced EGFR  Mutated NSCLC in the United Kingdom and China&lt;/Title&gt;&lt;Template&gt;Journal Article&lt;/Template&gt;&lt;Star&gt;0&lt;/Star&gt;&lt;Tag&gt;0&lt;/Tag&gt;&lt;Author&gt;Guan, H; Wang, C; Chen, C; Han, S; Zhao, Z&lt;/Author&gt;&lt;Year&gt;2022&lt;/Year&gt;&lt;Details&gt;&lt;_accession_num&gt;35785198&lt;/_accession_num&gt;&lt;_author_adr&gt;Department of Pharmacy, Beijing Tiantan Hospital, Capital Medical University,  Beijing, China.; China Center for Health Economic Research, Peking University, Beijing, China.; International Research Center for Medicinal Administration, Peking University,  Beijing, China.; China Center for Health Economic Research, Peking University, Beijing, China.; Department of Global Health, School of Public Health, Wuhan University, Wuhan,  China.; International Research Center for Medicinal Administration, Peking University,  Beijing, China.; Department of Pharmacy, Beijing Tiantan Hospital, Capital Medical University,  Beijing, China.&lt;/_author_adr&gt;&lt;_date_display&gt;2022&lt;/_date_display&gt;&lt;_date&gt;2022-01-20&lt;/_date&gt;&lt;_doi&gt;10.3389/fonc.2022.819674&lt;/_doi&gt;&lt;_isbn&gt;2234-943X (Print); 2234-943X (Electronic); 2234-943X (Linking)&lt;/_isbn&gt;&lt;_journal&gt;Front Oncol&lt;/_journal&gt;&lt;_keywords&gt;China; cost-effectiveness; epidermal growth factor receptor; non-small cell lung cancer; the United Kingdom&lt;/_keywords&gt;&lt;_language&gt;eng&lt;/_language&gt;&lt;_ori_publication&gt;Copyright © 2022 Guan, Wang, Chen, Han and Zhao.&lt;/_ori_publication&gt;&lt;_pages&gt;819674&lt;/_pages&gt;&lt;_tertiary_title&gt;Frontiers in oncology&lt;/_tertiary_title&gt;&lt;_type_work&gt;Journal Article&lt;/_type_work&gt;&lt;_url&gt;http://www.ncbi.nlm.nih.gov/entrez/query.fcgi?cmd=Retrieve&amp;amp;db=pubmed&amp;amp;dopt=Abstract&amp;amp;list_uids=35785198&amp;amp;query_hl=1&lt;/_url&gt;&lt;_volume&gt;12&lt;/_volume&gt;&lt;_created&gt;66161870&lt;/_created&gt;&lt;_modified&gt;66161870&lt;/_modified&gt;&lt;_impact_factor&gt;   4.700&lt;/_impact_factor&gt;&lt;_social_category&gt;肿瘤学(3)&lt;/_social_category&gt;&lt;_collection_scope&gt;SCIE&lt;/_collection_scope&gt;&lt;_accessed&gt;66161870&lt;/_accessed&gt;&lt;/Details&gt;&lt;Extra&gt;&lt;DBUID&gt;{DE16ABCE-A785-434C-BF43-2FE58866AFDD}&lt;/DBUID&gt;&lt;/Extra&gt;&lt;/Item&gt;&lt;/References&gt;&lt;/Group&gt;&lt;/Citation&gt;_x000a_"/>
    <w:docVar w:name="NE.Ref{BDE7C2E9-217B-4DB5-AD3F-BCB6CD004E1D}" w:val=" ADDIN NE.Ref.{BDE7C2E9-217B-4DB5-AD3F-BCB6CD004E1D}&lt;Citation&gt;&lt;Group&gt;&lt;References&gt;&lt;Item&gt;&lt;ID&gt;3649&lt;/ID&gt;&lt;UID&gt;{8FFD87A9-5BC8-41C5-A91D-F141D0FD0275}&lt;/UID&gt;&lt;Title&gt;Cost-Effectiveness Analysis Of Ceritinib And Alectinib Versus Crizotinib In The  Treatment Of Anaplastic Lymphoma Kinase-Positive Advanced Non-Small Cell Lung  Cancer&lt;/Title&gt;&lt;Template&gt;Journal Article&lt;/Template&gt;&lt;Star&gt;0&lt;/Star&gt;&lt;Tag&gt;0&lt;/Tag&gt;&lt;Author&gt;Liu, M; Zhang, L; Huang, Q; Li, N; Zheng, B; Cai, H&lt;/Author&gt;&lt;Year&gt;2019&lt;/Year&gt;&lt;Details&gt;&lt;_accession_num&gt;31749634&lt;/_accession_num&gt;&lt;_author_adr&gt;Department of Pharmacy, Fujian Medical University Union Hospital, Fuzhou, Fujian  Province, People&amp;apos;s Republic of China.; Department of Medical Oncology, Fujian Provincial Cancer Hospital, Fuzhou, Fujian  Province, People&amp;apos;s Republic of China.; College of Pharmacy, Fujian Medical University,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 Department of Pharmacy, Fujian Medical University Union Hospital, Fuzhou, Fujian  Province, People&amp;apos;s Republic of China.&lt;/_author_adr&gt;&lt;_date_display&gt;2019&lt;/_date_display&gt;&lt;_date&gt;2019-01-20&lt;/_date&gt;&lt;_doi&gt;10.2147/CMAR.S223441&lt;/_doi&gt;&lt;_isbn&gt;1179-1322 (Print); 1179-1322 (Electronic); 1179-1322 (Linking)&lt;/_isbn&gt;&lt;_journal&gt;Cancer Manag Res&lt;/_journal&gt;&lt;_keywords&gt;NSCLC; alectinib; ceritinib; cost-effectiveness; crizotinib&lt;/_keywords&gt;&lt;_language&gt;eng&lt;/_language&gt;&lt;_ori_publication&gt;© 2019 Liu et al.&lt;/_ori_publication&gt;&lt;_pages&gt;9195-9202&lt;/_pages&gt;&lt;_tertiary_title&gt;Cancer management and research&lt;/_tertiary_title&gt;&lt;_type_work&gt;Journal Article&lt;/_type_work&gt;&lt;_url&gt;http://www.ncbi.nlm.nih.gov/entrez/query.fcgi?cmd=Retrieve&amp;amp;db=pubmed&amp;amp;dopt=Abstract&amp;amp;list_uids=31749634&amp;amp;query_hl=1&lt;/_url&gt;&lt;_volume&gt;11&lt;/_volume&gt;&lt;_created&gt;66161882&lt;/_created&gt;&lt;_modified&gt;66161882&lt;/_modified&gt;&lt;_impact_factor&gt;   3.300&lt;/_impact_factor&gt;&lt;_social_category&gt;肿瘤学(4)&lt;/_social_category&gt;&lt;_collection_scope&gt;SCIE&lt;/_collection_scope&gt;&lt;_accessed&gt;66161882&lt;/_accessed&gt;&lt;/Details&gt;&lt;Extra&gt;&lt;DBUID&gt;{DE16ABCE-A785-434C-BF43-2FE58866AFDD}&lt;/DBUID&gt;&lt;/Extra&gt;&lt;/Item&gt;&lt;/References&gt;&lt;/Group&gt;&lt;/Citation&gt;_x000a_"/>
    <w:docVar w:name="NE.Ref{C0C737F5-752D-47EF-9AA1-EEF13E254A00}" w:val=" ADDIN NE.Ref.{C0C737F5-752D-47EF-9AA1-EEF13E254A00}&lt;Citation&gt;&lt;Group&gt;&lt;References&gt;&lt;Item&gt;&lt;ID&gt;3651&lt;/ID&gt;&lt;UID&gt;{3CC55B33-10C4-411F-ADED-C8A0B1E96D80}&lt;/UID&gt;&lt;Title&gt;Cost-effectiveness of ensartinib, crizotinib, ceritinib, alectinib, brigatinib  and lorlatinib in patients with anaplastic lymphoma kinase-positive non-small  cell lung cancer in China&lt;/Title&gt;&lt;Template&gt;Journal Article&lt;/Template&gt;&lt;Star&gt;0&lt;/Star&gt;&lt;Tag&gt;0&lt;/Tag&gt;&lt;Author&gt;Luo, X; Zhou, Z; Zeng, X; Peng, L; Liu, Q&lt;/Author&gt;&lt;Year&gt;2022&lt;/Year&gt;&lt;Details&gt;&lt;_accession_num&gt;36211665&lt;/_accession_num&gt;&lt;_author_adr&gt;Department of Pharmacy, the Second Xiangya Hospital of Central South University,  Changsha, China.; Menzies Institute for Medical Research, University of Tasmania, Hobart, TAS,  Australia.; Department of Nuclear Medicine/PET Image Center, the Second Xiangya Hospital of  Central South University, Changsha, China.; Department of Pharmacy, the Second Xiangya Hospital of Central South University,  Changsha, China.; Department of Pharmacy, the Second Xiangya Hospital of Central South University,  Changsha, China.&lt;/_author_adr&gt;&lt;_date_display&gt;2022&lt;/_date_display&gt;&lt;_date&gt;2022-01-20&lt;/_date&gt;&lt;_doi&gt;10.3389/fpubh.2022.985834&lt;/_doi&gt;&lt;_isbn&gt;2296-2565 (Electronic); 2296-2565 (Linking)&lt;/_isbn&gt;&lt;_journal&gt;Front Public Health&lt;/_journal&gt;&lt;_keywords&gt;ALK-TKI; China; Non-small cell lung cancer; cost-effectiveness; domestic anticancer drug; ensartinib&lt;/_keywords&gt;&lt;_language&gt;eng&lt;/_language&gt;&lt;_ori_publication&gt;Copyright © 2022 Luo, Zhou, Zeng, Peng and Liu.&lt;/_ori_publication&gt;&lt;_pages&gt;985834&lt;/_pages&gt;&lt;_subject_headings&gt;Aminopyridines; Anaplastic Lymphoma Kinase/analysis; Carbazoles; *Carcinoma, Non-Small-Cell Lung/drug therapy/pathology; Clinical Trials as Topic; Cost-Benefit Analysis; Crizotinib; Humans; Lactams; *Lung Neoplasms/drug therapy/pathology; Organophosphorus Compounds; Piperazines; Piperidines; Protein Kinase Inhibitors/therapeutic use; Pyrazoles; Pyridazines; Pyrimidines; Sulfones&lt;/_subject_headings&gt;&lt;_tertiary_title&gt;Frontiers in public health&lt;/_tertiary_title&gt;&lt;_type_work&gt;Journal Article; Research Support, Non-U.S. Gov&amp;apos;t&lt;/_type_work&gt;&lt;_url&gt;http://www.ncbi.nlm.nih.gov/entrez/query.fcgi?cmd=Retrieve&amp;amp;db=pubmed&amp;amp;dopt=Abstract&amp;amp;list_uids=36211665&amp;amp;query_hl=1&lt;/_url&gt;&lt;_volume&gt;10&lt;/_volume&gt;&lt;_created&gt;66161884&lt;/_created&gt;&lt;_modified&gt;66161884&lt;/_modified&gt;&lt;_impact_factor&gt;   5.200&lt;/_impact_factor&gt;&lt;_social_category&gt;公共卫生、环境卫生与职业卫生(3)&lt;/_social_category&gt;&lt;_collection_scope&gt;SSCI;SCIE&lt;/_collection_scope&gt;&lt;_accessed&gt;66161885&lt;/_accessed&gt;&lt;/Details&gt;&lt;Extra&gt;&lt;DBUID&gt;{DE16ABCE-A785-434C-BF43-2FE58866AFDD}&lt;/DBUID&gt;&lt;/Extra&gt;&lt;/Item&gt;&lt;/References&gt;&lt;/Group&gt;&lt;/Citation&gt;_x000a_"/>
    <w:docVar w:name="NE.Ref{C299CFE2-6CC2-4C2B-AFFA-3C48323948D6}" w:val=" ADDIN NE.Ref.{C299CFE2-6CC2-4C2B-AFFA-3C48323948D6}&lt;Citation&gt;&lt;Group&gt;&lt;References&gt;&lt;Item&gt;&lt;ID&gt;3641&lt;/ID&gt;&lt;UID&gt;{4BC09D59-2D66-4150-83C1-9C64BF7FF171}&lt;/UID&gt;&lt;Title&gt;Cost-Effectiveness of 12 First-Line Treatments for Patients With Advanced EGFR  Mutated NSCLC in the United Kingdom and China&lt;/Title&gt;&lt;Template&gt;Journal Article&lt;/Template&gt;&lt;Star&gt;0&lt;/Star&gt;&lt;Tag&gt;0&lt;/Tag&gt;&lt;Author&gt;Guan, H; Wang, C; Chen, C; Han, S; Zhao, Z&lt;/Author&gt;&lt;Year&gt;2022&lt;/Year&gt;&lt;Details&gt;&lt;_accession_num&gt;35785198&lt;/_accession_num&gt;&lt;_author_adr&gt;Department of Pharmacy, Beijing Tiantan Hospital, Capital Medical University,  Beijing, China.; China Center for Health Economic Research, Peking University, Beijing, China.; International Research Center for Medicinal Administration, Peking University,  Beijing, China.; China Center for Health Economic Research, Peking University, Beijing, China.; Department of Global Health, School of Public Health, Wuhan University, Wuhan,  China.; International Research Center for Medicinal Administration, Peking University,  Beijing, China.; Department of Pharmacy, Beijing Tiantan Hospital, Capital Medical University,  Beijing, China.&lt;/_author_adr&gt;&lt;_date_display&gt;2022&lt;/_date_display&gt;&lt;_date&gt;2022-01-20&lt;/_date&gt;&lt;_doi&gt;10.3389/fonc.2022.819674&lt;/_doi&gt;&lt;_isbn&gt;2234-943X (Print); 2234-943X (Electronic); 2234-943X (Linking)&lt;/_isbn&gt;&lt;_journal&gt;Front Oncol&lt;/_journal&gt;&lt;_keywords&gt;China; cost-effectiveness; epidermal growth factor receptor; non-small cell lung cancer; the United Kingdom&lt;/_keywords&gt;&lt;_language&gt;eng&lt;/_language&gt;&lt;_ori_publication&gt;Copyright © 2022 Guan, Wang, Chen, Han and Zhao.&lt;/_ori_publication&gt;&lt;_pages&gt;819674&lt;/_pages&gt;&lt;_tertiary_title&gt;Frontiers in oncology&lt;/_tertiary_title&gt;&lt;_type_work&gt;Journal Article&lt;/_type_work&gt;&lt;_url&gt;http://www.ncbi.nlm.nih.gov/entrez/query.fcgi?cmd=Retrieve&amp;amp;db=pubmed&amp;amp;dopt=Abstract&amp;amp;list_uids=35785198&amp;amp;query_hl=1&lt;/_url&gt;&lt;_volume&gt;12&lt;/_volume&gt;&lt;_created&gt;66161870&lt;/_created&gt;&lt;_modified&gt;66161870&lt;/_modified&gt;&lt;_impact_factor&gt;   4.700&lt;/_impact_factor&gt;&lt;_social_category&gt;肿瘤学(3)&lt;/_social_category&gt;&lt;_collection_scope&gt;SCIE&lt;/_collection_scope&gt;&lt;_accessed&gt;66161870&lt;/_accessed&gt;&lt;/Details&gt;&lt;Extra&gt;&lt;DBUID&gt;{DE16ABCE-A785-434C-BF43-2FE58866AFDD}&lt;/DBUID&gt;&lt;/Extra&gt;&lt;/Item&gt;&lt;/References&gt;&lt;/Group&gt;&lt;/Citation&gt;_x000a_"/>
    <w:docVar w:name="NE.Ref{C55DE7CA-4528-4863-83A9-74975D5E3672}" w:val=" ADDIN NE.Ref.{C55DE7CA-4528-4863-83A9-74975D5E3672}&lt;Citation&gt;&lt;Group&gt;&lt;References&gt;&lt;Item&gt;&lt;ID&gt;3642&lt;/ID&gt;&lt;UID&gt;{8A795457-A564-47DA-AE89-217218FBA50B}&lt;/UID&gt;&lt;Title&gt;Cost-Effectiveness Analysis of Five Systemic Treatments for Unresectable  Hepatocellular Carcinoma in China: An Economic Evaluation Based on Network  Meta-Analysis&lt;/Title&gt;&lt;Template&gt;Journal Article&lt;/Template&gt;&lt;Star&gt;0&lt;/Star&gt;&lt;Tag&gt;0&lt;/Tag&gt;&lt;Author&gt;Zhao, M; Pan, X; Yin, Y; Hu, H; Wei, J; Bai, Z; Tang, W&lt;/Author&gt;&lt;Year&gt;2022&lt;/Year&gt;&lt;Details&gt;&lt;_accession_num&gt;35493395&lt;/_accession_num&gt;&lt;_author_adr&gt;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Jiangsu Institute of Cancer Research, Jiangsu Cancer Hospital, The Affiliated  Cancer Hospital of Nanjing Medical University, Nanjing, China.; Jiangsu Institute of Cancer Research, Jiangsu Cancer Hospital, The Affiliated  Cancer Hospital of Nanjing Medical University, Nanjing, China.; Department of Pharmacoeconomics, School of International Pharmaceutical Business,  China Pharmaceutical University, Nanjing, China.; Center for Pharmacoeconomics and Outcomes Research, China Pharmaceutical  University, Nanjing, China.&lt;/_author_adr&gt;&lt;_date_display&gt;2022&lt;/_date_display&gt;&lt;_date&gt;2022-01-20&lt;/_date&gt;&lt;_doi&gt;10.3389/fpubh.2022.869960&lt;/_doi&gt;&lt;_isbn&gt;2296-2565 (Electronic); 2296-2565 (Linking)&lt;/_isbn&gt;&lt;_journal&gt;Front Public Health&lt;/_journal&gt;&lt;_keywords&gt;cost-effectiveness analysis; fractional polynomial; network meta-analysis; partitioned survival; unresectable hepatocellular carcinoma&lt;/_keywords&gt;&lt;_language&gt;eng&lt;/_language&gt;&lt;_ori_publication&gt;Copyright © 2022 Zhao, Pan, Yin, Hu, Wei, Bai and Tang.&lt;/_ori_publication&gt;&lt;_pages&gt;869960&lt;/_pages&gt;&lt;_subject_headings&gt;Bevacizumab/therapeutic use; *Carcinoma, Hepatocellular/drug therapy; Cost-Benefit Analysis; Humans; *Liver Neoplasms/drug therapy; Sorafenib/therapeutic use&lt;/_subject_headings&gt;&lt;_tertiary_title&gt;Frontiers in public health&lt;/_tertiary_title&gt;&lt;_type_work&gt;Journal Article; Network Meta-Analysis; Research Support, Non-U.S. Gov&amp;apos;t&lt;/_type_work&gt;&lt;_url&gt;http://www.ncbi.nlm.nih.gov/entrez/query.fcgi?cmd=Retrieve&amp;amp;db=pubmed&amp;amp;dopt=Abstract&amp;amp;list_uids=35493395&amp;amp;query_hl=1&lt;/_url&gt;&lt;_volume&gt;10&lt;/_volume&gt;&lt;_created&gt;66161872&lt;/_created&gt;&lt;_modified&gt;66161872&lt;/_modified&gt;&lt;_impact_factor&gt;   5.200&lt;/_impact_factor&gt;&lt;_social_category&gt;公共卫生、环境卫生与职业卫生(3)&lt;/_social_category&gt;&lt;_collection_scope&gt;SSCI;SCIE&lt;/_collection_scope&gt;&lt;_accessed&gt;66161872&lt;/_accessed&gt;&lt;/Details&gt;&lt;Extra&gt;&lt;DBUID&gt;{DE16ABCE-A785-434C-BF43-2FE58866AFDD}&lt;/DBUID&gt;&lt;/Extra&gt;&lt;/Item&gt;&lt;/References&gt;&lt;/Group&gt;&lt;/Citation&gt;_x000a_"/>
    <w:docVar w:name="NE.Ref{C873D286-300A-403F-A8DF-8C5928BF91A6}" w:val=" ADDIN NE.Ref.{C873D286-300A-403F-A8DF-8C5928BF91A6}&lt;Citation&gt;&lt;Group&gt;&lt;References&gt;&lt;Item&gt;&lt;ID&gt;3630&lt;/ID&gt;&lt;UID&gt;{5D56DA3D-A2E3-4DBE-98E6-553F10AC3C93}&lt;/UID&gt;&lt;Title&gt;Ensartinib vs Crizotinib for Patients With Anaplastic Lymphoma Kinase-Positive  Non-Small Cell Lung Cancer: A Randomized Clinical Trial&lt;/Title&gt;&lt;Template&gt;Journal Article&lt;/Template&gt;&lt;Star&gt;0&lt;/Star&gt;&lt;Tag&gt;0&lt;/Tag&gt;&lt;Author&gt;Horn, L; Wang, Z; Wu, G; Poddubskaya, E; Mok, T; Reck, M; Wakelee, H; Chiappori, A A; Lee, D H; Breder, V; Orlov, S; Cicin, I; Cheng, Y; Liu, Y; Fan, Y; Whisenant, J G; Zhou, Y; Oertel, V; Harrow, K; Liang, C; Mao, L; Selvaggi, G; Wu, Y L&lt;/Author&gt;&lt;Year&gt;2021&lt;/Year&gt;&lt;Details&gt;&lt;_accession_num&gt;34473194&lt;/_accession_num&gt;&lt;_author_adr&gt;Division of Hematology and Oncology, Department of Medicine, Vanderbilt-Ingram  Cancer Center, Nashville, Tennessee.; Now with Global Clinical Head for Lung Cancer and Lung Cancer Strategy,  AstraZeneca, Nashville, Tennessee.; Department of Thoracic Medical Oncology, Peking University Cancer Hospital and  Institute, Beijing, China.; Cancer Center, Union Hospital, Tongji Medical College, Huazhong University of  Science and Technology, Wuhan, China.; Clinical Center for Oncology, I. M. Sechenov First Moscow State Medical  University (Sechenov University), Moscow, Russia.; Clinical Center VitaMed, Moscow, Russia.; Department of Clinical Oncology, State Key Laboratory of Translational Oncology,  The Chinese University of Hong Kong, Hong Kong, China.; Lung Clinic, Airway Research Center North, German Center for Lung Research,  Grosshansdorf, Germany.; Department of Medicine, Division of Oncology and Stanford Cancer Institute,  Stanford University, Stanford, California.; Thoracic Oncology Program, Moffitt Cancer Center, Tampa, Florida.; Department of Oncology, University of Ulsan College of Medicine, Asan Medical  Center, Seoul, South Korea.; Department of Chemotherapy No. 17, N. N. Blokhin Russian Cancer Research Center,  Moscow, Russia.; Department of Biochemistry, Pavlov First Saint Petersburg State Medical  University, St Petersburg, Russia.; Department of Medical Oncology, Faculty of Medicine, Trakya University, Edirne,  Turkey.; Department of Thoracic Oncology, Jilin Cancer Hospital, Changchun, China.; Department of Medical Oncology, The First Hospital of China Medical University,  Shenyang, Liaoning, China.; Thoracic Tumor Center, Zhejiang Cancer Hospital, Hangzhou, China.; Division of Hematology and Oncology, Department of Medicine, Vanderbilt-Ingram  Cancer Center, Nashville, Tennessee.; Biometrics, Xcovery Holdings Inc, Palm Beach Gardens, Florida.; Clinical Operations, Xcovery Holdings Inc, Palm Beach Gardens, Florida.; Clinical Operations, Xcovery Holdings Inc, Palm Beach Gardens, Florida.; Now with EQRx, Cambridge, Massachusetts.; Clinical Science, Xcovery Holdings Inc, Palm Beach Gardens, Florida.; Clinical Development, Xcovery Holdings Inc, Palm Beach Gardens, Florida.; Now with Sino Biopharmaceutical Ltd, Beijing, China.; Clinical Development, Xcovery Holdings Inc, Palm Beach Gardens, Florida.; Guangdong Lung Cancer Institute, Guangdong Provincial People&amp;apos;s Hospital and  Guangdong Academy of Medical Sciences, Guangzhou, China.&lt;/_author_adr&gt;&lt;_date_display&gt;2021 Nov 1&lt;/_date_display&gt;&lt;_date&gt;2021-11-01&lt;/_date&gt;&lt;_doi&gt;10.1001/jamaoncol.2021.3523&lt;/_doi&gt;&lt;_isbn&gt;2374-2445 (Electronic); 2374-2437 (Print); 2374-2437 (Linking)&lt;/_isbn&gt;&lt;_issue&gt;11&lt;/_issue&gt;&lt;_journal&gt;JAMA Oncol&lt;/_journal&gt;&lt;_language&gt;eng&lt;/_language&gt;&lt;_pages&gt;1617-1625&lt;/_pages&gt;&lt;_subject_headings&gt;Adolescent; Adult; Anaplastic Lymphoma Kinase; *Carcinoma, Non-Small-Cell Lung/pathology; Crizotinib/adverse effects; Humans; *Lung Neoplasms/pathology; Male; Middle Aged; Piperazines; Protein Kinase Inhibitors/adverse effects; Pyridazines&lt;/_subject_headings&gt;&lt;_tertiary_title&gt;JAMA oncology&lt;/_tertiary_title&gt;&lt;_type_work&gt;Journal Article; Multicenter Study; Randomized Controlled Trial; Research Support, Non-U.S. Gov&amp;apos;t&lt;/_type_work&gt;&lt;_url&gt;http://www.ncbi.nlm.nih.gov/entrez/query.fcgi?cmd=Retrieve&amp;amp;db=pubmed&amp;amp;dopt=Abstract&amp;amp;list_uids=34473194&amp;amp;query_hl=1&lt;/_url&gt;&lt;_volume&gt;7&lt;/_volume&gt;&lt;_created&gt;66161856&lt;/_created&gt;&lt;_modified&gt;66161856&lt;/_modified&gt;&lt;_impact_factor&gt;  28.400&lt;/_impact_factor&gt;&lt;_social_category&gt;肿瘤学(1)&lt;/_social_category&gt;&lt;_collection_scope&gt;SCIE&lt;/_collection_scope&gt;&lt;_accessed&gt;66161856&lt;/_accessed&gt;&lt;/Details&gt;&lt;Extra&gt;&lt;DBUID&gt;{DE16ABCE-A785-434C-BF43-2FE58866AFDD}&lt;/DBUID&gt;&lt;/Extra&gt;&lt;/Item&gt;&lt;/References&gt;&lt;/Group&gt;&lt;/Citation&gt;_x000a_"/>
    <w:docVar w:name="NE.Ref{C977D173-5304-4FAE-A351-B88A08C52F45}" w:val=" ADDIN NE.Ref.{C977D173-5304-4FAE-A351-B88A08C52F45}&lt;Citation&gt;&lt;Group&gt;&lt;References&gt;&lt;Item&gt;&lt;ID&gt;3651&lt;/ID&gt;&lt;UID&gt;{3CC55B33-10C4-411F-ADED-C8A0B1E96D80}&lt;/UID&gt;&lt;Title&gt;Cost-effectiveness of ensartinib, crizotinib, ceritinib, alectinib, brigatinib  and lorlatinib in patients with anaplastic lymphoma kinase-positive non-small  cell lung cancer in China&lt;/Title&gt;&lt;Template&gt;Journal Article&lt;/Template&gt;&lt;Star&gt;0&lt;/Star&gt;&lt;Tag&gt;0&lt;/Tag&gt;&lt;Author&gt;Luo, X; Zhou, Z; Zeng, X; Peng, L; Liu, Q&lt;/Author&gt;&lt;Year&gt;2022&lt;/Year&gt;&lt;Details&gt;&lt;_accession_num&gt;36211665&lt;/_accession_num&gt;&lt;_author_adr&gt;Department of Pharmacy, the Second Xiangya Hospital of Central South University,  Changsha, China.; Menzies Institute for Medical Research, University of Tasmania, Hobart, TAS,  Australia.; Department of Nuclear Medicine/PET Image Center, the Second Xiangya Hospital of  Central South University, Changsha, China.; Department of Pharmacy, the Second Xiangya Hospital of Central South University,  Changsha, China.; Department of Pharmacy, the Second Xiangya Hospital of Central South University,  Changsha, China.&lt;/_author_adr&gt;&lt;_date_display&gt;2022&lt;/_date_display&gt;&lt;_date&gt;2022-01-20&lt;/_date&gt;&lt;_doi&gt;10.3389/fpubh.2022.985834&lt;/_doi&gt;&lt;_isbn&gt;2296-2565 (Electronic); 2296-2565 (Linking)&lt;/_isbn&gt;&lt;_journal&gt;Front Public Health&lt;/_journal&gt;&lt;_keywords&gt;ALK-TKI; China; Non-small cell lung cancer; cost-effectiveness; domestic anticancer drug; ensartinib&lt;/_keywords&gt;&lt;_language&gt;eng&lt;/_language&gt;&lt;_ori_publication&gt;Copyright © 2022 Luo, Zhou, Zeng, Peng and Liu.&lt;/_ori_publication&gt;&lt;_pages&gt;985834&lt;/_pages&gt;&lt;_subject_headings&gt;Aminopyridines; Anaplastic Lymphoma Kinase/analysis; Carbazoles; *Carcinoma, Non-Small-Cell Lung/drug therapy/pathology; Clinical Trials as Topic; Cost-Benefit Analysis; Crizotinib; Humans; Lactams; *Lung Neoplasms/drug therapy/pathology; Organophosphorus Compounds; Piperazines; Piperidines; Protein Kinase Inhibitors/therapeutic use; Pyrazoles; Pyridazines; Pyrimidines; Sulfones&lt;/_subject_headings&gt;&lt;_tertiary_title&gt;Frontiers in public health&lt;/_tertiary_title&gt;&lt;_type_work&gt;Journal Article; Research Support, Non-U.S. Gov&amp;apos;t&lt;/_type_work&gt;&lt;_url&gt;http://www.ncbi.nlm.nih.gov/entrez/query.fcgi?cmd=Retrieve&amp;amp;db=pubmed&amp;amp;dopt=Abstract&amp;amp;list_uids=36211665&amp;amp;query_hl=1&lt;/_url&gt;&lt;_volume&gt;10&lt;/_volume&gt;&lt;_created&gt;66161884&lt;/_created&gt;&lt;_modified&gt;66161884&lt;/_modified&gt;&lt;_impact_factor&gt;   5.200&lt;/_impact_factor&gt;&lt;_social_category&gt;公共卫生、环境卫生与职业卫生(3)&lt;/_social_category&gt;&lt;_collection_scope&gt;SSCI;SCIE&lt;/_collection_scope&gt;&lt;_accessed&gt;66161885&lt;/_accessed&gt;&lt;/Details&gt;&lt;Extra&gt;&lt;DBUID&gt;{DE16ABCE-A785-434C-BF43-2FE58866AFDD}&lt;/DBUID&gt;&lt;/Extra&gt;&lt;/Item&gt;&lt;/References&gt;&lt;/Group&gt;&lt;/Citation&gt;_x000a_"/>
    <w:docVar w:name="NE.Ref{C9ADAA97-4541-47F7-8426-A57BAC1E83EA}" w:val=" ADDIN NE.Ref.{C9ADAA97-4541-47F7-8426-A57BAC1E83EA}&lt;Citation&gt;&lt;Group&gt;&lt;References&gt;&lt;Item&gt;&lt;ID&gt;3626&lt;/ID&gt;&lt;UID&gt;{0EFEE7BD-329E-4AB8-B85F-12521A536F01}&lt;/UID&gt;&lt;Title&gt;Alectinib in Crizotinib-Refractory ALK-Rearranged Non-Small-Cell Lung Cancer: A  Phase II Global Study&lt;/Title&gt;&lt;Template&gt;Journal Article&lt;/Template&gt;&lt;Star&gt;0&lt;/Star&gt;&lt;Tag&gt;0&lt;/Tag&gt;&lt;Author&gt;Ou, S H; Ahn, J S; De Petris, L; Govindan, R; Yang, J C; Hughes, B; Lena, H; Moro-Sibilot, D; Bearz, A; Ramirez, S V; Mekhail, T; Spira, A; Bordogna, W; Balas, B; Morcos, P N; Monnet, A; Zeaiter, A; Kim, D W&lt;/Author&gt;&lt;Year&gt;2016&lt;/Year&gt;&lt;Details&gt;&lt;_accession_num&gt;26598747&lt;/_accession_num&gt;&lt;_author_adr&gt;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ignatius.ou@uci.edu.;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 Sai-Hong Ignatius Ou, University of California Irvine School of Medicine, Orange,  CA; Jin Seok Ahn, Sungkyunkwan University School of Medicine; Luigi De Petris,  Karolinska Institute and Karolinska University Hospital, Stockholm, Sweden;  Ramaswamy Govindan, Washington University School of Medicine, St Louis, MO; James  Chih-Hsin Yang, National Taiwan University, Taipei, Taiwan; Brett Hughes, The  Prince Charles Hospital, Chermside, and University of Queensland, Queensland,  Australia; Hervé Lena, Centre Hospitalier Universitaire de Rennes, Rennes; Denis  Moro-Sibilot, Centre Hospitalier Universitaire de Grenoble, Institut National de  la Santé et de la Recherche Médicale U823, Grenoble, France; Alessandra Bearz,  National Cancer Institute, Aviano, Italy; Santiago Viteri Ramirez, Quiron-Dexeus  University Hospital, Barcelona, Spain; Tarek Mekhail, Florida Hospital Cancer  Institute, Orlando, FL; Alexander Spira, Virginia Cancer Specialists, Fairfax,  VA; and Walter Bordogna, Bogdana Balas, Peter N. Morcos, Annabelle Monnet, and  Ali Zeaiter, F. Hoffmann-La Roche, Basel, Switzerland; Dong-Wan Kim, Seoul  National University Hospital, Seoul, South Korea.&lt;/_author_adr&gt;&lt;_date_display&gt;2016 Mar 1&lt;/_date_display&gt;&lt;_date&gt;2016-03-01&lt;/_date&gt;&lt;_doi&gt;10.1200/jco.2015.63.9443&lt;/_doi&gt;&lt;_isbn&gt;1527-7755 (Electronic); 0732-183X (Linking)&lt;/_isbn&gt;&lt;_issue&gt;7&lt;/_issue&gt;&lt;_journal&gt;J Clin Oncol&lt;/_journal&gt;&lt;_language&gt;eng&lt;/_language&gt;&lt;_ori_publication&gt;© 2015 by American Society of Clinical Oncology.&lt;/_ori_publication&gt;&lt;_pages&gt;661-8&lt;/_pages&gt;&lt;_subject_headings&gt;Administration, Oral; Adult; Aged; Anaplastic Lymphoma Kinase; Carbazoles/administration &amp;amp; dosage/*therapeutic use; Carcinoma, Non-Small-Cell Lung/*drug therapy/enzymology/pathology; Central Nervous System Neoplasms/secondary; Crizotinib; Disease Progression; Disease-Free Survival; Drug Resistance, Neoplasm; Female; Humans; Lung Neoplasms/*drug therapy/enzymology/pathology; Male; Middle Aged; Piperidines/administration &amp;amp; dosage/*therapeutic use; Protein Kinase Inhibitors/administration &amp;amp; dosage/*therapeutic use; Pyrazoles/administration &amp;amp; dosage/therapeutic use; Pyridines/administration &amp;amp; dosage/therapeutic use; Receptor Protein-Tyrosine Kinases/antagonists &amp;amp; inhibitors; Treatment Outcome&lt;/_subject_headings&gt;&lt;_tertiary_title&gt;Journal of clinical oncology : official journal of the American Society of _x000d__x000a_      Clinical Oncology&lt;/_tertiary_title&gt;&lt;_type_work&gt;Clinical Trial, Phase II; Journal Article; Multicenter Study; Research Support, Non-U.S. Gov&amp;apos;t&lt;/_type_work&gt;&lt;_url&gt;http://www.ncbi.nlm.nih.gov/entrez/query.fcgi?cmd=Retrieve&amp;amp;db=pubmed&amp;amp;dopt=Abstract&amp;amp;list_uids=26598747&amp;amp;query_hl=1&lt;/_url&gt;&lt;_volume&gt;34&lt;/_volume&gt;&lt;_created&gt;66161853&lt;/_created&gt;&lt;_modified&gt;66161853&lt;/_modified&gt;&lt;_impact_factor&gt;  45.300&lt;/_impact_factor&gt;&lt;_social_category&gt;肿瘤学(1)&lt;/_social_category&gt;&lt;_collection_scope&gt;SCIE&lt;/_collection_scope&gt;&lt;_accessed&gt;66161853&lt;/_accessed&gt;&lt;/Details&gt;&lt;Extra&gt;&lt;DBUID&gt;{DE16ABCE-A785-434C-BF43-2FE58866AFDD}&lt;/DBUID&gt;&lt;/Extra&gt;&lt;/Item&gt;&lt;/References&gt;&lt;/Group&gt;&lt;/Citation&gt;_x000a_"/>
    <w:docVar w:name="NE.Ref{C9BEB8D2-CEB4-47C9-B5C6-173CD536B4BC}" w:val=" ADDIN NE.Ref.{C9BEB8D2-CEB4-47C9-B5C6-173CD536B4BC}&lt;Citation&gt;&lt;Group&gt;&lt;References&gt;&lt;Item&gt;&lt;ID&gt;3653&lt;/ID&gt;&lt;UID&gt;{3359647D-35C6-4643-8B7F-C4EFE4679FE2}&lt;/UID&gt;&lt;Title&gt;Cost-Effectiveness of Nivolumab Immunotherapy vs. Paclitaxel or Docetaxel  Chemotherapy as Second-Line Therapy in Advanced Esophageal Squamous Cell  Carcinoma in China&lt;/Title&gt;&lt;Template&gt;Journal Article&lt;/Template&gt;&lt;Star&gt;0&lt;/Star&gt;&lt;Tag&gt;0&lt;/Tag&gt;&lt;Author&gt;Lin, Y T; Liu, T X; Chen, J; Wang, C; Chen, Y&lt;/Author&gt;&lt;Year&gt;2022&lt;/Year&gt;&lt;Details&gt;&lt;_accession_num&gt;35844891&lt;/_accession_num&gt;&lt;_author_adr&gt;Department of Drug Clinical Trial Administration Office, Fujian Medical  University Cancer Hospital, Fujian Cancer Hospital, Fuzhou, China.; Department of Thoracic Radiotherapy, Fujian Medical University Cancer Hospital,  Fujian Cancer Hospital, Fuzhou, China.; Department of Surgical Oncology, Fujian Medical University Cancer Hospital,  Fujian Cancer Hospital, Fuzhou, China.; Department of Medical Oncology, Fujian Medical University Cancer Hospital, Fujian  Cancer Hospital, Fuzhou, China.; Department of Drug Clinical Trial Administration Office, Fujian Medical  University Cancer Hospital, Fujian Cancer Hospital, Fuzhou, China.&lt;/_author_adr&gt;&lt;_date_display&gt;2022&lt;/_date_display&gt;&lt;_date&gt;2022-01-20&lt;/_date&gt;&lt;_doi&gt;10.3389/fpubh.2022.923619&lt;/_doi&gt;&lt;_isbn&gt;2296-2565 (Electronic); 2296-2565 (Linking)&lt;/_isbn&gt;&lt;_journal&gt;Front Public Health&lt;/_journal&gt;&lt;_keywords&gt;cost-effectiveness; drug acquisition cost; esophageal squamous cell carcinoma; partitioned survival model; therapy&lt;/_keywords&gt;&lt;_language&gt;eng&lt;/_language&gt;&lt;_ori_publication&gt;Copyright © 2022 Lin, Liu, Chen, Wang and Chen.&lt;/_ori_publication&gt;&lt;_pages&gt;923619&lt;/_pages&gt;&lt;_subject_headings&gt;Cost-Benefit Analysis; Docetaxel/therapeutic use; *Esophageal Neoplasms/chemically induced/drug therapy; *Esophageal Squamous Cell Carcinoma/chemically induced/drug therapy; Humans; Immunotherapy; Nivolumab/therapeutic use; Paclitaxel/therapeutic use&lt;/_subject_headings&gt;&lt;_tertiary_title&gt;Frontiers in public health&lt;/_tertiary_title&gt;&lt;_type_work&gt;Journal Article&lt;/_type_work&gt;&lt;_url&gt;http://www.ncbi.nlm.nih.gov/entrez/query.fcgi?cmd=Retrieve&amp;amp;db=pubmed&amp;amp;dopt=Abstract&amp;amp;list_uids=35844891&amp;amp;query_hl=1&lt;/_url&gt;&lt;_volume&gt;10&lt;/_volume&gt;&lt;_created&gt;66161887&lt;/_created&gt;&lt;_modified&gt;66161887&lt;/_modified&gt;&lt;_impact_factor&gt;   5.200&lt;/_impact_factor&gt;&lt;_social_category&gt;公共卫生、环境卫生与职业卫生(3)&lt;/_social_category&gt;&lt;_collection_scope&gt;SSCI;SCIE&lt;/_collection_scope&gt;&lt;_accessed&gt;66161887&lt;/_accessed&gt;&lt;/Details&gt;&lt;Extra&gt;&lt;DBUID&gt;{DE16ABCE-A785-434C-BF43-2FE58866AFDD}&lt;/DBUID&gt;&lt;/Extra&gt;&lt;/Item&gt;&lt;/References&gt;&lt;/Group&gt;&lt;/Citation&gt;_x000a_"/>
    <w:docVar w:name="NE.Ref{CD65625A-C983-4C3E-A832-B5E35A9F7568}" w:val=" ADDIN NE.Ref.{CD65625A-C983-4C3E-A832-B5E35A9F7568}&lt;Citation&gt;&lt;Group&gt;&lt;References&gt;&lt;Item&gt;&lt;ID&gt;1273&lt;/ID&gt;&lt;UID&gt;{76B71F88-2FDD-4CB6-8644-1EE5B726E9B4}&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ion_num&gt;33207094&lt;/_accession_num&gt;&lt;_author_adr&gt;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o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lt;/_author_adr&gt;&lt;_collection_scope&gt;SCIE&lt;/_collection_scope&gt;&lt;_created&gt;65265045&lt;/_created&gt;&lt;_date&gt;2020-11-19&lt;/_date&gt;&lt;_date_display&gt;2020 Nov 19&lt;/_date_display&gt;&lt;_db_updated&gt;PubMed&lt;/_db_updated&gt;&lt;_doi&gt;10.1056/NEJMoa2027187&lt;/_doi&gt;&lt;_impact_factor&gt; 176.079&lt;/_impact_factor&gt;&lt;_isbn&gt;1533-4406 (Electronic); 0028-4793 (Linking)&lt;/_isbn&gt;&lt;_issue&gt;21&lt;/_issue&gt;&lt;_journal&gt;N Engl J Med&lt;/_journal&gt;&lt;_language&gt;eng&lt;/_language&gt;&lt;_modified&gt;65265045&lt;/_modified&gt;&lt;_ori_publication&gt;Copyright (c) 2020 Massachusetts Medical Society.&lt;/_ori_publication&gt;&lt;_pages&gt;2018-2029&lt;/_pages&gt;&lt;_social_category&gt;医学：内科(1)&lt;/_social_category&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Details&gt;&lt;Extra&gt;&lt;DBUID&gt;{A96A13AE-8553-4F4D-9468-5E97E276BB62}&lt;/DBUID&gt;&lt;/Extra&gt;&lt;/Item&gt;&lt;/References&gt;&lt;/Group&gt;&lt;/Citation&gt;_x000a_"/>
    <w:docVar w:name="NE.Ref{CE80C9EC-2C58-40B0-BF3A-4B8C4F54BCB4}" w:val=" ADDIN NE.Ref.{CE80C9EC-2C58-40B0-BF3A-4B8C4F54BCB4}&lt;Citation&gt;&lt;Group&gt;&lt;References&gt;&lt;Item&gt;&lt;ID&gt;1291&lt;/ID&gt;&lt;UID&gt;{5D5F1F69-166F-4D7E-9A18-0E3A05759B61}&lt;/UID&gt;&lt;Title&gt;Brigatinib Versus Alectinib in ALK-Positive NSCLC After Disease Progression on  Crizotinib: Results of Phase 3 ALTA-3 Trial&lt;/Title&gt;&lt;Template&gt;Journal Article&lt;/Template&gt;&lt;Star&gt;0&lt;/Star&gt;&lt;Tag&gt;0&lt;/Tag&gt;&lt;Author&gt;Yang, J C; Liu, G; Lu, S; He, J; Burotto, M; Ahn, M J; Kim, D W; Liu, X; Zhao, Y; Vincent, S; Yin, J; Ma, X; Lin, H M; Popat, S&lt;/Author&gt;&lt;Year&gt;2023&lt;/Year&gt;&lt;Details&gt;&lt;_accession_num&gt;37574132&lt;/_accession_num&gt;&lt;_author_adr&gt;Department of Oncology, National Taiwan University Hospital and National Taiwan  University Cancer Center, Taipei, Taiwan.; Department of Medical Oncology, Ontario Cancer Institute, Princess Margaret  Cancer Centre, Toronto, Ontario, Canada.; Shanghai Chest Hospital, Shanghai, People&amp;apos;s Republic of China.; Thoracic Cardio Surgery Department, First Affiliated Hospital of Guangzhou  Medical University, Guangzhou, People&amp;apos;s Republic of China.; Bradford Hill Clinical Research Center, Santiago, Chile.; Section of Hematology-Oncology, Department of Medicine, Samsung Medical Center,  Sungkyunkwan University School of Medicine, Seoul, South Korea.; Department of Internal Medicine, Seoul National University College of Medicine  and Seoul National University Hospital, Seoul, South Korea.; Fifth Medical Center of PLA General Hospital, Beijing, People&amp;apos;s Republic of  China.; Affiliated Cancer Hospital of Zhengzhou University, Henan, People&amp;apos;s Republic of  China.; Oncology Cell Therapy Precision and Translational Medicine, Takeda Development  Center Americas, Inc., Lexington, Massachusetts.; Oncology Statistics, Takeda Development Center Americas, Inc., Lexington,  Massachusetts.; Clinical Science, Takeda Development Center Americas, Inc., Lexington,  Massachusetts.; Global Evidence and Outcomes Oncology, Takeda Development Center Americas, Inc.,  Lexington, Massachusetts.; Lung Unit, Royal Marsden Hospital, London, England, United Kingdom. Electronic  address: sanjay.popat@rmh.nhs.uk.&lt;/_author_adr&gt;&lt;_collection_scope&gt;SCIE&lt;/_collection_scope&gt;&lt;_created&gt;65293998&lt;/_created&gt;&lt;_date&gt;2023-12-01&lt;/_date&gt;&lt;_date_display&gt;2023 Dec&lt;/_date_display&gt;&lt;_db_updated&gt;PubMed&lt;/_db_updated&gt;&lt;_doi&gt;10.1016/j.jtho.2023.08.010&lt;/_doi&gt;&lt;_impact_factor&gt;  20.121&lt;/_impact_factor&gt;&lt;_isbn&gt;1556-1380 (Electronic); 1556-0864 (Linking)&lt;/_isbn&gt;&lt;_issue&gt;12&lt;/_issue&gt;&lt;_journal&gt;J Thorac Oncol&lt;/_journal&gt;&lt;_keywords&gt;Alectinib; Anaplastic lymphoma kinase; Brigatinib; Non-small cell lung cancer; Tyrosine kinase inhibitor&lt;/_keywords&gt;&lt;_language&gt;eng&lt;/_language&gt;&lt;_modified&gt;65293998&lt;/_modified&gt;&lt;_ori_publication&gt;Copyright (c) 2023 International Association for the Study of Lung Cancer. _x000d__x000a_      Published by Elsevier Inc. All rights reserved.&lt;/_ori_publication&gt;&lt;_pages&gt;1743-1755&lt;/_pages&gt;&lt;_social_category&gt;肿瘤学(1) &amp;amp; 呼吸系统(1)&lt;/_social_category&gt;&lt;_subject_headings&gt;Humans; Anaplastic Lymphoma Kinase/genetics; Carbazoles/pharmacology/therapeutic use; *Carcinoma, Non-Small-Cell Lung/pathology; Crizotinib/pharmacology/therapeutic use; Disease Progression; *Lung Neoplasms/drug therapy/genetics/pathology; Protein Kinase Inhibitors/therapeutic use&lt;/_subject_headings&gt;&lt;_tertiary_title&gt;Journal of thoracic oncology : official publication of the International _x000d__x000a_      Association for the Study of Lung Cancer&lt;/_tertiary_title&gt;&lt;_type_work&gt;Clinical Trial, Phase III; Journal Article; Randomized Controlled Trial; Research Support, Non-U.S. Gov&amp;apos;t&lt;/_type_work&gt;&lt;_url&gt;http://www.ncbi.nlm.nih.gov/entrez/query.fcgi?cmd=Retrieve&amp;amp;db=pubmed&amp;amp;dopt=Abstract&amp;amp;list_uids=37574132&amp;amp;query_hl=1&lt;/_url&gt;&lt;_volume&gt;18&lt;/_volume&gt;&lt;/Details&gt;&lt;Extra&gt;&lt;DBUID&gt;{A96A13AE-8553-4F4D-9468-5E97E276BB62}&lt;/DBUID&gt;&lt;/Extra&gt;&lt;/Item&gt;&lt;/References&gt;&lt;/Group&gt;&lt;/Citation&gt;_x000a_"/>
    <w:docVar w:name="NE.Ref{CF22A608-E8F1-4EAC-B18B-5CC03656FEE1}" w:val=" ADDIN NE.Ref.{CF22A608-E8F1-4EAC-B18B-5CC03656FEE1}&lt;Citation&gt;&lt;Group&gt;&lt;References&gt;&lt;Item&gt;&lt;ID&gt;3651&lt;/ID&gt;&lt;UID&gt;{3CC55B33-10C4-411F-ADED-C8A0B1E96D80}&lt;/UID&gt;&lt;Title&gt;Cost-effectiveness of ensartinib, crizotinib, ceritinib, alectinib, brigatinib  and lorlatinib in patients with anaplastic lymphoma kinase-positive non-small  cell lung cancer in China&lt;/Title&gt;&lt;Template&gt;Journal Article&lt;/Template&gt;&lt;Star&gt;0&lt;/Star&gt;&lt;Tag&gt;0&lt;/Tag&gt;&lt;Author&gt;Luo, X; Zhou, Z; Zeng, X; Peng, L; Liu, Q&lt;/Author&gt;&lt;Year&gt;2022&lt;/Year&gt;&lt;Details&gt;&lt;_accession_num&gt;36211665&lt;/_accession_num&gt;&lt;_author_adr&gt;Department of Pharmacy, the Second Xiangya Hospital of Central South University,  Changsha, China.; Menzies Institute for Medical Research, University of Tasmania, Hobart, TAS,  Australia.; Department of Nuclear Medicine/PET Image Center, the Second Xiangya Hospital of  Central South University, Changsha, China.; Department of Pharmacy, the Second Xiangya Hospital of Central South University,  Changsha, China.; Department of Pharmacy, the Second Xiangya Hospital of Central South University,  Changsha, China.&lt;/_author_adr&gt;&lt;_date_display&gt;2022&lt;/_date_display&gt;&lt;_date&gt;2022-01-20&lt;/_date&gt;&lt;_doi&gt;10.3389/fpubh.2022.985834&lt;/_doi&gt;&lt;_isbn&gt;2296-2565 (Electronic); 2296-2565 (Linking)&lt;/_isbn&gt;&lt;_journal&gt;Front Public Health&lt;/_journal&gt;&lt;_keywords&gt;ALK-TKI; China; Non-small cell lung cancer; cost-effectiveness; domestic anticancer drug; ensartinib&lt;/_keywords&gt;&lt;_language&gt;eng&lt;/_language&gt;&lt;_ori_publication&gt;Copyright © 2022 Luo, Zhou, Zeng, Peng and Liu.&lt;/_ori_publication&gt;&lt;_pages&gt;985834&lt;/_pages&gt;&lt;_subject_headings&gt;Aminopyridines; Anaplastic Lymphoma Kinase/analysis; Carbazoles; *Carcinoma, Non-Small-Cell Lung/drug therapy/pathology; Clinical Trials as Topic; Cost-Benefit Analysis; Crizotinib; Humans; Lactams; *Lung Neoplasms/drug therapy/pathology; Organophosphorus Compounds; Piperazines; Piperidines; Protein Kinase Inhibitors/therapeutic use; Pyrazoles; Pyridazines; Pyrimidines; Sulfones&lt;/_subject_headings&gt;&lt;_tertiary_title&gt;Frontiers in public health&lt;/_tertiary_title&gt;&lt;_type_work&gt;Journal Article; Research Support, Non-U.S. Gov&amp;apos;t&lt;/_type_work&gt;&lt;_url&gt;http://www.ncbi.nlm.nih.gov/entrez/query.fcgi?cmd=Retrieve&amp;amp;db=pubmed&amp;amp;dopt=Abstract&amp;amp;list_uids=36211665&amp;amp;query_hl=1&lt;/_url&gt;&lt;_volume&gt;10&lt;/_volume&gt;&lt;_created&gt;66161884&lt;/_created&gt;&lt;_modified&gt;66161884&lt;/_modified&gt;&lt;_impact_factor&gt;   5.200&lt;/_impact_factor&gt;&lt;_social_category&gt;公共卫生、环境卫生与职业卫生(3)&lt;/_social_category&gt;&lt;_collection_scope&gt;SSCI;SCIE&lt;/_collection_scope&gt;&lt;_accessed&gt;66161885&lt;/_accessed&gt;&lt;/Details&gt;&lt;Extra&gt;&lt;DBUID&gt;{DE16ABCE-A785-434C-BF43-2FE58866AFDD}&lt;/DBUID&gt;&lt;/Extra&gt;&lt;/Item&gt;&lt;/References&gt;&lt;/Group&gt;&lt;/Citation&gt;_x000a_"/>
    <w:docVar w:name="NE.Ref{D1A6B66F-F95D-4C0F-A1D4-B697C4308DF9}" w:val=" ADDIN NE.Ref.{D1A6B66F-F95D-4C0F-A1D4-B697C4308DF9}&lt;Citation&gt;&lt;Group&gt;&lt;References&gt;&lt;Item&gt;&lt;ID&gt;1288&lt;/ID&gt;&lt;UID&gt;{A5AC458C-8B77-45EE-B35F-15ACB8A25FAB}&lt;/UID&gt;&lt;Title&gt;Brigatinib Versus Crizotinib in ALK Inhibitor-Naive Advanced ALK-Positive NSCLC:  Final Results of Phase 3 ALTA-1L Trial&lt;/Title&gt;&lt;Template&gt;Journal Article&lt;/Template&gt;&lt;Star&gt;0&lt;/Star&gt;&lt;Tag&gt;0&lt;/Tag&gt;&lt;Author&gt;Camidge, D R; Kim, H R; Ahn, M J; Yang, JCH; Han, J Y; Hochmair, M J; Lee, K H; Delmonte, A; Garcia, Campelo MR; Kim, D W; Griesinger, F; Felip, E; Califano, R; Spira, A I; Gettinger, S N; Tiseo, M; Lin, H M; Liu, Y; Vranceanu, F; Niu, H; Zhang, P; Popat, S&lt;/Author&gt;&lt;Year&gt;2021&lt;/Year&gt;&lt;Details&gt;&lt;_accession_num&gt;34537440&lt;/_accession_num&gt;&lt;_author_adr&gt;Department of Medicine, University of Colorado Cancer Center, Aurora, Colorado.  Electronic address: ross.camidge@cuanschutz.edu.; Division of Medical Oncology, Department of Internal Medicine, Yonsei Cancer  Center, Yonsei University College of Medicine, Seoul, South Korea.; Division of Hematology-Oncology, Samsung Medical Center, Seoul, South Korea.; Department of Medical Oncology, National Taiwan University Cancer Center, Taipei,  Taiwan.; Department of Precision Medicine, National Cancer Center, Gyeonggi, South Korea.; Department of Respiratory and Critical Care Medicine, Karl Landsteiner Institute  of Lung Research and Pulmonary Oncology, Vienna, Austria.; Internal Medicine Department, Chungbuk National University Hospital, Chungbuk,  South Korea.; Department of Medical Oncology, Istituto Romagnolo per lo Studio dei Tumori &amp;quot;Dino  Amadori&amp;quot; (IRST) Istituto di Ricovero e Cura a Carattere Scientifico (IRCCS),  Meldola, Italy.; Department of Medical Oncology, Complejo Hospitalario Universitario A Coruna  (CHUAC), University Hospital A Coruna, A Coruna, Spain.; Department of Internal Medicine, Seoul National University Hospital, Seoul  National University College of Medicine, Seoul, South Korea.; Department of Hematology and Oncology, Pius-Hospital Oldenburg, University of  Oldenburg, Oldenburg, Germany.; Vall d&amp;apos;Hebron Institute of Oncology, Vall d&amp;apos;Hebron University Hospital,  Barcelona, Spain.; Department of Medical Oncology, The Christie NHS Foundation Trust, Manchester,  United Kingdom; Department of Medical Oncology, Division of Cancer Sciences, The  University of Manchester, Manchester, England, United Kingdom.; Department of Medical Oncology, Virginia Cancer Specialists, US Oncology  Research, Fairfax, Virginia.; Department of Medical Oncology, Yale Cancer Center, New Haven, Connecticut.; Department of Medicine and Surgery, University Hospital of Parma, Parma, Italy.; Global Evidence and Outcome, Millennium Pharmaceuticals, Inc., a wholly-owned  subsidiary of Takeda Pharmaceutical Company Limited, Cambridge, Massachusetts.; Oncology Statistics, Millennium Pharmaceuticals, Inc., a wholly-owned subsidiary  of Takeda Pharmaceutical Company Limited, Cambridge, Massachusetts.; Clinical Science, Millennium Pharmaceuticals, Inc., a wholly-owned subsidiary of  Takeda Pharmaceutical Company Limited, Cambridge, Massachusetts.; Oncology Translational Sciences, Millennium Pharmaceuticals, Inc., a wholly-owned  subsidiary of Takeda Pharmaceutical Company Limited, Cambridge, Massachusetts.; Oncology Clinical Research, Millennium Pharmaceuticals, Inc., a wholly-owned  subsidiary of Takeda Pharmaceutical Company Limited, Cambridge, Massachusetts.; Royal Marsden Hospital, London, United Kingdom.&lt;/_author_adr&gt;&lt;_collection_scope&gt;SCIE&lt;/_collection_scope&gt;&lt;_created&gt;65293988&lt;/_created&gt;&lt;_date&gt;2021-12-01&lt;/_date&gt;&lt;_date_display&gt;2021 Dec&lt;/_date_display&gt;&lt;_db_updated&gt;PubMed&lt;/_db_updated&gt;&lt;_doi&gt;10.1016/j.jtho.2021.07.035&lt;/_doi&gt;&lt;_impact_factor&gt;  20.121&lt;/_impact_factor&gt;&lt;_isbn&gt;1556-1380 (Electronic); 1556-0864 (Linking)&lt;/_isbn&gt;&lt;_issue&gt;12&lt;/_issue&gt;&lt;_journal&gt;J Thorac Oncol&lt;/_journal&gt;&lt;_keywords&gt;ALK tyrosine kinase inhibitor; Anaplastic lymphoma kinase; Brigatinib; Crizotinib; Non-small cell lung cancer&lt;/_keywords&gt;&lt;_language&gt;eng&lt;/_language&gt;&lt;_modified&gt;65293989&lt;/_modified&gt;&lt;_ori_publication&gt;Copyright (c) 2021 International Association for the Study of Lung Cancer. _x000d__x000a_      Published by Elsevier Inc. All rights reserved.&lt;/_ori_publication&gt;&lt;_pages&gt;2091-2108&lt;/_pages&gt;&lt;_social_category&gt;肿瘤学(1) &amp;amp; 呼吸系统(1)&lt;/_social_category&gt;&lt;_subject_headings&gt;Anaplastic Lymphoma Kinase/genetics; Crizotinib/therapeutic use; Humans; *Lung Neoplasms/drug therapy/genetics; Organophosphorus Compounds; Protein Kinase Inhibitors/therapeutic use; Pyrimidines/therapeutic use&lt;/_subject_headings&gt;&lt;_tertiary_title&gt;Journal of thoracic oncology : official publication of the International _x000d__x000a_      Association for the Study of Lung Cancer&lt;/_tertiary_title&gt;&lt;_type_work&gt;Journal Article; Randomized Controlled Trial; Research Support, Non-U.S. Gov&amp;apos;t&lt;/_type_work&gt;&lt;_url&gt;http://www.ncbi.nlm.nih.gov/entrez/query.fcgi?cmd=Retrieve&amp;amp;db=pubmed&amp;amp;dopt=Abstract&amp;amp;list_uids=34537440&amp;amp;query_hl=1&lt;/_url&gt;&lt;_volume&gt;16&lt;/_volume&gt;&lt;/Details&gt;&lt;Extra&gt;&lt;DBUID&gt;{A96A13AE-8553-4F4D-9468-5E97E276BB62}&lt;/DBUID&gt;&lt;/Extra&gt;&lt;/Item&gt;&lt;/References&gt;&lt;/Group&gt;&lt;/Citation&gt;_x000a_"/>
    <w:docVar w:name="NE.Ref{D1D1DA36-0937-414D-AB9D-E69DD326B53E}" w:val=" ADDIN NE.Ref.{D1D1DA36-0937-414D-AB9D-E69DD326B53E}&lt;Citation&gt;&lt;Group&gt;&lt;References&gt;&lt;Item&gt;&lt;ID&gt;3643&lt;/ID&gt;&lt;UID&gt;{0E387B18-A59C-421B-A330-614D9A7ADD90}&lt;/UID&gt;&lt;Title&gt;Cost-effectiveness analysis of sintilimab vs. placebo in combination with  chemotherapy as first-line therapy for local advanced or metastatic oesophageal  squamous cell carcinoma&lt;/Title&gt;&lt;Template&gt;Journal Article&lt;/Template&gt;&lt;Star&gt;0&lt;/Star&gt;&lt;Tag&gt;0&lt;/Tag&gt;&lt;Author&gt;Shao, T; Zhao, M; Tang, W&lt;/Author&gt;&lt;Year&gt;2022&lt;/Year&gt;&lt;Details&gt;&lt;_accession_num&gt;36561521&lt;/_accession_num&gt;&lt;_author_adr&gt;Center for Pharmacoeconomics and Outcomes Research, China Pharmaceutical  University, Nanjing, China.; Center for Pharmacoeconomics and Outcomes Research, China Pharmaceutical  University, Nanjing, China.; Center for Pharmacoeconomics and Outcomes Research, China Pharmaceutical  University, Nanjing, China.; Department of Public Affairs Management, School of International Pharmaceutical  Business, China Pharmaceutical University, Nanjing, China.&lt;/_author_adr&gt;&lt;_date_display&gt;2022&lt;/_date_display&gt;&lt;_date&gt;2022-01-20&lt;/_date&gt;&lt;_doi&gt;10.3389/fonc.2022.953671&lt;/_doi&gt;&lt;_isbn&gt;2234-943X (Print); 2234-943X (Electronic); 2234-943X (Linking)&lt;/_isbn&gt;&lt;_journal&gt;Front Oncol&lt;/_journal&gt;&lt;_keywords&gt;China; Orient 15; cost-effectiveness analysis; local advanced or metastatic oesophageal squamous cell carcinoma; sintilimab&lt;/_keywords&gt;&lt;_language&gt;eng&lt;/_language&gt;&lt;_ori_publication&gt;Copyright © 2022 Shao, Zhao and Tang.&lt;/_ori_publication&gt;&lt;_pages&gt;953671&lt;/_pages&gt;&lt;_tertiary_title&gt;Frontiers in oncology&lt;/_tertiary_title&gt;&lt;_type_work&gt;Journal Article&lt;/_type_work&gt;&lt;_url&gt;http://www.ncbi.nlm.nih.gov/entrez/query.fcgi?cmd=Retrieve&amp;amp;db=pubmed&amp;amp;dopt=Abstract&amp;amp;list_uids=36561521&amp;amp;query_hl=1&lt;/_url&gt;&lt;_volume&gt;12&lt;/_volume&gt;&lt;_created&gt;66161874&lt;/_created&gt;&lt;_modified&gt;66161874&lt;/_modified&gt;&lt;_impact_factor&gt;   4.700&lt;/_impact_factor&gt;&lt;_social_category&gt;肿瘤学(3)&lt;/_social_category&gt;&lt;_collection_scope&gt;SCIE&lt;/_collection_scope&gt;&lt;_accessed&gt;66161875&lt;/_accessed&gt;&lt;/Details&gt;&lt;Extra&gt;&lt;DBUID&gt;{DE16ABCE-A785-434C-BF43-2FE58866AFDD}&lt;/DBUID&gt;&lt;/Extra&gt;&lt;/Item&gt;&lt;/References&gt;&lt;/Group&gt;&lt;/Citation&gt;_x000a_"/>
    <w:docVar w:name="NE.Ref{D83B56DA-0DFE-4142-84A4-E374BF60A2D9}" w:val=" ADDIN NE.Ref.{D83B56DA-0DFE-4142-84A4-E374BF60A2D9}&lt;Citation&gt;&lt;Group&gt;&lt;References&gt;&lt;Item&gt;&lt;ID&gt;3632&lt;/ID&gt;&lt;UID&gt;{A829B135-F42B-4AC3-A20F-4562445491FA}&lt;/UID&gt;&lt;Title&gt;Results of PROFILE 1029, a Phase III Comparison of First-Line Crizotinib versus  Chemotherapy in East Asian Patients with ALK-Positive Advanced Non-Small Cell  Lung Cancer&lt;/Title&gt;&lt;Template&gt;Journal Article&lt;/Template&gt;&lt;Star&gt;0&lt;/Star&gt;&lt;Tag&gt;0&lt;/Tag&gt;&lt;Author&gt;Wu, Y L; Lu, S; Lu, Y; Zhou, J; Shi, Y K; Sriuranpong, V; Ho, JCM; Ong, C K; Tsai, C M; Chung, C H; Wilner, K D; Tang, Y; Masters, E T; Selaru, P; Mok, T S&lt;/Author&gt;&lt;Year&gt;2018&lt;/Year&gt;&lt;Details&gt;&lt;_accession_num&gt;29966800&lt;/_accession_num&gt;&lt;_author_adr&gt;Guangdong Lung Cancer Institute, Guangdong General Hospital and Guangdong Academy  of Medical Sciences, Guangzhou, People&amp;apos;s Republic of China. Electronic address:  syylwu@live.cn.; Department of Shanghai Lung Cancer Center, Shanghai Chest Hospital, Jiao Tong  University, Shanghai, People&amp;apos;s Republic of China.; Department of Thoracic Oncology, West China Hospital, Sichuan University,  Chengdu, People&amp;apos;s Republic of China.; Respiratory Department, First Affiliated Hospital, School of Medicine, Zhejiang  University, Hangzhou, People&amp;apos;s Republic of China.; Department of Medical Oncology, Beijing Key Laboratory of Clinical Study on  Anticancer Molecular Targeted Drugs, National Cancer Center/Cancer Hospital,  Chinese Academy of Medical Sciences and Peking Union Medical College, Beijing,  People&amp;apos;s Republic of China.; Medical Oncology Unit, Department of Medicine, Chulalongkorn University and the  King Chulalongkorn Memorial Hospital, Bangkok, Thailand.; Department of Medicine, The University of Hong Kong, Hong Kong, People&amp;apos;s Republic  of China.; Department of Respiratory Medicine, Hospital Pulau Pinang, Pulau Pinang,  Malaysia.; Department of Oncology, Taipei Veterans General Hospital, Taipei, Taiwan,  Republic of China.; Pfizer Oncology, New York, New York.; Pfizer Oncology, La Jolla, California.; Pfizer Oncology, La Jolla, California.; Pfizer Oncology, New York, New York.; Pfizer Oncology, La Jolla, California.; Department of Clinical Oncology, State Laboratory of South China, The Chinese  University of Hong Kong, Hong Kong, People&amp;apos;s Republic of China.&lt;/_author_adr&gt;&lt;_date_display&gt;2018 Oct&lt;/_date_display&gt;&lt;_date&gt;2018-10-01&lt;/_date&gt;&lt;_doi&gt;10.1016/j.jtho.2018.06.012&lt;/_doi&gt;&lt;_isbn&gt;1556-1380 (Electronic); 1556-0864 (Linking)&lt;/_isbn&gt;&lt;_issue&gt;10&lt;/_issue&gt;&lt;_journal&gt;J Thorac Oncol&lt;/_journal&gt;&lt;_keywords&gt;ALK-positive advanced non–small cell lung cancer; chemotherapy; crizotinib; phase III&lt;/_keywords&gt;&lt;_language&gt;eng&lt;/_language&gt;&lt;_ori_publication&gt;Copyright © 2018 International Association for the Study of Lung Cancer. _x000d__x000a_      Published by Elsevier Inc. All rights reserved.&lt;/_ori_publication&gt;&lt;_pages&gt;1539-1548&lt;/_pages&gt;&lt;_subject_headings&gt;Adult; Aged; Antineoplastic Combined Chemotherapy Protocols/pharmacology/*therapeutic use; Asian People; Carcinoma, Non-Small-Cell Lung/*drug therapy/pathology; Crizotinib/pharmacology/*therapeutic use; Female; Humans; Lung Neoplasms/*drug therapy/pathology; Male; Middle Aged; Young Adult&lt;/_subject_headings&gt;&lt;_tertiary_title&gt;Journal of thoracic oncology : official publication of the International _x000d__x000a_      Association for the Study of Lung Cancer&lt;/_tertiary_title&gt;&lt;_type_work&gt;Clinical Trial, Phase III; Journal Article; Research Support, Non-U.S. Gov&amp;apos;t&lt;/_type_work&gt;&lt;_url&gt;http://www.ncbi.nlm.nih.gov/entrez/query.fcgi?cmd=Retrieve&amp;amp;db=pubmed&amp;amp;dopt=Abstract&amp;amp;list_uids=29966800&amp;amp;query_hl=1&lt;/_url&gt;&lt;_volume&gt;13&lt;/_volume&gt;&lt;_created&gt;66161857&lt;/_created&gt;&lt;_modified&gt;66161857&lt;/_modified&gt;&lt;_impact_factor&gt;  20.400&lt;/_impact_factor&gt;&lt;_social_category&gt;肿瘤学(1) &amp;amp; 呼吸系统(1)&lt;/_social_category&gt;&lt;_collection_scope&gt;SCIE&lt;/_collection_scope&gt;&lt;_accessed&gt;66161857&lt;/_accessed&gt;&lt;/Details&gt;&lt;Extra&gt;&lt;DBUID&gt;{DE16ABCE-A785-434C-BF43-2FE58866AFDD}&lt;/DBUID&gt;&lt;/Extra&gt;&lt;/Item&gt;&lt;/References&gt;&lt;/Group&gt;&lt;/Citation&gt;_x000a_"/>
    <w:docVar w:name="NE.Ref{D966CE32-2002-4AF4-9AC3-EDE82E5460F9}" w:val=" ADDIN NE.Ref.{D966CE32-2002-4AF4-9AC3-EDE82E5460F9}&lt;Citation&gt;&lt;Group&gt;&lt;References&gt;&lt;Item&gt;&lt;ID&gt;3641&lt;/ID&gt;&lt;UID&gt;{4BC09D59-2D66-4150-83C1-9C64BF7FF171}&lt;/UID&gt;&lt;Title&gt;Cost-Effectiveness of 12 First-Line Treatments for Patients With Advanced EGFR  Mutated NSCLC in the United Kingdom and China&lt;/Title&gt;&lt;Template&gt;Journal Article&lt;/Template&gt;&lt;Star&gt;0&lt;/Star&gt;&lt;Tag&gt;0&lt;/Tag&gt;&lt;Author&gt;Guan, H; Wang, C; Chen, C; Han, S; Zhao, Z&lt;/Author&gt;&lt;Year&gt;2022&lt;/Year&gt;&lt;Details&gt;&lt;_accession_num&gt;35785198&lt;/_accession_num&gt;&lt;_author_adr&gt;Department of Pharmacy, Beijing Tiantan Hospital, Capital Medical University,  Beijing, China.; China Center for Health Economic Research, Peking University, Beijing, China.; International Research Center for Medicinal Administration, Peking University,  Beijing, China.; China Center for Health Economic Research, Peking University, Beijing, China.; Department of Global Health, School of Public Health, Wuhan University, Wuhan,  China.; International Research Center for Medicinal Administration, Peking University,  Beijing, China.; Department of Pharmacy, Beijing Tiantan Hospital, Capital Medical University,  Beijing, China.&lt;/_author_adr&gt;&lt;_date_display&gt;2022&lt;/_date_display&gt;&lt;_date&gt;2022-01-20&lt;/_date&gt;&lt;_doi&gt;10.3389/fonc.2022.819674&lt;/_doi&gt;&lt;_isbn&gt;2234-943X (Print); 2234-943X (Electronic); 2234-943X (Linking)&lt;/_isbn&gt;&lt;_journal&gt;Front Oncol&lt;/_journal&gt;&lt;_keywords&gt;China; cost-effectiveness; epidermal growth factor receptor; non-small cell lung cancer; the United Kingdom&lt;/_keywords&gt;&lt;_language&gt;eng&lt;/_language&gt;&lt;_ori_publication&gt;Copyright © 2022 Guan, Wang, Chen, Han and Zhao.&lt;/_ori_publication&gt;&lt;_pages&gt;819674&lt;/_pages&gt;&lt;_tertiary_title&gt;Frontiers in oncology&lt;/_tertiary_title&gt;&lt;_type_work&gt;Journal Article&lt;/_type_work&gt;&lt;_url&gt;http://www.ncbi.nlm.nih.gov/entrez/query.fcgi?cmd=Retrieve&amp;amp;db=pubmed&amp;amp;dopt=Abstract&amp;amp;list_uids=35785198&amp;amp;query_hl=1&lt;/_url&gt;&lt;_volume&gt;12&lt;/_volume&gt;&lt;_created&gt;66161870&lt;/_created&gt;&lt;_modified&gt;66161870&lt;/_modified&gt;&lt;_impact_factor&gt;   4.700&lt;/_impact_factor&gt;&lt;_social_category&gt;肿瘤学(3)&lt;/_social_category&gt;&lt;_collection_scope&gt;SCIE&lt;/_collection_scope&gt;&lt;_accessed&gt;66161870&lt;/_accessed&gt;&lt;/Details&gt;&lt;Extra&gt;&lt;DBUID&gt;{DE16ABCE-A785-434C-BF43-2FE58866AFDD}&lt;/DBUID&gt;&lt;/Extra&gt;&lt;/Item&gt;&lt;/References&gt;&lt;/Group&gt;&lt;/Citation&gt;_x000a_"/>
    <w:docVar w:name="NE.Ref{E1993FF2-0AF1-4ECF-8111-7F8DAC49A7AF}" w:val=" ADDIN NE.Ref.{E1993FF2-0AF1-4ECF-8111-7F8DAC49A7AF}&lt;Citation&gt;&lt;Group&gt;&lt;References&gt;&lt;Item&gt;&lt;ID&gt;1266&lt;/ID&gt;&lt;UID&gt;{022C9CA6-37E2-4753-AF98-9B71517FAD3B}&lt;/UID&gt;&lt;Title&gt;First-line ceritinib versus platinum-based chemotherapy in advanced  ALK-rearranged non-small-cell lung cancer (ASCEND-4): a randomised, open-label,  phase 3 study&lt;/Title&gt;&lt;Template&gt;Journal Article&lt;/Template&gt;&lt;Star&gt;0&lt;/Star&gt;&lt;Tag&gt;0&lt;/Tag&gt;&lt;Author&gt;Soria, J C; Tan, DSW; Chiari, R; Wu, Y L; Paz-Ares, L; Wolf, J; Geater, S L; Orlov, S; Cortinovis, D; Yu, C J; Hochmair, M; Cortot, A B; Tsai, C M; Moro-Sibilot, D; Campelo, R G; McCulloch, T; Sen, P; Dugan, M; Pantano, S; Branle, F; Massacesi, C; de Castro, G Jr&lt;/Author&gt;&lt;Year&gt;2017&lt;/Year&gt;&lt;Details&gt;&lt;_accession_num&gt;28126333&lt;/_accession_num&gt;&lt;_author_adr&gt;University Paris-Sud, Orsay, France; Institut Gustave Roussy, Villejuif, France.  Electronic address: Jean-Charles.Soria@gustaveroussy.fr.; National Cancer Centre Singapore and Genome Institute of Singapore, Singapore.; Azienda Ospedale Perugia, Perugia, Italy.; Guangdong Lung Cancer Institute, Guangdong General Hospital &amp;amp; Guangdong Academy  of Medical Sciences, Guangzhou, China.; University Hospital Virgen del RocioDoce de Octubre, Universidad Complutense &amp;amp;  CNIO, Madrid, Spain.; University Hospital Cologne, Cologne, Germany.; Songklanagarind Hospital, Songkla, Thailand.; State Pavlov Medical University, St Petersburg, Russia.; Az. Ospedaliera San Gerardo, Monza, Italy.; National Taiwan University Hospital, Taipei, Taiwan.; Respiratory Oncology Unit, Department of Respiratory and Critical Care Medicine,  Otto-Wagner-Spital, Vienna, Austria.; CHU de LILLE, Lille, France.; Taipei Veterans General Hospital, Taipei, Taiwan.; Hopital Albert Michallon, Grenoble, France.; University Hospital A Coruna, La Coruna, Spain.; Novartis Pharmaceuticals Corporation, East Hanover, NJ, USA.; Novartis Pharmaceuticals Corporation, East Hanover, NJ, USA.; Novartis Pharmaceuticals Corporation, East Hanover, NJ, USA.; Novartis Pharma AG, Basel, Switzerland.; Novartis Pharma AG, Basel, Switzerland.; Novartis Pharma AG, Basel, Switzerland.; Instituto do Cancer do Estado de Sao Paulo, Sao Paulo, Brazil.&lt;/_author_adr&gt;&lt;_collection_scope&gt;SCIE&lt;/_collection_scope&gt;&lt;_created&gt;65264683&lt;/_created&gt;&lt;_date&gt;2017-03-04&lt;/_date&gt;&lt;_date_display&gt;2017 Mar 4&lt;/_date_display&gt;&lt;_db_updated&gt;PubMed&lt;/_db_updated&gt;&lt;_doi&gt;10.1016/S0140-6736(17)30123-X&lt;/_doi&gt;&lt;_impact_factor&gt; 202.731&lt;/_impact_factor&gt;&lt;_isbn&gt;1474-547X (Electronic); 0140-6736 (Linking)&lt;/_isbn&gt;&lt;_issue&gt;10072&lt;/_issue&gt;&lt;_journal&gt;Lancet&lt;/_journal&gt;&lt;_language&gt;eng&lt;/_language&gt;&lt;_modified&gt;65264683&lt;/_modified&gt;&lt;_ori_publication&gt;Copyright (c) 2017 Elsevier Ltd. All rights reserved.&lt;/_ori_publication&gt;&lt;_pages&gt;917-929&lt;/_pages&gt;&lt;_social_category&gt;医学：内科(1)&lt;/_social_category&gt;&lt;_subject_headings&gt;Adult; Aged; Aged, 80 and over; Antineoplastic Agents/*administration &amp;amp; dosage/adverse effects; Antineoplastic Combined Chemotherapy Protocols/therapeutic use; Carboplatin/administration &amp;amp; dosage/adverse effects; Carcinoma, Non-Small-Cell Lung/*drug therapy/mortality; Cisplatin/administration &amp;amp; dosage/adverse effects; Disease-Free Survival; Female; Humans; Kaplan-Meier Estimate; Lung Neoplasms/*drug therapy/mortality; Male; Middle Aged; Pemetrexed/administration &amp;amp; dosage/adverse effects; Pyrimidines/*administration &amp;amp; dosage/adverse effects; Sulfones/*administration &amp;amp; dosage/adverse effects; Treatment Outcome; Young Adult&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126333&amp;amp;query_hl=1&lt;/_url&gt;&lt;_volume&gt;389&lt;/_volume&gt;&lt;/Details&gt;&lt;Extra&gt;&lt;DBUID&gt;{A96A13AE-8553-4F4D-9468-5E97E276BB62}&lt;/DBUID&gt;&lt;/Extra&gt;&lt;/Item&gt;&lt;/References&gt;&lt;/Group&gt;&lt;/Citation&gt;_x000a_"/>
    <w:docVar w:name="NE.Ref{E24C89B4-1E88-4FD4-8551-D0D0EA2906A3}" w:val=" ADDIN NE.Ref.{E24C89B4-1E88-4FD4-8551-D0D0EA2906A3}&lt;Citation&gt;&lt;Group&gt;&lt;References&gt;&lt;Item&gt;&lt;ID&gt;3625&lt;/ID&gt;&lt;UID&gt;{FC41A60C-E444-4757-8160-55064677B5C3}&lt;/UID&gt;&lt;Title&gt;Three-Year Follow-Up of an Alectinib Phase I/II Study in ALK-Positive  Non-Small-Cell Lung Cancer: AF-001JP&lt;/Title&gt;&lt;Template&gt;Journal Article&lt;/Template&gt;&lt;Star&gt;0&lt;/Star&gt;&lt;Tag&gt;0&lt;/Tag&gt;&lt;Author&gt;Tamura, T; Kiura, K; Seto, T; Nakagawa, K; Maemondo, M; Inoue, A; Hida, T; Yoshioka, H; Harada, M; Ohe, Y; Nogami, N; Murakami, H; Kuriki, H; Shimada, T; Tanaka, T; Takeuchi, K; Nishio, M&lt;/Author&gt;&lt;Year&gt;2017&lt;/Year&gt;&lt;Details&gt;&lt;_accession_num&gt;28296581&lt;/_accession_num&gt;&lt;_author_adr&gt;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 Tomohide Tamura, St Luke&amp;apos;s International Hospital; Yuichiro Ohe, National Cancer  Center Hospital; Hiroshi Kuriki, Tadashi Shimada, and Tomohiro Tanaka, Chugai  Pharmaceutical; Kengo Takeuchi, Japanese Foundation for Cancer Research; Makoto  Nishio, The Cancer Institute Hospital of the Japanese Foundation for Cancer  Research, Tokyo; Katsuyuki Kiura, Okayama University Hospital, Okayama; Takashi  Seto, National Kyusyu Cancer Center, Fukuoka; Kazuhiko Nakagawa, Kindai  University, Osaka-Sayama; Makoto Maemondo, Miyagi Cancer Center, Natori; Akira  Inoue, Tohoku University, Sendai; Toyoaki Hida, Aichi Cancer Center, Nagoya;  Hiroshige Yoshioka, Kurashiki Central Hospital, Kurashiki; Masao Harada, Hokkaido  Cancer Center, Sapporo; Naoyuki Nogami, National Hospital Organization Shikoku  Cancer Center, Matsuyama; and Haruyasu Murakami, Shizuoka Cancer Center,  Shizuoka, Japan.&lt;/_author_adr&gt;&lt;_date_display&gt;2017 May 10&lt;/_date_display&gt;&lt;_date&gt;2017-05-10&lt;/_date&gt;&lt;_doi&gt;10.1200/JCO.2016.70.5749&lt;/_doi&gt;&lt;_isbn&gt;1527-7755 (Electronic); 0732-183X (Print); 0732-183X (Linking)&lt;/_isbn&gt;&lt;_issue&gt;14&lt;/_issue&gt;&lt;_journal&gt;J Clin Oncol&lt;/_journal&gt;&lt;_language&gt;eng&lt;/_language&gt;&lt;_pages&gt;1515-1521&lt;/_pages&gt;&lt;_subject_headings&gt;Adult; Aged; Anaplastic Lymphoma Kinase; Antineoplastic Agents/adverse effects/*therapeutic use; Carbazoles/adverse effects/*therapeutic use; Carcinoma, Non-Small-Cell Lung/chemistry/*drug therapy/secondary; Disease Progression; Disease-Free Survival; Female; Follow-Up Studies; Humans; Hyperbilirubinemia/chemically induced; Lung Neoplasms/chemistry/*drug therapy/pathology; Male; Middle Aged; Piperidines/adverse effects/*therapeutic use; Receptor Protein-Tyrosine Kinases/analysis/*antagonists &amp;amp; inhibitors; Retreatment; Survival Rate; Symptom Assessment; Time Factors&lt;/_subject_headings&gt;&lt;_tertiary_title&gt;Journal of clinical oncology : official journal of the American Society of _x000d__x000a_      Clinical Oncology&lt;/_tertiary_title&gt;&lt;_type_work&gt;Clinical Trial, Phase I; Clinical Trial, Phase II; Journal Article; Multicenter Study&lt;/_type_work&gt;&lt;_url&gt;http://www.ncbi.nlm.nih.gov/entrez/query.fcgi?cmd=Retrieve&amp;amp;db=pubmed&amp;amp;dopt=Abstract&amp;amp;list_uids=28296581&amp;amp;query_hl=1&lt;/_url&gt;&lt;_volume&gt;35&lt;/_volume&gt;&lt;_created&gt;66161852&lt;/_created&gt;&lt;_modified&gt;66161852&lt;/_modified&gt;&lt;_impact_factor&gt;  45.300&lt;/_impact_factor&gt;&lt;_social_category&gt;肿瘤学(1)&lt;/_social_category&gt;&lt;_collection_scope&gt;SCIE&lt;/_collection_scope&gt;&lt;_accessed&gt;66161852&lt;/_accessed&gt;&lt;/Details&gt;&lt;Extra&gt;&lt;DBUID&gt;{DE16ABCE-A785-434C-BF43-2FE58866AFDD}&lt;/DBUID&gt;&lt;/Extra&gt;&lt;/Item&gt;&lt;/References&gt;&lt;/Group&gt;&lt;/Citation&gt;_x000a_"/>
    <w:docVar w:name="NE.Ref{E448A7B0-0183-43A5-BA84-02E860B27FB0}" w:val=" ADDIN NE.Ref.{E448A7B0-0183-43A5-BA84-02E860B27FB0}&lt;Citation&gt;&lt;Group&gt;&lt;References&gt;&lt;Item&gt;&lt;ID&gt;1347&lt;/ID&gt;&lt;UID&gt;{644EA442-2CA8-4648-9914-40EC6D36B909}&lt;/UID&gt;&lt;Title&gt;Lorlatinib in patients with ALK-positive non-small-cell lung cancer: results from  a global phase 2 study&lt;/Title&gt;&lt;Template&gt;Journal Article&lt;/Template&gt;&lt;Star&gt;0&lt;/Star&gt;&lt;Tag&gt;0&lt;/Tag&gt;&lt;Author&gt;Solomon, B J; Besse, B; Bauer, T M; Felip, E; Soo, R A; Camidge, D R; Chiari, R; Bearz, A; Lin, C C; Gadgeel, S M; Riely, G J; Tan, E H; Seto, T; James, L P; Clancy, J S; Abbattista, A; Martini, J F; Chen, J; Peltz, G; Thurm, H; Ou, S I; Shaw, A T&lt;/Author&gt;&lt;Year&gt;2018&lt;/Year&gt;&lt;Details&gt;&lt;_accession_num&gt;30413378&lt;/_accession_num&gt;&lt;_author_adr&gt;Peter MacCallum Cancer Centre, Melbourne, VIC, Australia. Electronic address:  ben.solomon@petermac.org.; Gustave Roussy Cancer Campus, Villejuif, France; Department of Cancer Medicine,  Paris-Sud University, Orsay, France.; Sarah Cannon Cancer Research Institute/Tennessee Oncology, PLLC, Nashville, TN,  USA.; Vall d&amp;apos;Hebron Institute of Oncology, Barcelona, Spain.; National University Hospital Singapore, Singapore.; Medical Oncology Department, University of Colorado, Aurora, CO, USA.; Santa Maria della Misericordia Hospital, Azienda Ospedaliera di Perugia, Perugia,  Italy.; National Institute for Cancer Research, Aviano, Italy.; National Taiwan University Hospital, Taipei, Taiwan.; Barbara Ann Karmanos Cancer Institute, University of Michigan, Ann Arbor, MI,  USA.; Memorial Sloan Kettering Cancer Center, New York, NY, USA.; National Cancer Center, Singapore.; National Kyushu Cancer Center, Fukuoka, Japan.; Pfizer Oncology, New York, NY, USA.; Pfizer Oncology, Cambridge, MA, USA.; Pfizer Oncology, Milan, Italy.; Pfizer Oncology, La Jolla, CA, USA.; Pfizer Oncology, New York, NY, USA.; Pfizer Oncology, Groton, CT, USA.; Pfizer Oncology, La Jolla, CA, USA.; University of California Irvine, Irvine, CA, USA.; Massachusetts General Hospital, Boston, MA, USA.&lt;/_author_adr&gt;&lt;_collection_scope&gt;SCIE&lt;/_collection_scope&gt;&lt;_created&gt;65322654&lt;/_created&gt;&lt;_date&gt;2018-12-01&lt;/_date&gt;&lt;_date_display&gt;2018 Dec&lt;/_date_display&gt;&lt;_db_updated&gt;PubMed&lt;/_db_updated&gt;&lt;_doi&gt;10.1016/S1470-2045(18)30649-1&lt;/_doi&gt;&lt;_impact_factor&gt;  54.433&lt;/_impact_factor&gt;&lt;_isbn&gt;1474-5488 (Electronic); 1470-2045 (Linking)&lt;/_isbn&gt;&lt;_issue&gt;12&lt;/_issue&gt;&lt;_journal&gt;Lancet Oncol&lt;/_journal&gt;&lt;_language&gt;eng&lt;/_language&gt;&lt;_modified&gt;65322654&lt;/_modified&gt;&lt;_ori_publication&gt;Copyright (c) 2018 Elsevier Ltd. All rights reserved.&lt;/_ori_publication&gt;&lt;_pages&gt;1654-1667&lt;/_pages&gt;&lt;_social_category&gt;肿瘤学(1)&lt;/_social_category&gt;&lt;_subject_headings&gt;Adult; Aged; Aged, 80 and over; Aminopyridines; Anaplastic Lymphoma Kinase/*antagonists &amp;amp; inhibitors/genetics; Antineoplastic Agents/adverse effects/*therapeutic use; Biomarkers, Tumor/*antagonists &amp;amp; inhibitors/genetics; Brain Neoplasms/*drug therapy/enzymology/secondary; Carcinoma, Non-Small-Cell Lung/*drug therapy/enzymology/secondary; Female; Gene Rearrangement; Humans; Lactams; Lactams, Macrocyclic/adverse effects/*therapeutic use; Lung Neoplasms/*drug therapy/enzymology/genetics/pathology; Male; Middle Aged; Progression-Free Survival; Protein Kinase Inhibitors/adverse effects/*therapeutic use; Pyrazoles; Time Factors; Tumor Burden&lt;/_subject_headings&gt;&lt;_tertiary_title&gt;The Lancet. Oncology&lt;/_tertiary_title&gt;&lt;_type_work&gt;Clinical Trial, Phase II; Journal Article; Multicenter Study; Research Support, Non-U.S. Gov&amp;apos;t&lt;/_type_work&gt;&lt;_url&gt;http://www.ncbi.nlm.nih.gov/entrez/query.fcgi?cmd=Retrieve&amp;amp;db=pubmed&amp;amp;dopt=Abstract&amp;amp;list_uids=30413378&amp;amp;query_hl=1&lt;/_url&gt;&lt;_volume&gt;19&lt;/_volume&gt;&lt;/Details&gt;&lt;Extra&gt;&lt;DBUID&gt;{A96A13AE-8553-4F4D-9468-5E97E276BB62}&lt;/DBUID&gt;&lt;/Extra&gt;&lt;/Item&gt;&lt;/References&gt;&lt;/Group&gt;&lt;/Citation&gt;_x000a_"/>
    <w:docVar w:name="NE.Ref{E6CD7736-2DB5-493C-975A-7A8FDA883FD6}" w:val=" ADDIN NE.Ref.{E6CD7736-2DB5-493C-975A-7A8FDA883FD6}&lt;Citation&gt;&lt;Group&gt;&lt;References&gt;&lt;Item&gt;&lt;ID&gt;1367&lt;/ID&gt;&lt;UID&gt;{1145F21F-3818-4E9D-982E-4D74B789E3DE}&lt;/UID&gt;&lt;Title&gt;Serplulimab Plus Chemotherapy vs Chemotherapy for Treatment of US and Chinese  Patients with Extensive-Stage Small-Cell Lung Cancer: A Cost-Effectiveness  Analysis to Inform Drug Pricing&lt;/Title&gt;&lt;Template&gt;Journal Article&lt;/Template&gt;&lt;Star&gt;0&lt;/Star&gt;&lt;Tag&gt;0&lt;/Tag&gt;&lt;Author&gt;Shao, T; Zhao, M; Liang, L; Tang, W&lt;/Author&gt;&lt;Year&gt;2023&lt;/Year&gt;&lt;Details&gt;&lt;_accession_num&gt;36840914&lt;/_accession_num&gt;&lt;_author_adr&gt;Center for Pharmacoeconomics and Outcomes Research, China Pharmaceutical  University, 639 Longmian Road, Jiangning District, Nanjing, 211198, China.; Center for Pharmacoeconomics and Outcomes Research, China Pharmaceutical  University, 639 Longmian Road, Jiangning District, Nanjing, 211198, China.; Center for Pharmacoeconomics and Outcomes Research, China Pharmaceutical  University, 639 Longmian Road, Jiangning District, Nanjing, 211198, China.; Center for Pharmacoeconomics and Outcomes Research, China Pharmaceutical  University, 639 Longmian Road, Jiangning District, Nanjing, 211198, China.  tokammy@cpu.edu.cn.; Department of Public Affairs Management, School of International Pharmaceutical  Business, China Pharmaceutical University, Nanjing, 211198, China.  tokammy@cpu.edu.cn.&lt;/_author_adr&gt;&lt;_date_display&gt;2023 May&lt;/_date_display&gt;&lt;_date&gt;2023-05-01&lt;/_date&gt;&lt;_doi&gt;10.1007/s40259-023-00586-6&lt;/_doi&gt;&lt;_isbn&gt;1179-190X (Electronic); 1173-8804 (Linking)&lt;/_isbn&gt;&lt;_issue&gt;3&lt;/_issue&gt;&lt;_journal&gt;BioDrugs&lt;/_journal&gt;&lt;_language&gt;eng&lt;/_language&gt;&lt;_ori_publication&gt;(c) 2023. The Author(s), under exclusive licence to Springer Nature Switzerland AG.&lt;/_ori_publication&gt;&lt;_pages&gt;421-432&lt;/_pages&gt;&lt;_subject_headings&gt;Humans; *Antibodies, Monoclonal/therapeutic use; Antineoplastic Combined Chemotherapy Protocols/therapeutic use; Cost-Benefit Analysis; *Cost-Effectiveness Analysis; Drug Costs; *Lung Neoplasms/drug therapy; United States; China; Antineoplastic Agents&lt;/_subject_headings&gt;&lt;_tertiary_title&gt;BioDrugs : clinical immunotherapeutics, biopharmaceuticals and gene therapy&lt;/_tertiary_title&gt;&lt;_type_work&gt;Comparative Study; Journal Article&lt;/_type_work&gt;&lt;_url&gt;http://www.ncbi.nlm.nih.gov/entrez/query.fcgi?cmd=Retrieve&amp;amp;db=pubmed&amp;amp;dopt=Abstract&amp;amp;list_uids=36840914&amp;amp;query_hl=1&lt;/_url&gt;&lt;_volume&gt;37&lt;/_volume&gt;&lt;_created&gt;65324799&lt;/_created&gt;&lt;_modified&gt;65324800&lt;/_modified&gt;&lt;_db_updated&gt;PubMed&lt;/_db_updated&gt;&lt;_impact_factor&gt;   7.744&lt;/_impact_factor&gt;&lt;_social_category&gt;免疫学(2) &amp;amp; 肿瘤学(2) &amp;amp; 药学(1)&lt;/_social_category&gt;&lt;_collection_scope&gt;SCIE&lt;/_collection_scope&gt;&lt;/Details&gt;&lt;Extra&gt;&lt;DBUID&gt;{A96A13AE-8553-4F4D-9468-5E97E276BB62}&lt;/DBUID&gt;&lt;/Extra&gt;&lt;/Item&gt;&lt;/References&gt;&lt;/Group&gt;&lt;/Citation&gt;_x000a_"/>
    <w:docVar w:name="NE.Ref{E8FA3068-43F9-4E19-87F0-5A82A1C00B66}" w:val=" ADDIN NE.Ref.{E8FA3068-43F9-4E19-87F0-5A82A1C00B66}&lt;Citation&gt;&lt;Group&gt;&lt;References&gt;&lt;Item&gt;&lt;ID&gt;1337&lt;/ID&gt;&lt;UID&gt;{FA599BCC-B503-49E7-8048-B577BEB286B3}&lt;/UID&gt;&lt;Title&gt;Brigatinib in Crizotinib-Refractory ALK+ NSCLC: 2-Year Follow-up on Systemic and  Intracranial Outcomes in the Phase 2 ALTA Trial&lt;/Title&gt;&lt;Template&gt;Journal Article&lt;/Template&gt;&lt;Star&gt;0&lt;/Star&gt;&lt;Tag&gt;0&lt;/Tag&gt;&lt;Author&gt;Huber, R M; Hansen, K H; Paz-Ares, Rodriguez L; West, H L; Reckamp, K L; Leighl, N B; Tiseo, M; Smit, E F; Kim, D W; Gettinger, S N; Hochmair, M J; Kim, S W; Langer, C J; Ahn, M J; Kim, E S; Kerstein, D; Groen, HJM; Camidge, D R&lt;/Author&gt;&lt;Year&gt;2020&lt;/Year&gt;&lt;Details&gt;&lt;_accession_num&gt;31756496&lt;/_accession_num&gt;&lt;_author_adr&gt;Division of Respiratory Medicine and Thoracic Oncology, Department of Medicine V,  University Hospital of Munich, Thoracic Oncology Centre Munich, German Centre for  Lung Research, Munich, Bavaria, Germany. Electronic address:  Huber@med.uni-muenchen.de.; Department of Clinical Oncology, Odense University Hospital, Odense, Denmark.; Medical Oncology Department, University Hospital &amp;quot;12 de Octubre,&amp;quot; Madrid, Spain.; Thoracic Oncology Program, Swedish Cancer Institute, Seattle, Washington.; Department of Medical Oncology &amp;amp; Therapeutics Research, City of Hope National  Medical Center, Duarte, California.; Department of Medical Oncology, Princess Margaret Cancer Centre, Toronto,  Ontario, Canada.; Medical Oncology Unit, University Hospital of Parma, Parma, Italy.; Department of Pulmonary Diseases, VU University Medical Center, Amsterdam, the  Netherlands.; Department of Internal Medicine, Seoul National University Hospital, Seoul, South  Korea.; Yale Cancer Center, New Haven, Connecticut.; Department of Respiratory and Critical Care Medicine, Karl Landsteiner Institute  of Lung Research and Pulmonary Oncology, Vienna, Austria.; Department of Oncology, Asan Medical Center, Seoul, South Korea.; University of Pennsylvania Abramson Cancer Center, Philadelphia, Pennsylvania.; Samsung Medical Center, Sungkyunkwan University School of Medicine, Seoul, South  Korea.; Levine Cancer Institute, Atrium Health, Charlotte, North Carolina.; Millennium Pharmaceuticals, Inc. (wholly owned subsidiary of Takeda  Pharmaceutical Company Limited), Cambridge, Massachusetts.; University of Groningen and University Medical Center Groningen, Groningen, the  Netherlands.; University of Colorado Cancer Center, Aurora, Colorado.&lt;/_author_adr&gt;&lt;_collection_scope&gt;SCIE&lt;/_collection_scope&gt;&lt;_created&gt;65322643&lt;/_created&gt;&lt;_date&gt;2020-03-01&lt;/_date&gt;&lt;_date_display&gt;2020 Mar&lt;/_date_display&gt;&lt;_db_updated&gt;PubMed&lt;/_db_updated&gt;&lt;_doi&gt;10.1016/j.jtho.2019.11.004&lt;/_doi&gt;&lt;_impact_factor&gt;  20.121&lt;/_impact_factor&gt;&lt;_isbn&gt;1556-1380 (Electronic); 1556-0864 (Linking)&lt;/_isbn&gt;&lt;_issue&gt;3&lt;/_issue&gt;&lt;_journal&gt;J Thorac Oncol&lt;/_journal&gt;&lt;_keywords&gt;ALK tyrosine kinase receptor; Anaplastic lymphoma kinase; Brigatinib; Non-small cell lung cancer&lt;/_keywords&gt;&lt;_language&gt;eng&lt;/_language&gt;&lt;_modified&gt;65322643&lt;/_modified&gt;&lt;_ori_publication&gt;Copyright (c) 2019 International Association for the Study of Lung Cancer. _x000d__x000a_      Published by Elsevier Inc. All rights reserved.&lt;/_ori_publication&gt;&lt;_pages&gt;404-415&lt;/_pages&gt;&lt;_social_category&gt;肿瘤学(1) &amp;amp; 呼吸系统(1)&lt;/_social_category&gt;&lt;_subject_headings&gt;Anaplastic Lymphoma Kinase/genetics; *Crizotinib/therapeutic use; Follow-Up Studies; Humans; *Lung Neoplasms/drug therapy; Organophosphorus Compounds; *Protein Kinase Inhibitors/therapeutic use; Pyrimidines&lt;/_subject_headings&gt;&lt;_tertiary_title&gt;Journal of thoracic oncology : official publication of the International _x000d__x000a_      Association for the Study of Lung Cancer&lt;/_tertiary_title&gt;&lt;_type_work&gt;Clinical Trial, Phase II; Journal Article; Randomized Controlled Trial; Research Support, Non-U.S. Gov&amp;apos;t&lt;/_type_work&gt;&lt;_url&gt;http://www.ncbi.nlm.nih.gov/entrez/query.fcgi?cmd=Retrieve&amp;amp;db=pubmed&amp;amp;dopt=Abstract&amp;amp;list_uids=31756496&amp;amp;query_hl=1&lt;/_url&gt;&lt;_volume&gt;15&lt;/_volume&gt;&lt;/Details&gt;&lt;Extra&gt;&lt;DBUID&gt;{A96A13AE-8553-4F4D-9468-5E97E276BB62}&lt;/DBUID&gt;&lt;/Extra&gt;&lt;/Item&gt;&lt;/References&gt;&lt;/Group&gt;&lt;/Citation&gt;_x000a_"/>
    <w:docVar w:name="NE.Ref{E9D99261-2C4B-435B-B088-23A52518BE6A}" w:val=" ADDIN NE.Ref.{E9D99261-2C4B-435B-B088-23A52518BE6A}&lt;Citation&gt;&lt;Group&gt;&lt;References&gt;&lt;Item&gt;&lt;ID&gt;1274&lt;/ID&gt;&lt;UID&gt;{5426A022-788E-4D0C-B891-D670FAA831CD}&lt;/UID&gt;&lt;Title&gt;Alectinib versus crizotinib in patients with ALK-positive non-small-cell lung cancer (J-ALEX): an open-label, randomised phase 3 trial.&lt;/Title&gt;&lt;Template&gt;Journal Article&lt;/Template&gt;&lt;Star&gt;0&lt;/Star&gt;&lt;Tag&gt;0&lt;/Tag&gt;&lt;Author&gt;Hida, Toyoaki;Nokihara, Hiroshi;Kondo, Masashi;Kim, Young Hak;Tamura, Tomohide&lt;/Author&gt;&lt;Year&gt;2017&lt;/Year&gt;&lt;Details&gt;&lt;_collection_scope&gt;SCIE&lt;/_collection_scope&gt;&lt;_created&gt;65265051&lt;/_created&gt;&lt;_db_provider&gt;百度学术&lt;/_db_provider&gt;&lt;_doi&gt;10.1016/S0140-6736(17)30565-2&lt;/_doi&gt;&lt;_impact_factor&gt; 202.731&lt;/_impact_factor&gt;&lt;_issue&gt;10089&lt;/_issue&gt;&lt;_journal&gt;Lancet&lt;/_journal&gt;&lt;_modified&gt;65265051&lt;/_modified&gt;&lt;_pages&gt;29-39&lt;/_pages&gt;&lt;_social_category&gt;医学：内科(1)&lt;/_social_category&gt;&lt;_url&gt;https://www.nstl.gov.cn/paper_detail.html?id=377f03e8d1be8edf193dc9c38207bcaf&lt;/_url&gt;&lt;_volume&gt;390&lt;/_volume&gt;&lt;/Details&gt;&lt;Extra&gt;&lt;DBUID&gt;{A96A13AE-8553-4F4D-9468-5E97E276BB62}&lt;/DBUID&gt;&lt;/Extra&gt;&lt;/Item&gt;&lt;/References&gt;&lt;/Group&gt;&lt;/Citation&gt;_x000a_"/>
    <w:docVar w:name="NE.Ref{EC893D53-A682-410A-8869-CC2C070B6B5B}" w:val=" ADDIN NE.Ref.{EC893D53-A682-410A-8869-CC2C070B6B5B}&lt;Citation&gt;&lt;Group&gt;&lt;References&gt;&lt;Item&gt;&lt;ID&gt;3621&lt;/ID&gt;&lt;UID&gt;{2BBF8BB0-37FB-4AB4-91C3-CDA684F70569}&lt;/UID&gt;&lt;Title&gt;Lorlatinib for Previously Treated ALK-Positive Advanced NSCLC: Primary Efficacy  and Safety From a Phase 2 Study in People&amp;apos;s Republic of China&lt;/Title&gt;&lt;Template&gt;Journal Article&lt;/Template&gt;&lt;Star&gt;0&lt;/Star&gt;&lt;Tag&gt;0&lt;/Tag&gt;&lt;Author&gt;Lu, S; Zhou, Q; Liu, X; &amp;quot;Du Y&amp;quot;; Fan, Y; Cheng, Y; Fang, J; Lu, Y; Huang, C; Zhou, J; Song, Y; Wang, K; Pan, H; Yang, N; Li, J; Chen, G; Chang, J; Cui, J; Liu, Z; Bai, C; Zhang, H; Zhao, H; Zhang, K; Peltz, G; Li, H; Wu, Y L&lt;/Author&gt;&lt;Year&gt;2022&lt;/Year&gt;&lt;Details&gt;&lt;_accession_num&gt;35307611&lt;/_accession_num&gt;&lt;_author_adr&gt;Shanghai Chest Hospital, Shanghai, People&amp;apos;s Republic of China.; Guangdong Lung Cancer Institute, Guangdong Provincial People&amp;apos;s Hospital,  Guangdong Academy of Medical Sciences, Guangzhou, People&amp;apos;s Republic of China.; Fifth Medical Center of PLA General Hospital, Beijing, People&amp;apos;s Republic of  China.; The First Affiliated Hospital of Anhui Medical University, Anhui, People&amp;apos;s  Republic of China.; Zhejiang Cancer Hospital, Hangzhou, People&amp;apos;s Republic of China.; Jilin Provincial Cancer Hospital, Changchun, People&amp;apos;s Republic of China.; Beijing Cancer Hospital, Beijing, People&amp;apos;s Republic of China.; West China Hospital of Sichuan University, Chengdu, People&amp;apos;s Republic of China.; Fujian Province Oncology Hospital, Fuzhou, People&amp;apos;s Republic of China.; First Affiliated Hospital, Zhejiang Medical University, Hangzhou, People&amp;apos;s  Republic of China.; Nanjing General Hospital of Nanjing Military Command, Nanjing, People&amp;apos;s Republic  of China.; The Second Affiliated Hospital of Zhejiang University College of Medicine,  Hangzhou, People&amp;apos;s Republic of China.; Sir Run Run Shaw Hospital of College of Medicine of Zhejiang University,  Hangzhou, People&amp;apos;s Republic of China.; Hunan Provincial Tumor Hospital, Changsha, People&amp;apos;s Republic of China.; Sichuan Province Cancer Hospital, Chengdu, People&amp;apos;s Republic of China.; Harbin Medical University Cancer Hospital, Harbin, People&amp;apos;s Republic of China.; Cancer Hospital Chinese Academy of Medical Sciences, Shenzhen Center, Shenzhen,  China, 518116.; First Hospital of Jilin University, Changchun, People&amp;apos;s Republic of China.; Beijing Chest Hospital, Capital Medical University, Beijing, People&amp;apos;s Republic of  China.; Zhongshan Hospital, Fudan University, Shanghai, People&amp;apos;s Republic of China.; Tangdu Hospital, Fourth Military Medical University, Xi&amp;apos;an, People&amp;apos;s Republic of  China.; Pfizer, Shanghai, People&amp;apos;s Republic of China.; Pfizer, Shanghai, People&amp;apos;s Republic of China.; Pfizer Inc., Cambridge, Massachusetts.; Pfizer, Shanghai, People&amp;apos;s Republic of China.; Guangdong Lung Cancer Institute, Guangdong Provincial People&amp;apos;s Hospital,  Guangdong Academy of Medical Sciences, Guangzhou, People&amp;apos;s Republic of China.  Electronic address: syylwu@live.cn.&lt;/_author_adr&gt;&lt;_date_display&gt;2022 Jun&lt;/_date_display&gt;&lt;_date&gt;2022-06-01&lt;/_date&gt;&lt;_doi&gt;10.1016/j.jtho.2022.02.014&lt;/_doi&gt;&lt;_isbn&gt;1556-1380 (Electronic); 1556-0864 (Linking)&lt;/_isbn&gt;&lt;_issue&gt;6&lt;/_issue&gt;&lt;_journal&gt;J Thorac Oncol&lt;/_journal&gt;&lt;_keywords&gt;ALK; China; Lorlatinib; Non–small cell lung cancer; Tyrosine kinase inhibitor&lt;/_keywords&gt;&lt;_language&gt;eng&lt;/_language&gt;&lt;_ori_publication&gt;Copyright © 2022 International Association for the Study of Lung Cancer. _x000d__x000a_      Published by Elsevier Inc. All rights reserved.&lt;/_ori_publication&gt;&lt;_pages&gt;816-826&lt;/_pages&gt;&lt;_subject_headings&gt;Aminopyridines/adverse effects; *Carcinoma, Non-Small-Cell Lung/drug therapy/pathology; Cohort Studies; Crizotinib/therapeutic use; Humans; Lactams/adverse effects; *Lung Neoplasms/drug therapy/pathology; Protein Kinase Inhibitors/adverse effects; Pyrazoles/adverse effects; Receptor Protein-Tyrosine Kinases; Taiwan&lt;/_subject_headings&gt;&lt;_tertiary_title&gt;Journal of thoracic oncology : official publication of the International _x000d__x000a_      Association for the Study of Lung Cancer&lt;/_tertiary_title&gt;&lt;_type_work&gt;Clinical Trial, Phase II; Journal Article&lt;/_type_work&gt;&lt;_url&gt;http://www.ncbi.nlm.nih.gov/entrez/query.fcgi?cmd=Retrieve&amp;amp;db=pubmed&amp;amp;dopt=Abstract&amp;amp;list_uids=35307611&amp;amp;query_hl=1&lt;/_url&gt;&lt;_volume&gt;17&lt;/_volume&gt;&lt;_created&gt;66161849&lt;/_created&gt;&lt;_modified&gt;66161849&lt;/_modified&gt;&lt;_impact_factor&gt;  20.400&lt;/_impact_factor&gt;&lt;_social_category&gt;肿瘤学(1) &amp;amp; 呼吸系统(1)&lt;/_social_category&gt;&lt;_collection_scope&gt;SCIE&lt;/_collection_scope&gt;&lt;_accessed&gt;66161849&lt;/_accessed&gt;&lt;/Details&gt;&lt;Extra&gt;&lt;DBUID&gt;{DE16ABCE-A785-434C-BF43-2FE58866AFDD}&lt;/DBUID&gt;&lt;/Extra&gt;&lt;/Item&gt;&lt;/References&gt;&lt;/Group&gt;&lt;/Citation&gt;_x000a_"/>
    <w:docVar w:name="NE.Ref{ECB6AEA7-AFF5-4F6E-86D2-C828E3865BD0}" w:val=" ADDIN NE.Ref.{ECB6AEA7-AFF5-4F6E-86D2-C828E3865BD0}&lt;Citation&gt;&lt;Group&gt;&lt;References&gt;&lt;Item&gt;&lt;ID&gt;1343&lt;/ID&gt;&lt;UID&gt;{5D362055-0648-4D16-ABD0-8595CBF9A40E}&lt;/UID&gt;&lt;Title&gt;Brigatinib in Japanese Patients With ALK-Positive NSCLC Previously Treated With  Alectinib and Other Tyrosine Kinase Inhibitors: Outcomes of the Phase 2 J-ALTA  Trial&lt;/Title&gt;&lt;Template&gt;Journal Article&lt;/Template&gt;&lt;Star&gt;0&lt;/Star&gt;&lt;Tag&gt;0&lt;/Tag&gt;&lt;Author&gt;Nishio, M; Yoshida, T; Kumagai, T; Hida, T; Toyozawa, R; Shimokawaji, T; Goto, K; Nakagawa, K; Ohe, Y; Seto, T; Kudou, K; Asato, T; Zhang, P; Yamamoto, N&lt;/Author&gt;&lt;Year&gt;2021&lt;/Year&gt;&lt;Details&gt;&lt;_accession_num&gt;33248320&lt;/_accession_num&gt;&lt;_author_adr&gt;Department of Thoracic Medical Oncology, The Cancer Institute Hospital, Japanese  Foundation for Cancer Research, Koto, Tokyo, Japan.; Department of Thoracic Oncology, National Cancer Center Hospital, Chuo-ku, Tokyo,  Japan.; Department of Thoracic Oncology, Osaka International Cancer Institute, Chuo-ku,  Osaka, Japan.; Department of Thoracic Oncology, Aichi Cancer Center, Nagoya, Aichi, Japan.; Department of Thoracic Oncology, National Hospital Organization Kyushu Cancer  Center, Minami-ku, Fukuoka, Japan.; Department of Thoracic Oncology, Kanagawa Cancer Center, Yokohama, Kanagawa,  Japan.; Department of Thoracic Oncology, National Cancer Center Hospital East,  Kashiwa-shi, Chiba, Japan.; Department of Medical Oncology, Kindai University Faculty of Medicine,  Osaka-sayama, Osaka, Japan.; Department of Thoracic Oncology, National Cancer Center Hospital, Chuo-ku, Tokyo,  Japan.; Department of Thoracic Oncology, National Hospital Organization Kyushu Cancer  Center, Minami-ku, Fukuoka, Japan.; Biostatistics, Japan Development Center, Takeda Pharmaceutical Company Limited,  Chuo-ku, Osaka, Japan.; Oncology Clinical Research Department, Oncology Therapeutic Area Unit for Japan  and Asia, Takeda Pharmaceutical Company Limited, Chuo-ku, Osaka, Japan.; Millennium Pharmaceuticals, Inc., Cambridge, Massachusetts.; Internal Medicine III, Wakayama Medical University, Wakayama, Wakayama  Prefecture, Japan. Electronic address: nbyamamo@wakayama-med.ac.jp.&lt;/_author_adr&gt;&lt;_collection_scope&gt;SCIE&lt;/_collection_scope&gt;&lt;_created&gt;65322648&lt;/_created&gt;&lt;_date&gt;2021-03-01&lt;/_date&gt;&lt;_date_display&gt;2021 Mar&lt;/_date_display&gt;&lt;_db_updated&gt;PubMed&lt;/_db_updated&gt;&lt;_doi&gt;10.1016/j.jtho.2020.11.004&lt;/_doi&gt;&lt;_impact_factor&gt;  20.121&lt;/_impact_factor&gt;&lt;_isbn&gt;1556-1380 (Electronic); 1556-0864 (Linking)&lt;/_isbn&gt;&lt;_issue&gt;3&lt;/_issue&gt;&lt;_journal&gt;J Thorac Oncol&lt;/_journal&gt;&lt;_keywords&gt;Alectinib; Anaplastic lymphoma kinase; Brigatinib; Crizotinib; Non-small cell lung cancer; Tyrosine kinase inhibitor&lt;/_keywords&gt;&lt;_language&gt;eng&lt;/_language&gt;&lt;_modified&gt;65322648&lt;/_modified&gt;&lt;_ori_publication&gt;Copyright (c) 2020 International Association for the Study of Lung Cancer. _x000d__x000a_      Published by Elsevier Inc. All rights reserved.&lt;/_ori_publication&gt;&lt;_pages&gt;452-463&lt;/_pages&gt;&lt;_social_category&gt;肿瘤学(1) &amp;amp; 呼吸系统(1)&lt;/_social_category&gt;&lt;_subject_headings&gt;Anaplastic Lymphoma Kinase/genetics; Carbazoles/therapeutic use; Humans; Japan; *Lung Neoplasms/drug therapy; Organophosphorus Compounds; Piperidines; Protein Kinase Inhibitors/therapeutic use; Pyrimidines&lt;/_subject_headings&gt;&lt;_tertiary_title&gt;Journal of thoracic oncology : official publication of the International _x000d__x000a_      Association for the Study of Lung Cancer&lt;/_tertiary_title&gt;&lt;_type_work&gt;Clinical Trial, Phase II; Journal Article; Multicenter Study; Research Support, Non-U.S. Gov&amp;apos;t&lt;/_type_work&gt;&lt;_url&gt;http://www.ncbi.nlm.nih.gov/entrez/query.fcgi?cmd=Retrieve&amp;amp;db=pubmed&amp;amp;dopt=Abstract&amp;amp;list_uids=33248320&amp;amp;query_hl=1&lt;/_url&gt;&lt;_volume&gt;16&lt;/_volume&gt;&lt;/Details&gt;&lt;Extra&gt;&lt;DBUID&gt;{A96A13AE-8553-4F4D-9468-5E97E276BB62}&lt;/DBUID&gt;&lt;/Extra&gt;&lt;/Item&gt;&lt;/References&gt;&lt;/Group&gt;&lt;/Citation&gt;_x000a_"/>
    <w:docVar w:name="NE.Ref{EF26B03C-F5C1-4729-AA65-2F15A5544283}" w:val=" ADDIN NE.Ref.{EF26B03C-F5C1-4729-AA65-2F15A5544283}&lt;Citation&gt;&lt;Group&gt;&lt;References&gt;&lt;Item&gt;&lt;ID&gt;3641&lt;/ID&gt;&lt;UID&gt;{4BC09D59-2D66-4150-83C1-9C64BF7FF171}&lt;/UID&gt;&lt;Title&gt;Cost-Effectiveness of 12 First-Line Treatments for Patients With Advanced EGFR  Mutated NSCLC in the United Kingdom and China&lt;/Title&gt;&lt;Template&gt;Journal Article&lt;/Template&gt;&lt;Star&gt;0&lt;/Star&gt;&lt;Tag&gt;0&lt;/Tag&gt;&lt;Author&gt;Guan, H; Wang, C; Chen, C; Han, S; Zhao, Z&lt;/Author&gt;&lt;Year&gt;2022&lt;/Year&gt;&lt;Details&gt;&lt;_accession_num&gt;35785198&lt;/_accession_num&gt;&lt;_author_adr&gt;Department of Pharmacy, Beijing Tiantan Hospital, Capital Medical University,  Beijing, China.; China Center for Health Economic Research, Peking University, Beijing, China.; International Research Center for Medicinal Administration, Peking University,  Beijing, China.; China Center for Health Economic Research, Peking University, Beijing, China.; Department of Global Health, School of Public Health, Wuhan University, Wuhan,  China.; International Research Center for Medicinal Administration, Peking University,  Beijing, China.; Department of Pharmacy, Beijing Tiantan Hospital, Capital Medical University,  Beijing, China.&lt;/_author_adr&gt;&lt;_date_display&gt;2022&lt;/_date_display&gt;&lt;_date&gt;2022-01-20&lt;/_date&gt;&lt;_doi&gt;10.3389/fonc.2022.819674&lt;/_doi&gt;&lt;_isbn&gt;2234-943X (Print); 2234-943X (Electronic); 2234-943X (Linking)&lt;/_isbn&gt;&lt;_journal&gt;Front Oncol&lt;/_journal&gt;&lt;_keywords&gt;China; cost-effectiveness; epidermal growth factor receptor; non-small cell lung cancer; the United Kingdom&lt;/_keywords&gt;&lt;_language&gt;eng&lt;/_language&gt;&lt;_ori_publication&gt;Copyright © 2022 Guan, Wang, Chen, Han and Zhao.&lt;/_ori_publication&gt;&lt;_pages&gt;819674&lt;/_pages&gt;&lt;_tertiary_title&gt;Frontiers in oncology&lt;/_tertiary_title&gt;&lt;_type_work&gt;Journal Article&lt;/_type_work&gt;&lt;_url&gt;http://www.ncbi.nlm.nih.gov/entrez/query.fcgi?cmd=Retrieve&amp;amp;db=pubmed&amp;amp;dopt=Abstract&amp;amp;list_uids=35785198&amp;amp;query_hl=1&lt;/_url&gt;&lt;_volume&gt;12&lt;/_volume&gt;&lt;_created&gt;66161870&lt;/_created&gt;&lt;_modified&gt;66161870&lt;/_modified&gt;&lt;_impact_factor&gt;   4.700&lt;/_impact_factor&gt;&lt;_social_category&gt;肿瘤学(3)&lt;/_social_category&gt;&lt;_collection_scope&gt;SCIE&lt;/_collection_scope&gt;&lt;_accessed&gt;66161870&lt;/_accessed&gt;&lt;/Details&gt;&lt;Extra&gt;&lt;DBUID&gt;{DE16ABCE-A785-434C-BF43-2FE58866AFDD}&lt;/DBUID&gt;&lt;/Extra&gt;&lt;/Item&gt;&lt;/References&gt;&lt;/Group&gt;&lt;/Citation&gt;_x000a_"/>
    <w:docVar w:name="NE.Ref{F1DBC154-0124-48D2-97CE-D6C023B0643F}" w:val=" ADDIN NE.Ref.{F1DBC154-0124-48D2-97CE-D6C023B0643F}&lt;Citation&gt;&lt;Group&gt;&lt;References&gt;&lt;Item&gt;&lt;ID&gt;3633&lt;/ID&gt;&lt;UID&gt;{A7DB2C85-83EA-415D-8901-9884069FF9B7}&lt;/UID&gt;&lt;Title&gt;Alectinib versus crizotinib in patients with ALK-positive non-small-cell lung  cancer (J-ALEX): an open-label, randomised phase 3 trial&lt;/Title&gt;&lt;Template&gt;Journal Article&lt;/Template&gt;&lt;Star&gt;0&lt;/Star&gt;&lt;Tag&gt;0&lt;/Tag&gt;&lt;Author&gt;Hida, T; Nokihara, H; Kondo, M; Kim, Y H; Azuma, K; Seto, T; Takiguchi, Y; Nishio, M; Yoshioka, H; Imamura, F; Hotta, K; Watanabe, S; Goto, K; Satouchi, M; Kozuki, T; Shukuya, T; Nakagawa, K; Mitsudomi, T; Yamamoto, N; Asakawa, T; Asabe, R; Tanaka, T; Tamura, T&lt;/Author&gt;&lt;Year&gt;2017&lt;/Year&gt;&lt;Details&gt;&lt;_accession_num&gt;28501140&lt;/_accession_num&gt;&lt;_author_adr&gt;Department of Thoracic Oncology, Aichi Cancer Center, Nagoya, Japan.; Department of Thoracic Oncology, National Cancer Center Hospital, Tokyo, Japan.; Department of Respiratory Medicine, Nagoya University Graduate School of  Medicine, Nagoya, Japan.; Department of Respiratory Medicine, Kyoto University, Kyoto, Japan.; Institution Division of Respirology, Neurology, and Rheumatology, Department of  Internal Medicine, Kurume University School of Medicine, Kurume, Japan.; Department of Thoracic Oncology, National Kyushu Cancer Center, Fukuoka, Japan.; Department of Medical Oncology, Graduate School of Medicine, Chiba University,  Chiba, Japan.; Department of Thoracic Medical Oncology, The Cancer Institute Hospital of  Japanese Foundation for Cancer Research, Tokyo, Japan.; Department of Respiratory Medicine, Kurashiki Central Hospital, Kurashiki, Japan.; Department of Thoracic Oncology, Osaka Medical Center for Cancer and  Cardiovascular Diseases, Osaka, Japan.; Center for Innovative Clinical Medicine, Okayama University Hospital, Okayama,  Japan.; Department of Respiratory Medicine and Infectious Diseases, Niigata University  Graduate School of Medical and Dental Sciences, Niigata, Japan.; Department of Thoracic Oncology, National Cancer Center Hospital East, Kashiwa,  Japan.; Department of Thoracic Oncology, Hyogo Cancer Center, Akashi, Japan.; Department of Thoracic Oncology and Medicine, Shikoku Cancer Center, Matsuyama,  Japan.; Department of Respiratory Medicine, Juntendo University, Tokyo, Japan.; Department of Medical Oncology, Kindai University Faculty of Medicine,  Osaka-Sayama, Japan.; Division of Thoracic Surgery, Department of Surgery, Kindai University Faculty of  Medicine, Osaka-Sayama, Japan.; Third Department of Internal Medicine, Wakayama Medical University, Wakayama,  Japan.; Clinical Science and Strategy Department, Chugai Pharmaceutical, Tokyo, Japan.; Clinical Study Management Department, Chugai Pharmaceutical, Tokyo, Japan.; Clinical Science and Strategy Department, Chugai Pharmaceutical, Tokyo, Japan.; Thoracic Center, St. Luke&amp;apos;s International Hospital, Tokyo, Japan. Electronic  address: tamuratomohide@gmail.com.&lt;/_author_adr&gt;&lt;_date_display&gt;2017 Jul 1&lt;/_date_display&gt;&lt;_date&gt;2017-07-01&lt;/_date&gt;&lt;_doi&gt;10.1016/S0140-6736(17)30565-2&lt;/_doi&gt;&lt;_isbn&gt;1474-547X (Electronic); 0140-6736 (Linking)&lt;/_isbn&gt;&lt;_issue&gt;10089&lt;/_issue&gt;&lt;_journal&gt;Lancet&lt;/_journal&gt;&lt;_language&gt;eng&lt;/_language&gt;&lt;_ori_publication&gt;Copyright © 2017 Elsevier Ltd. All rights reserved.&lt;/_ori_publication&gt;&lt;_pages&gt;29-39&lt;/_pages&gt;&lt;_subject_headings&gt;Adult; Aged; Aged, 80 and over; Anaplastic Lymphoma Kinase; Antineoplastic Agents/adverse effects/blood/*therapeutic use; Brain Neoplasms/secondary; Carbazoles/adverse effects/blood/*therapeutic use; Carcinoma, Non-Small-Cell Lung/*drug therapy/enzymology/pathology/secondary; Crizotinib; Female; Humans; Kaplan-Meier Estimate; Lung Neoplasms/*drug therapy/enzymology/pathology; Male; Middle Aged; Neoplasm Grading; Piperidines/adverse effects/blood/*therapeutic use; Protein Kinase Inhibitors/adverse effects/blood/therapeutic use; Pyrazoles/adverse effects/blood/*therapeutic use; Pyridines/adverse effects/blood/*therapeutic use; Receptor Protein-Tyrosine Kinases/antagonists &amp;amp; inhibitors/*metabolism; Single-Blind Method&lt;/_subject_headings&gt;&lt;_tertiary_title&gt;Lancet (London, England)&lt;/_tertiary_title&gt;&lt;_type_work&gt;Clinical Trial, Phase III; Comparative Study; Journal Article; Multicenter Study; Randomized Controlled Trial&lt;/_type_work&gt;&lt;_url&gt;http://www.ncbi.nlm.nih.gov/entrez/query.fcgi?cmd=Retrieve&amp;amp;db=pubmed&amp;amp;dopt=Abstract&amp;amp;list_uids=28501140&amp;amp;query_hl=1&lt;/_url&gt;&lt;_volume&gt;390&lt;/_volume&gt;&lt;_created&gt;66161857&lt;/_created&gt;&lt;_modified&gt;66161857&lt;/_modified&gt;&lt;_impact_factor&gt; 168.900&lt;/_impact_factor&gt;&lt;_social_category&gt;医学：内科(1)&lt;/_social_category&gt;&lt;_collection_scope&gt;SCIE&lt;/_collection_scope&gt;&lt;_accessed&gt;66161857&lt;/_accessed&gt;&lt;/Details&gt;&lt;Extra&gt;&lt;DBUID&gt;{DE16ABCE-A785-434C-BF43-2FE58866AFDD}&lt;/DBUID&gt;&lt;/Extra&gt;&lt;/Item&gt;&lt;/References&gt;&lt;/Group&gt;&lt;/Citation&gt;_x000a_"/>
    <w:docVar w:name="NE.Ref{F2996067-F865-44E4-9549-63A1900D813F}" w:val=" ADDIN NE.Ref.{F2996067-F865-44E4-9549-63A1900D813F}&lt;Citation&gt;&lt;Group&gt;&lt;References&gt;&lt;Item&gt;&lt;ID&gt;3618&lt;/ID&gt;&lt;UID&gt;{AA1D9D63-1EA4-4B31-A93E-821056503A09}&lt;/UID&gt;&lt;Title&gt;Phase II study of ceritinib in alectinib-pretreated patients with anaplastic  lymphoma kinase-rearranged metastatic non-small-cell lung cancer in Japan:  ASCEND-9&lt;/Title&gt;&lt;Template&gt;Journal Article&lt;/Template&gt;&lt;Star&gt;0&lt;/Star&gt;&lt;Tag&gt;0&lt;/Tag&gt;&lt;Author&gt;Hida, T; Seto, T; Horinouchi, H; Maemondo, M; Takeda, M; Hotta, K; Hirai, F; Kim, Y H; Matsumoto, S; Ito, M; Ayukawa, K; Tokushige, K; Yonemura, M; Mitsudomi, T; Nishio, M&lt;/Author&gt;&lt;Year&gt;2018&lt;/Year&gt;&lt;Details&gt;&lt;_accession_num&gt;29959809&lt;/_accession_num&gt;&lt;_author_adr&gt;Aichi Cancer Center Hospital, Aichi, Japan.; National Kyushu Cancer Center, Fukuoka, Japan.; National Cancer Center Hospital, Tokyo, Japan.; Miyagi Cancer Center, Miyagi, Japan.; Kindai University, Osaka, Japan.; Okayama University Hospital, Okayama, Japan.; National Kyushu Cancer Center, Fukuoka, Japan.; Kyoto University Hospital, Kyoto, Japan.; National Cancer Center Hospital East, Kashiwa, Japan.; Novartis Pharma K.K., Tokyo, Japan.; Novartis Pharma K.K., Tokyo, Japan.; Novartis Pharma K.K., Tokyo, Japan.; Novartis Pharma K.K., Tokyo, Japan.; Kindai University, Osaka, Japan.; The Cancer Institute Hospital of Japanese Foundation for Cancer Research, Tokyo,  Japan.&lt;/_author_adr&gt;&lt;_date_display&gt;2018 Sep&lt;/_date_display&gt;&lt;_date&gt;2018-09-01&lt;/_date&gt;&lt;_doi&gt;10.1111/cas.13721&lt;/_doi&gt;&lt;_isbn&gt;1349-7006 (Electronic); 1347-9032 (Print); 1347-9032 (Linking)&lt;/_isbn&gt;&lt;_issue&gt;9&lt;/_issue&gt;&lt;_journal&gt;Cancer Sci&lt;/_journal&gt;&lt;_keywords&gt;ALK; Japan; NSCLC; anaplastic lymphoma kinase; ceritinib&lt;/_keywords&gt;&lt;_language&gt;eng&lt;/_language&gt;&lt;_ori_publication&gt;© 2018 The Authors. Cancer Science published by John Wiley &amp;amp; Sons Australia, Ltd _x000d__x000a_      on behalf of Japanese Cancer Association.&lt;/_ori_publication&gt;&lt;_pages&gt;2863-2872&lt;/_pages&gt;&lt;_subject_headings&gt;Adult; Aged; Anaplastic Lymphoma Kinase; Antineoplastic Agents/*therapeutic use; Carbazoles/*therapeutic use; Carcinoma, Non-Small-Cell Lung/*drug therapy/genetics/mortality/secondary; Female; *Gene Rearrangement; Humans; Lung Neoplasms/*drug therapy/genetics/mortality/pathology; Male; Middle Aged; Piperidines/*therapeutic use; Pyrimidines/*therapeutic use; Receptor Protein-Tyrosine Kinases/*genetics; Sulfones/*therapeutic use&lt;/_subject_headings&gt;&lt;_tertiary_title&gt;Cancer science&lt;/_tertiary_title&gt;&lt;_type_work&gt;Clinical Trial, Phase II; Journal Article; Multicenter Study&lt;/_type_work&gt;&lt;_url&gt;http://www.ncbi.nlm.nih.gov/entrez/query.fcgi?cmd=Retrieve&amp;amp;db=pubmed&amp;amp;dopt=Abstract&amp;amp;list_uids=29959809&amp;amp;query_hl=1&lt;/_url&gt;&lt;_volume&gt;109&lt;/_volume&gt;&lt;_created&gt;66161847&lt;/_created&gt;&lt;_modified&gt;66161847&lt;/_modified&gt;&lt;_impact_factor&gt;   5.700&lt;/_impact_factor&gt;&lt;_social_category&gt;肿瘤学(2)&lt;/_social_category&gt;&lt;_collection_scope&gt;SCIE&lt;/_collection_scope&gt;&lt;_accessed&gt;66161847&lt;/_accessed&gt;&lt;/Details&gt;&lt;Extra&gt;&lt;DBUID&gt;{DE16ABCE-A785-434C-BF43-2FE58866AFDD}&lt;/DBUID&gt;&lt;/Extra&gt;&lt;/Item&gt;&lt;/References&gt;&lt;/Group&gt;&lt;/Citation&gt;_x000a_"/>
    <w:docVar w:name="NE.Ref{F708AC3D-2297-42BB-BBA2-C6AFF64FD0FC}" w:val=" ADDIN NE.Ref.{F708AC3D-2297-42BB-BBA2-C6AFF64FD0FC}&lt;Citation&gt;&lt;Group&gt;&lt;References&gt;&lt;Item&gt;&lt;ID&gt;3643&lt;/ID&gt;&lt;UID&gt;{0E387B18-A59C-421B-A330-614D9A7ADD90}&lt;/UID&gt;&lt;Title&gt;Cost-effectiveness analysis of sintilimab vs. placebo in combination with  chemotherapy as first-line therapy for local advanced or metastatic oesophageal  squamous cell carcinoma&lt;/Title&gt;&lt;Template&gt;Journal Article&lt;/Template&gt;&lt;Star&gt;0&lt;/Star&gt;&lt;Tag&gt;0&lt;/Tag&gt;&lt;Author&gt;Shao, T; Zhao, M; Tang, W&lt;/Author&gt;&lt;Year&gt;2022&lt;/Year&gt;&lt;Details&gt;&lt;_accession_num&gt;36561521&lt;/_accession_num&gt;&lt;_author_adr&gt;Center for Pharmacoeconomics and Outcomes Research, China Pharmaceutical  University, Nanjing, China.; Center for Pharmacoeconomics and Outcomes Research, China Pharmaceutical  University, Nanjing, China.; Center for Pharmacoeconomics and Outcomes Research, China Pharmaceutical  University, Nanjing, China.; Department of Public Affairs Management, School of International Pharmaceutical  Business, China Pharmaceutical University, Nanjing, China.&lt;/_author_adr&gt;&lt;_date_display&gt;2022&lt;/_date_display&gt;&lt;_date&gt;2022-01-20&lt;/_date&gt;&lt;_doi&gt;10.3389/fonc.2022.953671&lt;/_doi&gt;&lt;_isbn&gt;2234-943X (Print); 2234-943X (Electronic); 2234-943X (Linking)&lt;/_isbn&gt;&lt;_journal&gt;Front Oncol&lt;/_journal&gt;&lt;_keywords&gt;China; Orient 15; cost-effectiveness analysis; local advanced or metastatic oesophageal squamous cell carcinoma; sintilimab&lt;/_keywords&gt;&lt;_language&gt;eng&lt;/_language&gt;&lt;_ori_publication&gt;Copyright © 2022 Shao, Zhao and Tang.&lt;/_ori_publication&gt;&lt;_pages&gt;953671&lt;/_pages&gt;&lt;_tertiary_title&gt;Frontiers in oncology&lt;/_tertiary_title&gt;&lt;_type_work&gt;Journal Article&lt;/_type_work&gt;&lt;_url&gt;http://www.ncbi.nlm.nih.gov/entrez/query.fcgi?cmd=Retrieve&amp;amp;db=pubmed&amp;amp;dopt=Abstract&amp;amp;list_uids=36561521&amp;amp;query_hl=1&lt;/_url&gt;&lt;_volume&gt;12&lt;/_volume&gt;&lt;_created&gt;66161874&lt;/_created&gt;&lt;_modified&gt;66161874&lt;/_modified&gt;&lt;_impact_factor&gt;   4.700&lt;/_impact_factor&gt;&lt;_social_category&gt;肿瘤学(3)&lt;/_social_category&gt;&lt;_collection_scope&gt;SCIE&lt;/_collection_scope&gt;&lt;_accessed&gt;66161875&lt;/_accessed&gt;&lt;/Details&gt;&lt;Extra&gt;&lt;DBUID&gt;{DE16ABCE-A785-434C-BF43-2FE58866AFDD}&lt;/DBUID&gt;&lt;/Extra&gt;&lt;/Item&gt;&lt;/References&gt;&lt;/Group&gt;&lt;/Citation&gt;_x000a_"/>
    <w:docVar w:name="NE.Ref{F735C70D-0E7C-4307-B74D-07B2450D8C7F}" w:val=" ADDIN NE.Ref.{F735C70D-0E7C-4307-B74D-07B2450D8C7F}&lt;Citation&gt;&lt;Group&gt;&lt;References&gt;&lt;Item&gt;&lt;ID&gt;3651&lt;/ID&gt;&lt;UID&gt;{3CC55B33-10C4-411F-ADED-C8A0B1E96D80}&lt;/UID&gt;&lt;Title&gt;Cost-effectiveness of ensartinib, crizotinib, ceritinib, alectinib, brigatinib  and lorlatinib in patients with anaplastic lymphoma kinase-positive non-small  cell lung cancer in China&lt;/Title&gt;&lt;Template&gt;Journal Article&lt;/Template&gt;&lt;Star&gt;0&lt;/Star&gt;&lt;Tag&gt;0&lt;/Tag&gt;&lt;Author&gt;Luo, X; Zhou, Z; Zeng, X; Peng, L; Liu, Q&lt;/Author&gt;&lt;Year&gt;2022&lt;/Year&gt;&lt;Details&gt;&lt;_accession_num&gt;36211665&lt;/_accession_num&gt;&lt;_author_adr&gt;Department of Pharmacy, the Second Xiangya Hospital of Central South University,  Changsha, China.; Menzies Institute for Medical Research, University of Tasmania, Hobart, TAS,  Australia.; Department of Nuclear Medicine/PET Image Center, the Second Xiangya Hospital of  Central South University, Changsha, China.; Department of Pharmacy, the Second Xiangya Hospital of Central South University,  Changsha, China.; Department of Pharmacy, the Second Xiangya Hospital of Central South University,  Changsha, China.&lt;/_author_adr&gt;&lt;_date_display&gt;2022&lt;/_date_display&gt;&lt;_date&gt;2022-01-20&lt;/_date&gt;&lt;_doi&gt;10.3389/fpubh.2022.985834&lt;/_doi&gt;&lt;_isbn&gt;2296-2565 (Electronic); 2296-2565 (Linking)&lt;/_isbn&gt;&lt;_journal&gt;Front Public Health&lt;/_journal&gt;&lt;_keywords&gt;ALK-TKI; China; Non-small cell lung cancer; cost-effectiveness; domestic anticancer drug; ensartinib&lt;/_keywords&gt;&lt;_language&gt;eng&lt;/_language&gt;&lt;_ori_publication&gt;Copyright © 2022 Luo, Zhou, Zeng, Peng and Liu.&lt;/_ori_publication&gt;&lt;_pages&gt;985834&lt;/_pages&gt;&lt;_subject_headings&gt;Aminopyridines; Anaplastic Lymphoma Kinase/analysis; Carbazoles; *Carcinoma, Non-Small-Cell Lung/drug therapy/pathology; Clinical Trials as Topic; Cost-Benefit Analysis; Crizotinib; Humans; Lactams; *Lung Neoplasms/drug therapy/pathology; Organophosphorus Compounds; Piperazines; Piperidines; Protein Kinase Inhibitors/therapeutic use; Pyrazoles; Pyridazines; Pyrimidines; Sulfones&lt;/_subject_headings&gt;&lt;_tertiary_title&gt;Frontiers in public health&lt;/_tertiary_title&gt;&lt;_type_work&gt;Journal Article; Research Support, Non-U.S. Gov&amp;apos;t&lt;/_type_work&gt;&lt;_url&gt;http://www.ncbi.nlm.nih.gov/entrez/query.fcgi?cmd=Retrieve&amp;amp;db=pubmed&amp;amp;dopt=Abstract&amp;amp;list_uids=36211665&amp;amp;query_hl=1&lt;/_url&gt;&lt;_volume&gt;10&lt;/_volume&gt;&lt;_created&gt;66161884&lt;/_created&gt;&lt;_modified&gt;66161884&lt;/_modified&gt;&lt;_impact_factor&gt;   5.200&lt;/_impact_factor&gt;&lt;_social_category&gt;公共卫生、环境卫生与职业卫生(3)&lt;/_social_category&gt;&lt;_collection_scope&gt;SSCI;SCIE&lt;/_collection_scope&gt;&lt;_accessed&gt;66161885&lt;/_accessed&gt;&lt;/Details&gt;&lt;Extra&gt;&lt;DBUID&gt;{DE16ABCE-A785-434C-BF43-2FE58866AFDD}&lt;/DBUID&gt;&lt;/Extra&gt;&lt;/Item&gt;&lt;/References&gt;&lt;/Group&gt;&lt;/Citation&gt;_x000a_"/>
    <w:docVar w:name="NE.Ref{FA773E06-E576-4C96-A000-0DD1227BB32D}" w:val=" ADDIN NE.Ref.{FA773E06-E576-4C96-A000-0DD1227BB32D}&lt;Citation&gt;&lt;Group&gt;&lt;References&gt;&lt;Item&gt;&lt;ID&gt;3628&lt;/ID&gt;&lt;UID&gt;{D457F2ED-01AE-43C5-86DC-26E1288B4B8A}&lt;/UID&gt;&lt;Title&gt;First-Line Lorlatinib or Crizotinib in Advanced ALK-Positive Lung Cancer&lt;/Title&gt;&lt;Template&gt;Journal Article&lt;/Template&gt;&lt;Star&gt;0&lt;/Star&gt;&lt;Tag&gt;0&lt;/Tag&gt;&lt;Author&gt;Shaw, A T; Bauer, T M; de Marinis, F; Felip, E; Goto, Y; Liu, G; Mazieres, J; Kim, D W; Mok, T; Polli, A; Thurm, H; Calella, A M; Peltz, G; Solomon, B J&lt;/Author&gt;&lt;Year&gt;2020&lt;/Year&gt;&lt;Details&gt;&lt;_accession_num&gt;33207094&lt;/_accession_num&gt;&lt;_author_adr&gt;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 From the Massachusetts General Hospital Cancer Center (A.T.S.) and Pfizer (G.P.)  - both in Boston; Sarah Cannon Research Institute-Tennessee Oncology, Nashville  (T.M.B.); European Institute of Oncology, IRCCS (F.M.), and Pfizer (A.P., A.M.C.)  - both in Milan; Vall d&amp;apos;Hebron University Hospital and Institute of Oncology,  International Oncology Bureau-Quirón, Barcelona (E.F.); National Cancer Center  Hospital, Tokyo (Y.G.); Princess Margaret Cancer Centre, Toronto (G.L.); Toulouse  University Hospital, Toulouse, France (J.M.); Seoul National University College  of Medicine and Seoul National University Hospital, Seoul, South Korea (D.-W.K.);  State Key Laboratory of Translational Oncology, Chinese University of Hong Kong,  Hong Kong (T.M.); Pfizer, La Jolla, CA (H.T.); and Peter MacCallum Cancer Centre,  Melbourne, VIC, Australia (B.J.S.).&lt;/_author_adr&gt;&lt;_date_display&gt;2020 Nov 19&lt;/_date_display&gt;&lt;_date&gt;2020-11-19&lt;/_date&gt;&lt;_doi&gt;10.1056/NEJMoa2027187&lt;/_doi&gt;&lt;_isbn&gt;1533-4406 (Electronic); 0028-4793 (Linking)&lt;/_isbn&gt;&lt;_issue&gt;21&lt;/_issue&gt;&lt;_journal&gt;N Engl J Med&lt;/_journal&gt;&lt;_language&gt;eng&lt;/_language&gt;&lt;_ori_publication&gt;Copyright © 2020 Massachusetts Medical Society.&lt;/_ori_publication&gt;&lt;_pages&gt;2018-2029&lt;/_pages&gt;&lt;_subject_headings&gt;Adult; Aged; Aminopyridines; Anaplastic Lymphoma Kinase/*antagonists &amp;amp; inhibitors/genetics; Antineoplastic Agents/adverse effects/*therapeutic use; Carcinoma, Non-Small-Cell Lung/*drug therapy/genetics/mortality; Crizotinib/adverse effects/*therapeutic use; Female; Humans; Hyperlipidemias/chemically induced; Intention to Treat Analysis; Lactams; Lactams, Macrocyclic/adverse effects/*therapeutic use; Lung Neoplasms/*drug therapy/genetics/mortality; Male; Middle Aged; Mutation; Pyrazoles; Survival Analysis&lt;/_subject_headings&gt;&lt;_tertiary_title&gt;The New England journal of medicine&lt;/_tertiary_title&gt;&lt;_type_work&gt;Clinical Trial, Phase III; Comparative Study; Journal Article; Multicenter Study; Randomized Controlled Trial; Research Support, Non-U.S. Gov&amp;apos;t&lt;/_type_work&gt;&lt;_url&gt;http://www.ncbi.nlm.nih.gov/entrez/query.fcgi?cmd=Retrieve&amp;amp;db=pubmed&amp;amp;dopt=Abstract&amp;amp;list_uids=33207094&amp;amp;query_hl=1&lt;/_url&gt;&lt;_volume&gt;383&lt;/_volume&gt;&lt;_created&gt;66161854&lt;/_created&gt;&lt;_modified&gt;66161854&lt;/_modified&gt;&lt;_impact_factor&gt; 158.500&lt;/_impact_factor&gt;&lt;_social_category&gt;医学：内科(1)&lt;/_social_category&gt;&lt;_collection_scope&gt;SCIE&lt;/_collection_scope&gt;&lt;_accessed&gt;66161855&lt;/_accessed&gt;&lt;/Details&gt;&lt;Extra&gt;&lt;DBUID&gt;{DE16ABCE-A785-434C-BF43-2FE58866AFDD}&lt;/DBUID&gt;&lt;/Extra&gt;&lt;/Item&gt;&lt;/References&gt;&lt;/Group&gt;&lt;/Citation&gt;_x000a_"/>
    <w:docVar w:name="NE.Ref{FE92FD92-A327-4D81-B816-A81825087FDD}" w:val=" ADDIN NE.Ref.{FE92FD92-A327-4D81-B816-A81825087FDD}&lt;Citation&gt;&lt;Group&gt;&lt;References&gt;&lt;Item&gt;&lt;ID&gt;3642&lt;/ID&gt;&lt;UID&gt;{8A795457-A564-47DA-AE89-217218FBA50B}&lt;/UID&gt;&lt;Title&gt;Cost-Effectiveness Analysis of Five Systemic Treatments for Unresectable  Hepatocellular Carcinoma in China: An Economic Evaluation Based on Network  Meta-Analysis&lt;/Title&gt;&lt;Template&gt;Journal Article&lt;/Template&gt;&lt;Star&gt;0&lt;/Star&gt;&lt;Tag&gt;0&lt;/Tag&gt;&lt;Author&gt;Zhao, M; Pan, X; Yin, Y; Hu, H; Wei, J; Bai, Z; Tang, W&lt;/Author&gt;&lt;Year&gt;2022&lt;/Year&gt;&lt;Details&gt;&lt;_accession_num&gt;35493395&lt;/_accession_num&gt;&lt;_author_adr&gt;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Department of Pharmacoeconomics, School of International Pharmaceutical Business,  China Pharmaceutical University, Nanjing, China.; Center for Pharmacoeconomics and Outcomes Research, China Pharmaceutical  University, Nanjing, China.; Jiangsu Institute of Cancer Research, Jiangsu Cancer Hospital, The Affiliated  Cancer Hospital of Nanjing Medical University, Nanjing, China.; Jiangsu Institute of Cancer Research, Jiangsu Cancer Hospital, The Affiliated  Cancer Hospital of Nanjing Medical University, Nanjing, China.; Department of Pharmacoeconomics, School of International Pharmaceutical Business,  China Pharmaceutical University, Nanjing, China.; Center for Pharmacoeconomics and Outcomes Research, China Pharmaceutical  University, Nanjing, China.&lt;/_author_adr&gt;&lt;_date_display&gt;2022&lt;/_date_display&gt;&lt;_date&gt;2022-01-20&lt;/_date&gt;&lt;_doi&gt;10.3389/fpubh.2022.869960&lt;/_doi&gt;&lt;_isbn&gt;2296-2565 (Electronic); 2296-2565 (Linking)&lt;/_isbn&gt;&lt;_journal&gt;Front Public Health&lt;/_journal&gt;&lt;_keywords&gt;cost-effectiveness analysis; fractional polynomial; network meta-analysis; partitioned survival; unresectable hepatocellular carcinoma&lt;/_keywords&gt;&lt;_language&gt;eng&lt;/_language&gt;&lt;_ori_publication&gt;Copyright © 2022 Zhao, Pan, Yin, Hu, Wei, Bai and Tang.&lt;/_ori_publication&gt;&lt;_pages&gt;869960&lt;/_pages&gt;&lt;_subject_headings&gt;Bevacizumab/therapeutic use; *Carcinoma, Hepatocellular/drug therapy; Cost-Benefit Analysis; Humans; *Liver Neoplasms/drug therapy; Sorafenib/therapeutic use&lt;/_subject_headings&gt;&lt;_tertiary_title&gt;Frontiers in public health&lt;/_tertiary_title&gt;&lt;_type_work&gt;Journal Article; Network Meta-Analysis; Research Support, Non-U.S. Gov&amp;apos;t&lt;/_type_work&gt;&lt;_url&gt;http://www.ncbi.nlm.nih.gov/entrez/query.fcgi?cmd=Retrieve&amp;amp;db=pubmed&amp;amp;dopt=Abstract&amp;amp;list_uids=35493395&amp;amp;query_hl=1&lt;/_url&gt;&lt;_volume&gt;10&lt;/_volume&gt;&lt;_created&gt;66161872&lt;/_created&gt;&lt;_modified&gt;66161872&lt;/_modified&gt;&lt;_impact_factor&gt;   5.200&lt;/_impact_factor&gt;&lt;_social_category&gt;公共卫生、环境卫生与职业卫生(3)&lt;/_social_category&gt;&lt;_collection_scope&gt;SSCI;SCIE&lt;/_collection_scope&gt;&lt;_accessed&gt;66161872&lt;/_accessed&gt;&lt;/Details&gt;&lt;Extra&gt;&lt;DBUID&gt;{DE16ABCE-A785-434C-BF43-2FE58866AFDD}&lt;/DBUID&gt;&lt;/Extra&gt;&lt;/Item&gt;&lt;/References&gt;&lt;/Group&gt;&lt;/Citation&gt;_x000a_"/>
    <w:docVar w:name="ne_docsoft" w:val="MSWord"/>
    <w:docVar w:name="ne_docversion" w:val="NoteExpress 2.0"/>
    <w:docVar w:name="ne_stylename" w:val="Numbered(multilingual)"/>
  </w:docVars>
  <w:rsids>
    <w:rsidRoot w:val="00172A27"/>
    <w:rsid w:val="00017CC0"/>
    <w:rsid w:val="00026BAA"/>
    <w:rsid w:val="00031E23"/>
    <w:rsid w:val="00037D69"/>
    <w:rsid w:val="0004083E"/>
    <w:rsid w:val="0004443F"/>
    <w:rsid w:val="000652D1"/>
    <w:rsid w:val="00066FDA"/>
    <w:rsid w:val="00070867"/>
    <w:rsid w:val="00087220"/>
    <w:rsid w:val="00096860"/>
    <w:rsid w:val="000E6656"/>
    <w:rsid w:val="001028C7"/>
    <w:rsid w:val="0013732C"/>
    <w:rsid w:val="00156D50"/>
    <w:rsid w:val="00166D3C"/>
    <w:rsid w:val="00172A27"/>
    <w:rsid w:val="00173771"/>
    <w:rsid w:val="00176139"/>
    <w:rsid w:val="001B288A"/>
    <w:rsid w:val="001C0DF0"/>
    <w:rsid w:val="001D2B69"/>
    <w:rsid w:val="001D3B82"/>
    <w:rsid w:val="001F41AC"/>
    <w:rsid w:val="0020784D"/>
    <w:rsid w:val="0024043D"/>
    <w:rsid w:val="00243A85"/>
    <w:rsid w:val="00255E40"/>
    <w:rsid w:val="00261935"/>
    <w:rsid w:val="00283ECF"/>
    <w:rsid w:val="002928E5"/>
    <w:rsid w:val="002939F2"/>
    <w:rsid w:val="002B07EB"/>
    <w:rsid w:val="002C215D"/>
    <w:rsid w:val="002D250C"/>
    <w:rsid w:val="002E727B"/>
    <w:rsid w:val="002F7DB4"/>
    <w:rsid w:val="002F7FB9"/>
    <w:rsid w:val="00307BFE"/>
    <w:rsid w:val="0033174B"/>
    <w:rsid w:val="00371215"/>
    <w:rsid w:val="00380D0B"/>
    <w:rsid w:val="0039226B"/>
    <w:rsid w:val="00393221"/>
    <w:rsid w:val="003943F6"/>
    <w:rsid w:val="00396A4B"/>
    <w:rsid w:val="003A20B8"/>
    <w:rsid w:val="003A4448"/>
    <w:rsid w:val="003D5628"/>
    <w:rsid w:val="003F5102"/>
    <w:rsid w:val="00407020"/>
    <w:rsid w:val="00445658"/>
    <w:rsid w:val="004526E5"/>
    <w:rsid w:val="00474BB7"/>
    <w:rsid w:val="004A2C3A"/>
    <w:rsid w:val="004A4DD3"/>
    <w:rsid w:val="004A543A"/>
    <w:rsid w:val="004C026C"/>
    <w:rsid w:val="004E1E3B"/>
    <w:rsid w:val="004F55D2"/>
    <w:rsid w:val="00500A42"/>
    <w:rsid w:val="005300B1"/>
    <w:rsid w:val="0053076F"/>
    <w:rsid w:val="00574874"/>
    <w:rsid w:val="00595118"/>
    <w:rsid w:val="005A5E57"/>
    <w:rsid w:val="005A6DD9"/>
    <w:rsid w:val="005C1A79"/>
    <w:rsid w:val="005D24F0"/>
    <w:rsid w:val="005F4913"/>
    <w:rsid w:val="0061161E"/>
    <w:rsid w:val="00626712"/>
    <w:rsid w:val="00626BDF"/>
    <w:rsid w:val="00666364"/>
    <w:rsid w:val="006700A4"/>
    <w:rsid w:val="006B3974"/>
    <w:rsid w:val="006B704C"/>
    <w:rsid w:val="006D1C3F"/>
    <w:rsid w:val="006E5B3C"/>
    <w:rsid w:val="00725C4A"/>
    <w:rsid w:val="0076378C"/>
    <w:rsid w:val="0076468B"/>
    <w:rsid w:val="00775C10"/>
    <w:rsid w:val="007957CC"/>
    <w:rsid w:val="007E58EF"/>
    <w:rsid w:val="008057E2"/>
    <w:rsid w:val="008255BD"/>
    <w:rsid w:val="008272C2"/>
    <w:rsid w:val="00836AF0"/>
    <w:rsid w:val="008647A6"/>
    <w:rsid w:val="00897B24"/>
    <w:rsid w:val="008A019F"/>
    <w:rsid w:val="008A357C"/>
    <w:rsid w:val="008B5A70"/>
    <w:rsid w:val="008D6CDE"/>
    <w:rsid w:val="009237E4"/>
    <w:rsid w:val="0094047A"/>
    <w:rsid w:val="00940E17"/>
    <w:rsid w:val="009A480C"/>
    <w:rsid w:val="009B7772"/>
    <w:rsid w:val="009C3184"/>
    <w:rsid w:val="009C3EBE"/>
    <w:rsid w:val="009E3EE1"/>
    <w:rsid w:val="00A2520B"/>
    <w:rsid w:val="00A420F2"/>
    <w:rsid w:val="00A50AA6"/>
    <w:rsid w:val="00A64A56"/>
    <w:rsid w:val="00AC06F3"/>
    <w:rsid w:val="00AE0368"/>
    <w:rsid w:val="00B02C47"/>
    <w:rsid w:val="00B30BB5"/>
    <w:rsid w:val="00B3139B"/>
    <w:rsid w:val="00B36173"/>
    <w:rsid w:val="00B4124B"/>
    <w:rsid w:val="00B5079C"/>
    <w:rsid w:val="00B53CC1"/>
    <w:rsid w:val="00B702F2"/>
    <w:rsid w:val="00B77C9B"/>
    <w:rsid w:val="00B86067"/>
    <w:rsid w:val="00B943CD"/>
    <w:rsid w:val="00BC16D5"/>
    <w:rsid w:val="00BC1A84"/>
    <w:rsid w:val="00BF07E5"/>
    <w:rsid w:val="00C45E9A"/>
    <w:rsid w:val="00C47B6C"/>
    <w:rsid w:val="00C554A3"/>
    <w:rsid w:val="00C62536"/>
    <w:rsid w:val="00C72169"/>
    <w:rsid w:val="00C72946"/>
    <w:rsid w:val="00C86D73"/>
    <w:rsid w:val="00C942FE"/>
    <w:rsid w:val="00CC6BD6"/>
    <w:rsid w:val="00CE6330"/>
    <w:rsid w:val="00D04D6F"/>
    <w:rsid w:val="00D46F33"/>
    <w:rsid w:val="00D5292D"/>
    <w:rsid w:val="00D54D57"/>
    <w:rsid w:val="00D62215"/>
    <w:rsid w:val="00D64EA6"/>
    <w:rsid w:val="00D73977"/>
    <w:rsid w:val="00D93C01"/>
    <w:rsid w:val="00DA3C2D"/>
    <w:rsid w:val="00DA6027"/>
    <w:rsid w:val="00DB1A56"/>
    <w:rsid w:val="00DB393D"/>
    <w:rsid w:val="00DB3DFA"/>
    <w:rsid w:val="00DB528F"/>
    <w:rsid w:val="00DC729F"/>
    <w:rsid w:val="00DE7D40"/>
    <w:rsid w:val="00DF10E0"/>
    <w:rsid w:val="00E06295"/>
    <w:rsid w:val="00E267A2"/>
    <w:rsid w:val="00E53DB3"/>
    <w:rsid w:val="00E631F8"/>
    <w:rsid w:val="00E76818"/>
    <w:rsid w:val="00E86659"/>
    <w:rsid w:val="00E868BA"/>
    <w:rsid w:val="00EB60E0"/>
    <w:rsid w:val="00EB7E0B"/>
    <w:rsid w:val="00EC4558"/>
    <w:rsid w:val="00EC510B"/>
    <w:rsid w:val="00EC54C7"/>
    <w:rsid w:val="00ED4C87"/>
    <w:rsid w:val="00F13794"/>
    <w:rsid w:val="00F211FA"/>
    <w:rsid w:val="00F36B52"/>
    <w:rsid w:val="00F615DB"/>
    <w:rsid w:val="00F771EB"/>
    <w:rsid w:val="00F8622D"/>
    <w:rsid w:val="00F8749F"/>
    <w:rsid w:val="00F8771C"/>
    <w:rsid w:val="00FB47B7"/>
    <w:rsid w:val="00FC11B6"/>
    <w:rsid w:val="016A24D8"/>
    <w:rsid w:val="01852063"/>
    <w:rsid w:val="04365186"/>
    <w:rsid w:val="062F0D91"/>
    <w:rsid w:val="0754675F"/>
    <w:rsid w:val="0D411AEE"/>
    <w:rsid w:val="13781277"/>
    <w:rsid w:val="1539392E"/>
    <w:rsid w:val="15C226C3"/>
    <w:rsid w:val="15FD6214"/>
    <w:rsid w:val="19745FBF"/>
    <w:rsid w:val="1F5A087A"/>
    <w:rsid w:val="20A63420"/>
    <w:rsid w:val="20FB5612"/>
    <w:rsid w:val="212E5F52"/>
    <w:rsid w:val="23242E2A"/>
    <w:rsid w:val="243F0743"/>
    <w:rsid w:val="25711D1E"/>
    <w:rsid w:val="25F969F8"/>
    <w:rsid w:val="260F2BBA"/>
    <w:rsid w:val="287E7238"/>
    <w:rsid w:val="293A2E40"/>
    <w:rsid w:val="2A192AE4"/>
    <w:rsid w:val="2AAC548F"/>
    <w:rsid w:val="2B7C5F36"/>
    <w:rsid w:val="2FA3397B"/>
    <w:rsid w:val="309C7373"/>
    <w:rsid w:val="31843066"/>
    <w:rsid w:val="331C1689"/>
    <w:rsid w:val="345B3916"/>
    <w:rsid w:val="35156C7E"/>
    <w:rsid w:val="369874D3"/>
    <w:rsid w:val="375F18AD"/>
    <w:rsid w:val="390970C4"/>
    <w:rsid w:val="3B6D107D"/>
    <w:rsid w:val="3F3C268F"/>
    <w:rsid w:val="3F576E94"/>
    <w:rsid w:val="3FA92426"/>
    <w:rsid w:val="41737793"/>
    <w:rsid w:val="4822042F"/>
    <w:rsid w:val="49F413E1"/>
    <w:rsid w:val="4A4158EA"/>
    <w:rsid w:val="4B0F4079"/>
    <w:rsid w:val="4BA30BFF"/>
    <w:rsid w:val="4CE1507F"/>
    <w:rsid w:val="51745865"/>
    <w:rsid w:val="54686973"/>
    <w:rsid w:val="57EE371D"/>
    <w:rsid w:val="58474AF1"/>
    <w:rsid w:val="58934FA1"/>
    <w:rsid w:val="597E4A60"/>
    <w:rsid w:val="5992581C"/>
    <w:rsid w:val="5BB82AB9"/>
    <w:rsid w:val="5DE30E18"/>
    <w:rsid w:val="5E7F1F83"/>
    <w:rsid w:val="61EE372A"/>
    <w:rsid w:val="643C6CB9"/>
    <w:rsid w:val="65135CBF"/>
    <w:rsid w:val="68292F6A"/>
    <w:rsid w:val="698728B9"/>
    <w:rsid w:val="6A0A5B7C"/>
    <w:rsid w:val="6D310F42"/>
    <w:rsid w:val="701A7141"/>
    <w:rsid w:val="75FC73D2"/>
    <w:rsid w:val="7634020A"/>
    <w:rsid w:val="76FA0C6F"/>
    <w:rsid w:val="773C186D"/>
    <w:rsid w:val="78C551B2"/>
    <w:rsid w:val="79B65137"/>
    <w:rsid w:val="7AEC26D5"/>
    <w:rsid w:val="7F2D41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5A728"/>
  <w15:docId w15:val="{5D1A4F52-F4BD-4745-8743-A8DD8D9E9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line number" w:qFormat="1"/>
    <w:lsdException w:name="Title" w:qFormat="1"/>
    <w:lsdException w:name="Default Paragraph Font"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spacing w:line="360" w:lineRule="auto"/>
      <w:ind w:firstLineChars="200" w:firstLine="402"/>
      <w:jc w:val="both"/>
    </w:pPr>
    <w:rPr>
      <w:b/>
      <w:bCs/>
      <w:kern w:val="2"/>
      <w:szCs w:val="24"/>
    </w:rPr>
  </w:style>
  <w:style w:type="paragraph" w:styleId="1">
    <w:name w:val="heading 1"/>
    <w:basedOn w:val="a"/>
    <w:next w:val="a"/>
    <w:link w:val="10"/>
    <w:autoRedefine/>
    <w:qFormat/>
    <w:pPr>
      <w:keepNext/>
      <w:keepLines/>
      <w:spacing w:before="340" w:after="330"/>
      <w:outlineLvl w:val="0"/>
    </w:pPr>
    <w:rPr>
      <w:rFonts w:eastAsia="Times New Roman"/>
      <w:kern w:val="44"/>
    </w:rPr>
  </w:style>
  <w:style w:type="paragraph" w:styleId="4">
    <w:name w:val="heading 4"/>
    <w:basedOn w:val="a"/>
    <w:next w:val="a"/>
    <w:autoRedefine/>
    <w:unhideWhenUsed/>
    <w:qFormat/>
    <w:pPr>
      <w:keepNext/>
      <w:keepLines/>
      <w:spacing w:before="280" w:after="290" w:line="372" w:lineRule="auto"/>
      <w:outlineLvl w:val="3"/>
    </w:pPr>
    <w:rPr>
      <w:rFonts w:ascii="Arial" w:eastAsia="黑体" w:hAnsi="Arial"/>
      <w:b w:val="0"/>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pPr>
      <w:jc w:val="left"/>
    </w:pPr>
    <w:rPr>
      <w:rFonts w:ascii="Calibri" w:hAnsi="Calibri"/>
      <w:sz w:val="21"/>
    </w:rPr>
  </w:style>
  <w:style w:type="paragraph" w:styleId="a5">
    <w:name w:val="footer"/>
    <w:basedOn w:val="a"/>
    <w:link w:val="a6"/>
    <w:autoRedefine/>
    <w:uiPriority w:val="99"/>
    <w:qFormat/>
    <w:pPr>
      <w:tabs>
        <w:tab w:val="center" w:pos="4153"/>
        <w:tab w:val="right" w:pos="8306"/>
      </w:tabs>
      <w:snapToGrid w:val="0"/>
      <w:jc w:val="left"/>
    </w:pPr>
    <w:rPr>
      <w:sz w:val="18"/>
      <w:szCs w:val="18"/>
    </w:rPr>
  </w:style>
  <w:style w:type="paragraph" w:styleId="a7">
    <w:name w:val="header"/>
    <w:basedOn w:val="a"/>
    <w:link w:val="a8"/>
    <w:autoRedefine/>
    <w:qFormat/>
    <w:pPr>
      <w:tabs>
        <w:tab w:val="center" w:pos="4153"/>
        <w:tab w:val="right" w:pos="8306"/>
      </w:tabs>
      <w:snapToGrid w:val="0"/>
      <w:jc w:val="center"/>
    </w:pPr>
    <w:rPr>
      <w:sz w:val="18"/>
      <w:szCs w:val="18"/>
    </w:rPr>
  </w:style>
  <w:style w:type="paragraph" w:styleId="TOC1">
    <w:name w:val="toc 1"/>
    <w:basedOn w:val="a"/>
    <w:next w:val="a"/>
    <w:autoRedefine/>
    <w:uiPriority w:val="39"/>
    <w:qFormat/>
    <w:pPr>
      <w:tabs>
        <w:tab w:val="right" w:leader="dot" w:pos="8296"/>
      </w:tabs>
      <w:spacing w:line="360" w:lineRule="exact"/>
      <w:ind w:firstLineChars="0" w:firstLine="0"/>
    </w:pPr>
  </w:style>
  <w:style w:type="paragraph" w:styleId="a9">
    <w:name w:val="Normal (Web)"/>
    <w:basedOn w:val="a"/>
    <w:autoRedefine/>
    <w:uiPriority w:val="99"/>
    <w:unhideWhenUsed/>
    <w:qFormat/>
    <w:pPr>
      <w:spacing w:before="100" w:beforeAutospacing="1" w:after="100" w:afterAutospacing="1"/>
    </w:pPr>
    <w:rPr>
      <w:sz w:val="24"/>
    </w:rPr>
  </w:style>
  <w:style w:type="table" w:styleId="aa">
    <w:name w:val="Table Grid"/>
    <w:basedOn w:val="a1"/>
    <w:autoRedefine/>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b">
    <w:name w:val="Strong"/>
    <w:basedOn w:val="a0"/>
    <w:qFormat/>
    <w:rPr>
      <w:b/>
    </w:rPr>
  </w:style>
  <w:style w:type="character" w:styleId="ac">
    <w:name w:val="line number"/>
    <w:basedOn w:val="a0"/>
    <w:qFormat/>
  </w:style>
  <w:style w:type="character" w:styleId="ad">
    <w:name w:val="Hyperlink"/>
    <w:basedOn w:val="a0"/>
    <w:autoRedefine/>
    <w:uiPriority w:val="99"/>
    <w:unhideWhenUsed/>
    <w:qFormat/>
    <w:rPr>
      <w:color w:val="0563C1" w:themeColor="hyperlink"/>
      <w:u w:val="single"/>
    </w:rPr>
  </w:style>
  <w:style w:type="character" w:styleId="ae">
    <w:name w:val="annotation reference"/>
    <w:basedOn w:val="a0"/>
    <w:autoRedefine/>
    <w:qFormat/>
    <w:rPr>
      <w:sz w:val="21"/>
      <w:szCs w:val="21"/>
    </w:rPr>
  </w:style>
  <w:style w:type="paragraph" w:customStyle="1" w:styleId="af">
    <w:name w:val="表格"/>
    <w:basedOn w:val="a"/>
    <w:autoRedefine/>
    <w:qFormat/>
    <w:pPr>
      <w:jc w:val="center"/>
    </w:pPr>
    <w:rPr>
      <w:szCs w:val="20"/>
    </w:rPr>
  </w:style>
  <w:style w:type="paragraph" w:styleId="af0">
    <w:name w:val="List Paragraph"/>
    <w:basedOn w:val="a"/>
    <w:autoRedefine/>
    <w:uiPriority w:val="99"/>
    <w:qFormat/>
    <w:pPr>
      <w:ind w:firstLine="420"/>
    </w:pPr>
  </w:style>
  <w:style w:type="character" w:customStyle="1" w:styleId="10">
    <w:name w:val="标题 1 字符"/>
    <w:link w:val="1"/>
    <w:autoRedefine/>
    <w:qFormat/>
    <w:rPr>
      <w:rFonts w:eastAsia="Times New Roman"/>
      <w:kern w:val="44"/>
    </w:rPr>
  </w:style>
  <w:style w:type="table" w:customStyle="1" w:styleId="LightList1">
    <w:name w:val="Light List1"/>
    <w:basedOn w:val="a1"/>
    <w:autoRedefine/>
    <w:uiPriority w:val="61"/>
    <w:qFormat/>
    <w:rPr>
      <w:sz w:val="22"/>
      <w:lang w:eastAsia="en-US"/>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font11">
    <w:name w:val="font11"/>
    <w:basedOn w:val="a0"/>
    <w:autoRedefine/>
    <w:qFormat/>
    <w:rPr>
      <w:rFonts w:ascii="Times New Roman" w:hAnsi="Times New Roman" w:cs="Times New Roman" w:hint="default"/>
      <w:color w:val="000000"/>
      <w:sz w:val="20"/>
      <w:szCs w:val="20"/>
      <w:u w:val="none"/>
    </w:rPr>
  </w:style>
  <w:style w:type="character" w:customStyle="1" w:styleId="font31">
    <w:name w:val="font31"/>
    <w:basedOn w:val="a0"/>
    <w:autoRedefine/>
    <w:qFormat/>
    <w:rPr>
      <w:rFonts w:ascii="宋体" w:eastAsia="宋体" w:hAnsi="宋体" w:cs="宋体" w:hint="eastAsia"/>
      <w:color w:val="000000"/>
      <w:sz w:val="20"/>
      <w:szCs w:val="20"/>
      <w:u w:val="none"/>
    </w:rPr>
  </w:style>
  <w:style w:type="character" w:customStyle="1" w:styleId="font41">
    <w:name w:val="font41"/>
    <w:basedOn w:val="a0"/>
    <w:autoRedefine/>
    <w:qFormat/>
    <w:rPr>
      <w:rFonts w:ascii="Times New Roman" w:hAnsi="Times New Roman" w:cs="Times New Roman" w:hint="default"/>
      <w:color w:val="000000"/>
      <w:sz w:val="20"/>
      <w:szCs w:val="20"/>
      <w:u w:val="none"/>
      <w:vertAlign w:val="superscript"/>
    </w:rPr>
  </w:style>
  <w:style w:type="character" w:customStyle="1" w:styleId="font01">
    <w:name w:val="font01"/>
    <w:basedOn w:val="a0"/>
    <w:autoRedefine/>
    <w:qFormat/>
    <w:rPr>
      <w:rFonts w:ascii="宋体" w:eastAsia="宋体" w:hAnsi="宋体" w:cs="宋体" w:hint="eastAsia"/>
      <w:color w:val="000000"/>
      <w:sz w:val="22"/>
      <w:szCs w:val="22"/>
      <w:u w:val="none"/>
    </w:rPr>
  </w:style>
  <w:style w:type="character" w:customStyle="1" w:styleId="font21">
    <w:name w:val="font21"/>
    <w:basedOn w:val="a0"/>
    <w:autoRedefine/>
    <w:qFormat/>
    <w:rPr>
      <w:rFonts w:ascii="宋体" w:eastAsia="宋体" w:hAnsi="宋体" w:cs="宋体" w:hint="eastAsia"/>
      <w:color w:val="000000"/>
      <w:sz w:val="20"/>
      <w:szCs w:val="20"/>
      <w:u w:val="none"/>
    </w:rPr>
  </w:style>
  <w:style w:type="character" w:customStyle="1" w:styleId="a8">
    <w:name w:val="页眉 字符"/>
    <w:basedOn w:val="a0"/>
    <w:link w:val="a7"/>
    <w:autoRedefine/>
    <w:qFormat/>
    <w:rPr>
      <w:rFonts w:eastAsiaTheme="minorEastAsia" w:cstheme="minorBidi"/>
      <w:kern w:val="2"/>
      <w:sz w:val="18"/>
      <w:szCs w:val="18"/>
    </w:rPr>
  </w:style>
  <w:style w:type="character" w:customStyle="1" w:styleId="a6">
    <w:name w:val="页脚 字符"/>
    <w:basedOn w:val="a0"/>
    <w:link w:val="a5"/>
    <w:autoRedefine/>
    <w:uiPriority w:val="99"/>
    <w:qFormat/>
    <w:rPr>
      <w:rFonts w:eastAsiaTheme="minorEastAsia" w:cstheme="minorBidi"/>
      <w:kern w:val="2"/>
      <w:sz w:val="18"/>
      <w:szCs w:val="18"/>
    </w:rPr>
  </w:style>
  <w:style w:type="table" w:customStyle="1" w:styleId="11">
    <w:name w:val="网格型1"/>
    <w:qFormat/>
    <w:pPr>
      <w:widowControl w:val="0"/>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
    <w:name w:val="网格型2"/>
    <w:qFormat/>
    <w:pPr>
      <w:widowControl w:val="0"/>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a4">
    <w:name w:val="批注文字 字符"/>
    <w:basedOn w:val="a0"/>
    <w:link w:val="a3"/>
    <w:qFormat/>
    <w:rPr>
      <w:rFonts w:ascii="Calibri" w:eastAsia="宋体" w:hAnsi="Calibri" w:cs="Times New Roman" w:hint="default"/>
      <w:kern w:val="2"/>
      <w:sz w:val="21"/>
      <w:szCs w:val="24"/>
    </w:rPr>
  </w:style>
  <w:style w:type="table" w:customStyle="1" w:styleId="40">
    <w:name w:val="网格型4"/>
    <w:basedOn w:val="a1"/>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0">
    <w:name w:val="TOC 标题1"/>
    <w:basedOn w:val="1"/>
    <w:next w:val="a"/>
    <w:uiPriority w:val="39"/>
    <w:unhideWhenUsed/>
    <w:qFormat/>
    <w:pPr>
      <w:widowControl/>
      <w:spacing w:before="240" w:after="0" w:line="259" w:lineRule="auto"/>
      <w:ind w:firstLineChars="0" w:firstLine="0"/>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font51">
    <w:name w:val="font51"/>
    <w:basedOn w:val="a0"/>
    <w:qFormat/>
    <w:rPr>
      <w:rFonts w:ascii="宋体" w:eastAsia="宋体" w:hAnsi="宋体" w:cs="宋体" w:hint="eastAsia"/>
      <w:color w:val="000000"/>
      <w:sz w:val="22"/>
      <w:szCs w:val="22"/>
      <w:u w:val="none"/>
    </w:rPr>
  </w:style>
  <w:style w:type="paragraph" w:customStyle="1" w:styleId="12">
    <w:name w:val="书目1"/>
    <w:basedOn w:val="a"/>
    <w:next w:val="a"/>
    <w:uiPriority w:val="37"/>
    <w:unhideWhenUsed/>
    <w:qFormat/>
    <w:pPr>
      <w:tabs>
        <w:tab w:val="left" w:pos="384"/>
      </w:tabs>
      <w:spacing w:line="240" w:lineRule="auto"/>
      <w:ind w:left="384" w:hanging="384"/>
    </w:pPr>
  </w:style>
  <w:style w:type="table" w:customStyle="1" w:styleId="5">
    <w:name w:val="网格型5"/>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20">
    <w:name w:val="书目2"/>
    <w:basedOn w:val="a"/>
    <w:next w:val="a"/>
    <w:uiPriority w:val="37"/>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9D19A-7D91-488D-84E1-713DA66C8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49</Pages>
  <Words>46401</Words>
  <Characters>264489</Characters>
  <Application>Microsoft Office Word</Application>
  <DocSecurity>0</DocSecurity>
  <Lines>2204</Lines>
  <Paragraphs>620</Paragraphs>
  <ScaleCrop>false</ScaleCrop>
  <Company>F. Hoffmann La Roche Ltd</Company>
  <LinksUpToDate>false</LinksUpToDate>
  <CharactersWithSpaces>310270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Kaka</dc:creator>
  <dc:description>NE.Ref</dc:description>
  <cp:lastModifiedBy>hao li</cp:lastModifiedBy>
  <cp:revision>16</cp:revision>
  <dcterms:created xsi:type="dcterms:W3CDTF">2025-10-21T13:17:00Z</dcterms:created>
  <dcterms:modified xsi:type="dcterms:W3CDTF">2026-03-31T03:28:00Z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D07629A94BAB4CC5B38C7874D2737547_13</vt:lpwstr>
  </property>
  <property fmtid="{D5CDD505-2E9C-101B-9397-08002B2CF9AE}" pid="4" name="KSOTemplateDocerSaveRecord">
    <vt:lpwstr>eyJoZGlkIjoiMzEwNTM5NzYwMDRjMzkwZTVkZjY2ODkwMGIxNGU0OTUiLCJ1c2VySWQiOiI2MjcwOTk2OTkifQ==</vt:lpwstr>
  </property>
  <property fmtid="{D5CDD505-2E9C-101B-9397-08002B2CF9AE}" pid="5" name="ZOTERO_PREF_1">
    <vt:lpwstr>&lt;data data-version="3" zotero-version="6.0.36"&gt;&lt;session id="AHjWKZEA"/&gt;&lt;style id="http://www.zotero.org/styles/vancouver" locale="en-US" hasBibliography="1" bibliographyStyleHasBeenSet="1"/&gt;&lt;prefs&gt;&lt;pref name="fieldType" value="Field"/&gt;&lt;pref name="automati</vt:lpwstr>
  </property>
  <property fmtid="{D5CDD505-2E9C-101B-9397-08002B2CF9AE}" pid="6" name="ZOTERO_PREF_2">
    <vt:lpwstr>cJournalAbbreviations" value="true"/&gt;&lt;/prefs&gt;&lt;/data&gt;</vt:lpwstr>
  </property>
</Properties>
</file>