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B2D3" w14:textId="77777777" w:rsidR="009F5AD6" w:rsidRPr="008B0BCD" w:rsidRDefault="009F5AD6" w:rsidP="009F5AD6">
      <w:pPr>
        <w:spacing w:line="360" w:lineRule="auto"/>
        <w:jc w:val="center"/>
        <w:rPr>
          <w:b/>
          <w:bCs/>
          <w:sz w:val="18"/>
          <w:szCs w:val="18"/>
        </w:rPr>
      </w:pPr>
      <w:r w:rsidRPr="008B0BCD">
        <w:rPr>
          <w:b/>
          <w:bCs/>
          <w:sz w:val="18"/>
          <w:szCs w:val="18"/>
        </w:rPr>
        <w:t>Supplementary Table S</w:t>
      </w:r>
      <w:r w:rsidRPr="008B0BCD">
        <w:rPr>
          <w:rFonts w:hint="eastAsia"/>
          <w:b/>
          <w:bCs/>
          <w:sz w:val="18"/>
          <w:szCs w:val="18"/>
        </w:rPr>
        <w:t xml:space="preserve">1 </w:t>
      </w:r>
      <w:r w:rsidRPr="008B0BCD">
        <w:rPr>
          <w:b/>
          <w:bCs/>
          <w:sz w:val="18"/>
          <w:szCs w:val="18"/>
        </w:rPr>
        <w:t>Excluded policy documents and reasons</w:t>
      </w:r>
      <w:r w:rsidRPr="008B0BCD">
        <w:rPr>
          <w:rFonts w:hint="eastAsia"/>
          <w:b/>
          <w:bCs/>
          <w:sz w:val="18"/>
          <w:szCs w:val="18"/>
        </w:rPr>
        <w:t xml:space="preserve"> for exclusion</w:t>
      </w:r>
    </w:p>
    <w:tbl>
      <w:tblPr>
        <w:tblStyle w:val="ae"/>
        <w:tblW w:w="9957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3458"/>
        <w:gridCol w:w="1966"/>
        <w:gridCol w:w="3376"/>
        <w:gridCol w:w="646"/>
      </w:tblGrid>
      <w:tr w:rsidR="009F5AD6" w:rsidRPr="008B0BCD" w14:paraId="3359E9DB" w14:textId="77777777" w:rsidTr="0067315C">
        <w:trPr>
          <w:trHeight w:val="379"/>
          <w:jc w:val="center"/>
        </w:trPr>
        <w:tc>
          <w:tcPr>
            <w:tcW w:w="0" w:type="auto"/>
            <w:vAlign w:val="center"/>
          </w:tcPr>
          <w:p w14:paraId="39B9031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0BCD">
              <w:rPr>
                <w:rFonts w:hint="eastAsi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3458" w:type="dxa"/>
            <w:vAlign w:val="center"/>
          </w:tcPr>
          <w:p w14:paraId="09B8A3A3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0BCD">
              <w:rPr>
                <w:b/>
                <w:bCs/>
                <w:sz w:val="20"/>
                <w:szCs w:val="20"/>
              </w:rPr>
              <w:t>Policy Title</w:t>
            </w:r>
          </w:p>
        </w:tc>
        <w:tc>
          <w:tcPr>
            <w:tcW w:w="1966" w:type="dxa"/>
            <w:vAlign w:val="center"/>
          </w:tcPr>
          <w:p w14:paraId="0B6A579F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0BCD">
              <w:rPr>
                <w:b/>
                <w:bCs/>
                <w:sz w:val="20"/>
                <w:szCs w:val="20"/>
              </w:rPr>
              <w:t>Issuing Agency</w:t>
            </w:r>
          </w:p>
        </w:tc>
        <w:tc>
          <w:tcPr>
            <w:tcW w:w="3376" w:type="dxa"/>
            <w:vAlign w:val="center"/>
          </w:tcPr>
          <w:p w14:paraId="09B0131B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8B0BCD">
              <w:rPr>
                <w:rFonts w:cs="Times New Roman"/>
                <w:b/>
                <w:bCs/>
                <w:sz w:val="18"/>
                <w:szCs w:val="18"/>
              </w:rPr>
              <w:t>Reason for exclusion</w:t>
            </w:r>
          </w:p>
        </w:tc>
        <w:tc>
          <w:tcPr>
            <w:tcW w:w="646" w:type="dxa"/>
            <w:vAlign w:val="center"/>
          </w:tcPr>
          <w:p w14:paraId="42D9A9F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B0BCD">
              <w:rPr>
                <w:rFonts w:eastAsiaTheme="minorEastAsia" w:hint="eastAsia"/>
                <w:b/>
                <w:bCs/>
                <w:sz w:val="20"/>
                <w:szCs w:val="20"/>
              </w:rPr>
              <w:t>Year</w:t>
            </w:r>
          </w:p>
        </w:tc>
      </w:tr>
      <w:tr w:rsidR="009F5AD6" w:rsidRPr="008B0BCD" w14:paraId="339B71A1" w14:textId="77777777" w:rsidTr="0067315C">
        <w:trPr>
          <w:jc w:val="center"/>
        </w:trPr>
        <w:tc>
          <w:tcPr>
            <w:tcW w:w="0" w:type="auto"/>
            <w:vAlign w:val="center"/>
          </w:tcPr>
          <w:p w14:paraId="1B6D45D6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1</w:t>
            </w:r>
          </w:p>
        </w:tc>
        <w:tc>
          <w:tcPr>
            <w:tcW w:w="3458" w:type="dxa"/>
            <w:vAlign w:val="center"/>
          </w:tcPr>
          <w:p w14:paraId="4A1CDCF6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Letter on Entrusting the Pilot Work of Optimizing Service Procedures to Improve the Efficiency of Medical Resource Utilization</w:t>
            </w:r>
          </w:p>
        </w:tc>
        <w:tc>
          <w:tcPr>
            <w:tcW w:w="1966" w:type="dxa"/>
            <w:vAlign w:val="center"/>
          </w:tcPr>
          <w:p w14:paraId="5055A86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General Office of the Ministry of Health (abolished)</w:t>
            </w:r>
          </w:p>
        </w:tc>
        <w:tc>
          <w:tcPr>
            <w:tcW w:w="3376" w:type="dxa"/>
            <w:vAlign w:val="center"/>
          </w:tcPr>
          <w:p w14:paraId="0129510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 xml:space="preserve">Work letter format; incomplete policy text structure </w:t>
            </w: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for PMC-index coding</w:t>
            </w:r>
          </w:p>
        </w:tc>
        <w:tc>
          <w:tcPr>
            <w:tcW w:w="646" w:type="dxa"/>
            <w:vAlign w:val="center"/>
          </w:tcPr>
          <w:p w14:paraId="29155CF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2009</w:t>
            </w:r>
          </w:p>
        </w:tc>
      </w:tr>
      <w:tr w:rsidR="009F5AD6" w:rsidRPr="008B0BCD" w14:paraId="515F30E0" w14:textId="77777777" w:rsidTr="0067315C">
        <w:trPr>
          <w:jc w:val="center"/>
        </w:trPr>
        <w:tc>
          <w:tcPr>
            <w:tcW w:w="0" w:type="auto"/>
            <w:vAlign w:val="center"/>
          </w:tcPr>
          <w:p w14:paraId="6D62F7E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</w:t>
            </w:r>
          </w:p>
        </w:tc>
        <w:tc>
          <w:tcPr>
            <w:tcW w:w="3458" w:type="dxa"/>
            <w:vAlign w:val="center"/>
          </w:tcPr>
          <w:p w14:paraId="08CE3DC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Notice on Issuing the Arrangements for the Pilot Reform of Public Hospitals in 2011</w:t>
            </w:r>
          </w:p>
        </w:tc>
        <w:tc>
          <w:tcPr>
            <w:tcW w:w="1966" w:type="dxa"/>
            <w:vAlign w:val="center"/>
          </w:tcPr>
          <w:p w14:paraId="6B245168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6B53EE6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public hospital reform; limited substantive content on medical resource allocation</w:t>
            </w:r>
          </w:p>
        </w:tc>
        <w:tc>
          <w:tcPr>
            <w:tcW w:w="646" w:type="dxa"/>
            <w:vAlign w:val="center"/>
          </w:tcPr>
          <w:p w14:paraId="0DECD2C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2011</w:t>
            </w:r>
          </w:p>
        </w:tc>
      </w:tr>
      <w:tr w:rsidR="009F5AD6" w:rsidRPr="008B0BCD" w14:paraId="2D4B2AA9" w14:textId="77777777" w:rsidTr="0067315C">
        <w:trPr>
          <w:jc w:val="center"/>
        </w:trPr>
        <w:tc>
          <w:tcPr>
            <w:tcW w:w="0" w:type="auto"/>
            <w:vAlign w:val="center"/>
          </w:tcPr>
          <w:p w14:paraId="4BE2E2A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3458" w:type="dxa"/>
            <w:vAlign w:val="center"/>
          </w:tcPr>
          <w:p w14:paraId="5A1D31D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Notice on Issuing the Development Plan for the Service Sector during the Twelfth Five-Year Plan Period</w:t>
            </w:r>
          </w:p>
        </w:tc>
        <w:tc>
          <w:tcPr>
            <w:tcW w:w="1966" w:type="dxa"/>
            <w:vAlign w:val="center"/>
          </w:tcPr>
          <w:p w14:paraId="2D0E393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the State Council</w:t>
            </w:r>
          </w:p>
        </w:tc>
        <w:tc>
          <w:tcPr>
            <w:tcW w:w="3376" w:type="dxa"/>
            <w:vAlign w:val="center"/>
          </w:tcPr>
          <w:p w14:paraId="15B67FC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service-sector development; medical resource allocation only briefly mentioned</w:t>
            </w:r>
          </w:p>
        </w:tc>
        <w:tc>
          <w:tcPr>
            <w:tcW w:w="646" w:type="dxa"/>
            <w:vAlign w:val="center"/>
          </w:tcPr>
          <w:p w14:paraId="154FB12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2012</w:t>
            </w:r>
          </w:p>
        </w:tc>
      </w:tr>
      <w:tr w:rsidR="009F5AD6" w:rsidRPr="008B0BCD" w14:paraId="5FC359B5" w14:textId="77777777" w:rsidTr="0067315C">
        <w:trPr>
          <w:jc w:val="center"/>
        </w:trPr>
        <w:tc>
          <w:tcPr>
            <w:tcW w:w="0" w:type="auto"/>
            <w:vAlign w:val="center"/>
          </w:tcPr>
          <w:p w14:paraId="37B06FE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458" w:type="dxa"/>
            <w:vAlign w:val="center"/>
          </w:tcPr>
          <w:p w14:paraId="06C2014F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Several Opinions on Accelerating the Development of Commercial Health Insurance</w:t>
            </w:r>
          </w:p>
        </w:tc>
        <w:tc>
          <w:tcPr>
            <w:tcW w:w="1966" w:type="dxa"/>
            <w:vAlign w:val="center"/>
          </w:tcPr>
          <w:p w14:paraId="5BB8E7FF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5FA91998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commercial health insurance; medical resource allocation only incidentally mentioned</w:t>
            </w:r>
          </w:p>
        </w:tc>
        <w:tc>
          <w:tcPr>
            <w:tcW w:w="646" w:type="dxa"/>
            <w:vAlign w:val="center"/>
          </w:tcPr>
          <w:p w14:paraId="7547D50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2014</w:t>
            </w:r>
          </w:p>
        </w:tc>
      </w:tr>
      <w:tr w:rsidR="009F5AD6" w:rsidRPr="008B0BCD" w14:paraId="6930F9DB" w14:textId="77777777" w:rsidTr="0067315C">
        <w:trPr>
          <w:jc w:val="center"/>
        </w:trPr>
        <w:tc>
          <w:tcPr>
            <w:tcW w:w="0" w:type="auto"/>
            <w:vAlign w:val="center"/>
          </w:tcPr>
          <w:p w14:paraId="64556691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3458" w:type="dxa"/>
            <w:vAlign w:val="center"/>
          </w:tcPr>
          <w:p w14:paraId="3B4CC58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Report on the Progress of Deepening the Reform of the Medical and Health System</w:t>
            </w:r>
          </w:p>
        </w:tc>
        <w:tc>
          <w:tcPr>
            <w:tcW w:w="1966" w:type="dxa"/>
            <w:vAlign w:val="center"/>
          </w:tcPr>
          <w:p w14:paraId="0B41D73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the State Council</w:t>
            </w:r>
          </w:p>
        </w:tc>
        <w:tc>
          <w:tcPr>
            <w:tcW w:w="3376" w:type="dxa"/>
            <w:vAlign w:val="center"/>
          </w:tcPr>
          <w:p w14:paraId="77EAC573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Progress report rather than a substantive policy text; medical resource allocation only briefly mentioned</w:t>
            </w:r>
          </w:p>
        </w:tc>
        <w:tc>
          <w:tcPr>
            <w:tcW w:w="646" w:type="dxa"/>
            <w:vAlign w:val="center"/>
          </w:tcPr>
          <w:p w14:paraId="04A5D6E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2015</w:t>
            </w:r>
          </w:p>
        </w:tc>
      </w:tr>
      <w:tr w:rsidR="009F5AD6" w:rsidRPr="008B0BCD" w14:paraId="45755D00" w14:textId="77777777" w:rsidTr="0067315C">
        <w:trPr>
          <w:jc w:val="center"/>
        </w:trPr>
        <w:tc>
          <w:tcPr>
            <w:tcW w:w="0" w:type="auto"/>
            <w:vAlign w:val="center"/>
          </w:tcPr>
          <w:p w14:paraId="16EE466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6</w:t>
            </w:r>
          </w:p>
        </w:tc>
        <w:tc>
          <w:tcPr>
            <w:tcW w:w="3458" w:type="dxa"/>
            <w:vAlign w:val="center"/>
          </w:tcPr>
          <w:p w14:paraId="4E0F1928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Guiding Opinions on the Pilot Reform of Urban Public Hospitals</w:t>
            </w:r>
          </w:p>
        </w:tc>
        <w:tc>
          <w:tcPr>
            <w:tcW w:w="1966" w:type="dxa"/>
            <w:vAlign w:val="center"/>
          </w:tcPr>
          <w:p w14:paraId="3445018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5658646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urban public hospital reform; limited direct relevance to medical resource allocation</w:t>
            </w:r>
          </w:p>
        </w:tc>
        <w:tc>
          <w:tcPr>
            <w:tcW w:w="646" w:type="dxa"/>
            <w:vAlign w:val="center"/>
          </w:tcPr>
          <w:p w14:paraId="1810540E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2015</w:t>
            </w:r>
          </w:p>
        </w:tc>
      </w:tr>
      <w:tr w:rsidR="009F5AD6" w:rsidRPr="008B0BCD" w14:paraId="30017FF3" w14:textId="77777777" w:rsidTr="0067315C">
        <w:trPr>
          <w:jc w:val="center"/>
        </w:trPr>
        <w:tc>
          <w:tcPr>
            <w:tcW w:w="0" w:type="auto"/>
            <w:vAlign w:val="center"/>
          </w:tcPr>
          <w:p w14:paraId="427DA08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7</w:t>
            </w:r>
          </w:p>
        </w:tc>
        <w:tc>
          <w:tcPr>
            <w:tcW w:w="3458" w:type="dxa"/>
            <w:vAlign w:val="center"/>
          </w:tcPr>
          <w:p w14:paraId="6883C7C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Guiding Opinions on Carrying out the Pilot Work for the Construction of Medical Consortia</w:t>
            </w:r>
          </w:p>
        </w:tc>
        <w:tc>
          <w:tcPr>
            <w:tcW w:w="1966" w:type="dxa"/>
            <w:vAlign w:val="center"/>
          </w:tcPr>
          <w:p w14:paraId="22945013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National Health and Family Planning Commission (abolished)</w:t>
            </w:r>
          </w:p>
        </w:tc>
        <w:tc>
          <w:tcPr>
            <w:tcW w:w="3376" w:type="dxa"/>
            <w:vAlign w:val="center"/>
          </w:tcPr>
          <w:p w14:paraId="2ED0AB8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Substantial overlap with included policy P10</w:t>
            </w:r>
          </w:p>
        </w:tc>
        <w:tc>
          <w:tcPr>
            <w:tcW w:w="646" w:type="dxa"/>
            <w:vAlign w:val="center"/>
          </w:tcPr>
          <w:p w14:paraId="1650ACCA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2016</w:t>
            </w:r>
          </w:p>
        </w:tc>
      </w:tr>
      <w:tr w:rsidR="009F5AD6" w:rsidRPr="008B0BCD" w14:paraId="39382876" w14:textId="77777777" w:rsidTr="0067315C">
        <w:trPr>
          <w:jc w:val="center"/>
        </w:trPr>
        <w:tc>
          <w:tcPr>
            <w:tcW w:w="0" w:type="auto"/>
            <w:vAlign w:val="center"/>
          </w:tcPr>
          <w:p w14:paraId="44965A7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8</w:t>
            </w:r>
          </w:p>
        </w:tc>
        <w:tc>
          <w:tcPr>
            <w:tcW w:w="3458" w:type="dxa"/>
            <w:vAlign w:val="center"/>
          </w:tcPr>
          <w:p w14:paraId="5718F16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Outline of the National Informatization Development Strategy</w:t>
            </w:r>
          </w:p>
        </w:tc>
        <w:tc>
          <w:tcPr>
            <w:tcW w:w="1966" w:type="dxa"/>
            <w:vAlign w:val="center"/>
          </w:tcPr>
          <w:p w14:paraId="72F2C1E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Central Committee of the Communist Party of China; General Office of the State Council</w:t>
            </w:r>
          </w:p>
        </w:tc>
        <w:tc>
          <w:tcPr>
            <w:tcW w:w="3376" w:type="dxa"/>
            <w:vAlign w:val="center"/>
          </w:tcPr>
          <w:p w14:paraId="6605BCEB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informatization strategy; medical resource allocation only briefly mentioned</w:t>
            </w:r>
          </w:p>
        </w:tc>
        <w:tc>
          <w:tcPr>
            <w:tcW w:w="646" w:type="dxa"/>
            <w:vAlign w:val="center"/>
          </w:tcPr>
          <w:p w14:paraId="052D62E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2016</w:t>
            </w:r>
          </w:p>
        </w:tc>
      </w:tr>
      <w:tr w:rsidR="009F5AD6" w:rsidRPr="008B0BCD" w14:paraId="5013D2FE" w14:textId="77777777" w:rsidTr="0067315C">
        <w:trPr>
          <w:jc w:val="center"/>
        </w:trPr>
        <w:tc>
          <w:tcPr>
            <w:tcW w:w="0" w:type="auto"/>
            <w:vAlign w:val="center"/>
          </w:tcPr>
          <w:p w14:paraId="3A7509F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9</w:t>
            </w:r>
          </w:p>
        </w:tc>
        <w:tc>
          <w:tcPr>
            <w:tcW w:w="3458" w:type="dxa"/>
            <w:vAlign w:val="center"/>
          </w:tcPr>
          <w:p w14:paraId="370C0D11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Guiding Opinions on Promoting the Healthy Development of the Pharmaceutical Industry</w:t>
            </w:r>
          </w:p>
        </w:tc>
        <w:tc>
          <w:tcPr>
            <w:tcW w:w="1966" w:type="dxa"/>
            <w:vAlign w:val="center"/>
          </w:tcPr>
          <w:p w14:paraId="645E11D3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07DEC4E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pharmaceutical industry development; medical resource allocation only incidentally mentioned</w:t>
            </w:r>
          </w:p>
        </w:tc>
        <w:tc>
          <w:tcPr>
            <w:tcW w:w="646" w:type="dxa"/>
            <w:vAlign w:val="center"/>
          </w:tcPr>
          <w:p w14:paraId="08340E43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2016</w:t>
            </w:r>
          </w:p>
        </w:tc>
      </w:tr>
      <w:tr w:rsidR="009F5AD6" w:rsidRPr="008B0BCD" w14:paraId="678D45F4" w14:textId="77777777" w:rsidTr="0067315C">
        <w:trPr>
          <w:jc w:val="center"/>
        </w:trPr>
        <w:tc>
          <w:tcPr>
            <w:tcW w:w="0" w:type="auto"/>
            <w:vAlign w:val="center"/>
          </w:tcPr>
          <w:p w14:paraId="23922C06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0</w:t>
            </w:r>
          </w:p>
        </w:tc>
        <w:tc>
          <w:tcPr>
            <w:tcW w:w="3458" w:type="dxa"/>
            <w:vAlign w:val="center"/>
          </w:tcPr>
          <w:p w14:paraId="39AF9C2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Notice on Issuing the Key Tasks for Deepening the Reform of the Medical and Health System in 2016</w:t>
            </w:r>
          </w:p>
        </w:tc>
        <w:tc>
          <w:tcPr>
            <w:tcW w:w="1966" w:type="dxa"/>
            <w:vAlign w:val="center"/>
          </w:tcPr>
          <w:p w14:paraId="2107347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2C74124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Annual task-arrangement document; insufficiently substantive and independent for PMC-index coding</w:t>
            </w:r>
          </w:p>
        </w:tc>
        <w:tc>
          <w:tcPr>
            <w:tcW w:w="646" w:type="dxa"/>
            <w:vAlign w:val="center"/>
          </w:tcPr>
          <w:p w14:paraId="7BEDA98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2016</w:t>
            </w:r>
          </w:p>
        </w:tc>
      </w:tr>
      <w:tr w:rsidR="009F5AD6" w:rsidRPr="008B0BCD" w14:paraId="75FC53FA" w14:textId="77777777" w:rsidTr="0067315C">
        <w:trPr>
          <w:jc w:val="center"/>
        </w:trPr>
        <w:tc>
          <w:tcPr>
            <w:tcW w:w="0" w:type="auto"/>
            <w:vAlign w:val="center"/>
          </w:tcPr>
          <w:p w14:paraId="31C19E8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1</w:t>
            </w:r>
          </w:p>
        </w:tc>
        <w:tc>
          <w:tcPr>
            <w:tcW w:w="3458" w:type="dxa"/>
            <w:vAlign w:val="center"/>
          </w:tcPr>
          <w:p w14:paraId="6BEC32D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Notice on Issuing the Thirteenth Five-Year Plan for Poverty Alleviation</w:t>
            </w:r>
          </w:p>
        </w:tc>
        <w:tc>
          <w:tcPr>
            <w:tcW w:w="1966" w:type="dxa"/>
            <w:vAlign w:val="center"/>
          </w:tcPr>
          <w:p w14:paraId="5F66E44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the State Council</w:t>
            </w:r>
          </w:p>
        </w:tc>
        <w:tc>
          <w:tcPr>
            <w:tcW w:w="3376" w:type="dxa"/>
            <w:vAlign w:val="center"/>
          </w:tcPr>
          <w:p w14:paraId="09505BFA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poverty alleviation; medical resource allocation only marginally mentioned</w:t>
            </w:r>
          </w:p>
        </w:tc>
        <w:tc>
          <w:tcPr>
            <w:tcW w:w="646" w:type="dxa"/>
            <w:vAlign w:val="center"/>
          </w:tcPr>
          <w:p w14:paraId="6AE533A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2016</w:t>
            </w:r>
          </w:p>
        </w:tc>
      </w:tr>
      <w:tr w:rsidR="009F5AD6" w:rsidRPr="008B0BCD" w14:paraId="022815E4" w14:textId="77777777" w:rsidTr="0067315C">
        <w:trPr>
          <w:jc w:val="center"/>
        </w:trPr>
        <w:tc>
          <w:tcPr>
            <w:tcW w:w="0" w:type="auto"/>
            <w:vAlign w:val="center"/>
          </w:tcPr>
          <w:p w14:paraId="6C2E9FD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2</w:t>
            </w:r>
          </w:p>
        </w:tc>
        <w:tc>
          <w:tcPr>
            <w:tcW w:w="3458" w:type="dxa"/>
            <w:vAlign w:val="center"/>
          </w:tcPr>
          <w:p w14:paraId="53B61AD2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Notice on Issuing the Key Tasks for Deepening the Reform of the Medical and Health System in 2017</w:t>
            </w:r>
          </w:p>
        </w:tc>
        <w:tc>
          <w:tcPr>
            <w:tcW w:w="1966" w:type="dxa"/>
            <w:vAlign w:val="center"/>
          </w:tcPr>
          <w:p w14:paraId="0C2FDAE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22EDD05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Annual task-arrangement document; insufficiently substantive and independent for PMC-index coding</w:t>
            </w:r>
          </w:p>
        </w:tc>
        <w:tc>
          <w:tcPr>
            <w:tcW w:w="646" w:type="dxa"/>
            <w:vAlign w:val="center"/>
          </w:tcPr>
          <w:p w14:paraId="185EA68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2017</w:t>
            </w:r>
          </w:p>
        </w:tc>
      </w:tr>
      <w:tr w:rsidR="009F5AD6" w:rsidRPr="008B0BCD" w14:paraId="6696AF90" w14:textId="77777777" w:rsidTr="0067315C">
        <w:trPr>
          <w:jc w:val="center"/>
        </w:trPr>
        <w:tc>
          <w:tcPr>
            <w:tcW w:w="0" w:type="auto"/>
            <w:vAlign w:val="center"/>
          </w:tcPr>
          <w:p w14:paraId="56DC74D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3</w:t>
            </w:r>
          </w:p>
        </w:tc>
        <w:tc>
          <w:tcPr>
            <w:tcW w:w="3458" w:type="dxa"/>
            <w:vAlign w:val="center"/>
          </w:tcPr>
          <w:p w14:paraId="627A371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Opinions on the Division of Key Tasks among Departments for Implementing the Government Work Report (2018)</w:t>
            </w:r>
          </w:p>
        </w:tc>
        <w:tc>
          <w:tcPr>
            <w:tcW w:w="1966" w:type="dxa"/>
            <w:vAlign w:val="center"/>
          </w:tcPr>
          <w:p w14:paraId="05A1456E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the State Council</w:t>
            </w:r>
          </w:p>
        </w:tc>
        <w:tc>
          <w:tcPr>
            <w:tcW w:w="3376" w:type="dxa"/>
            <w:vAlign w:val="center"/>
          </w:tcPr>
          <w:p w14:paraId="16F1440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Broad task-allocation document; medical resource allocation not developed as a core policy theme</w:t>
            </w:r>
          </w:p>
        </w:tc>
        <w:tc>
          <w:tcPr>
            <w:tcW w:w="646" w:type="dxa"/>
            <w:vAlign w:val="center"/>
          </w:tcPr>
          <w:p w14:paraId="40CBD42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2018</w:t>
            </w:r>
          </w:p>
        </w:tc>
      </w:tr>
      <w:tr w:rsidR="009F5AD6" w:rsidRPr="008B0BCD" w14:paraId="4F0AB4F0" w14:textId="77777777" w:rsidTr="0067315C">
        <w:trPr>
          <w:jc w:val="center"/>
        </w:trPr>
        <w:tc>
          <w:tcPr>
            <w:tcW w:w="0" w:type="auto"/>
            <w:vAlign w:val="center"/>
          </w:tcPr>
          <w:p w14:paraId="3DDA078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4</w:t>
            </w:r>
          </w:p>
        </w:tc>
        <w:tc>
          <w:tcPr>
            <w:tcW w:w="3458" w:type="dxa"/>
            <w:vAlign w:val="center"/>
          </w:tcPr>
          <w:p w14:paraId="705F5BD8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Outline of the Integrated Regional Development Plan for the Yangtze River Delta</w:t>
            </w:r>
          </w:p>
        </w:tc>
        <w:tc>
          <w:tcPr>
            <w:tcW w:w="1966" w:type="dxa"/>
            <w:vAlign w:val="center"/>
          </w:tcPr>
          <w:p w14:paraId="1553683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Central Committee of the Communist Party of China, the State Council</w:t>
            </w:r>
          </w:p>
        </w:tc>
        <w:tc>
          <w:tcPr>
            <w:tcW w:w="3376" w:type="dxa"/>
            <w:vAlign w:val="center"/>
          </w:tcPr>
          <w:p w14:paraId="3BD15ABF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Broad regional development plan; medical resource allocation mentioned only at the planning level</w:t>
            </w:r>
          </w:p>
        </w:tc>
        <w:tc>
          <w:tcPr>
            <w:tcW w:w="646" w:type="dxa"/>
            <w:vAlign w:val="center"/>
          </w:tcPr>
          <w:p w14:paraId="699332A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2019</w:t>
            </w:r>
          </w:p>
        </w:tc>
      </w:tr>
      <w:tr w:rsidR="009F5AD6" w:rsidRPr="008B0BCD" w14:paraId="37F65255" w14:textId="77777777" w:rsidTr="0067315C">
        <w:trPr>
          <w:jc w:val="center"/>
        </w:trPr>
        <w:tc>
          <w:tcPr>
            <w:tcW w:w="0" w:type="auto"/>
            <w:vAlign w:val="center"/>
          </w:tcPr>
          <w:p w14:paraId="68CC4296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15</w:t>
            </w:r>
          </w:p>
        </w:tc>
        <w:tc>
          <w:tcPr>
            <w:tcW w:w="3458" w:type="dxa"/>
            <w:vAlign w:val="center"/>
          </w:tcPr>
          <w:p w14:paraId="7F2367CE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Notice on Issuing the Key Tasks for Deepening the Reform of the Medical and Health System in the Second Half of 2020</w:t>
            </w:r>
          </w:p>
        </w:tc>
        <w:tc>
          <w:tcPr>
            <w:tcW w:w="1966" w:type="dxa"/>
            <w:vAlign w:val="center"/>
          </w:tcPr>
          <w:p w14:paraId="0C523895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49517196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Annual task-arrangement document; insufficiently substantive and independent for PMC-index coding</w:t>
            </w:r>
          </w:p>
        </w:tc>
        <w:tc>
          <w:tcPr>
            <w:tcW w:w="646" w:type="dxa"/>
            <w:vAlign w:val="center"/>
          </w:tcPr>
          <w:p w14:paraId="547F6FF1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2020</w:t>
            </w:r>
          </w:p>
        </w:tc>
      </w:tr>
      <w:tr w:rsidR="009F5AD6" w:rsidRPr="008B0BCD" w14:paraId="0F296C97" w14:textId="77777777" w:rsidTr="0067315C">
        <w:trPr>
          <w:jc w:val="center"/>
        </w:trPr>
        <w:tc>
          <w:tcPr>
            <w:tcW w:w="0" w:type="auto"/>
            <w:vAlign w:val="center"/>
          </w:tcPr>
          <w:p w14:paraId="7FC1624A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16</w:t>
            </w:r>
          </w:p>
        </w:tc>
        <w:tc>
          <w:tcPr>
            <w:tcW w:w="3458" w:type="dxa"/>
            <w:vAlign w:val="center"/>
          </w:tcPr>
          <w:p w14:paraId="38E4A1C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Opinions on Supporting Zhejiang’s High-Quality Development and Building a Demonstration Zone for Common Prosperity</w:t>
            </w:r>
          </w:p>
        </w:tc>
        <w:tc>
          <w:tcPr>
            <w:tcW w:w="1966" w:type="dxa"/>
            <w:vAlign w:val="center"/>
          </w:tcPr>
          <w:p w14:paraId="3620051F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Central Committee of the Communist Party of China, the State Council</w:t>
            </w:r>
          </w:p>
        </w:tc>
        <w:tc>
          <w:tcPr>
            <w:tcW w:w="3376" w:type="dxa"/>
            <w:vAlign w:val="center"/>
          </w:tcPr>
          <w:p w14:paraId="0571535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regional development and common prosperity; medical resource allocation only incidentally mentioned</w:t>
            </w:r>
          </w:p>
        </w:tc>
        <w:tc>
          <w:tcPr>
            <w:tcW w:w="646" w:type="dxa"/>
            <w:vAlign w:val="center"/>
          </w:tcPr>
          <w:p w14:paraId="6796618E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2021</w:t>
            </w:r>
          </w:p>
        </w:tc>
      </w:tr>
      <w:tr w:rsidR="009F5AD6" w:rsidRPr="008B0BCD" w14:paraId="0C88AE16" w14:textId="77777777" w:rsidTr="0067315C">
        <w:trPr>
          <w:jc w:val="center"/>
        </w:trPr>
        <w:tc>
          <w:tcPr>
            <w:tcW w:w="0" w:type="auto"/>
            <w:vAlign w:val="center"/>
          </w:tcPr>
          <w:p w14:paraId="433794D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7</w:t>
            </w:r>
          </w:p>
        </w:tc>
        <w:tc>
          <w:tcPr>
            <w:tcW w:w="3458" w:type="dxa"/>
            <w:vAlign w:val="center"/>
          </w:tcPr>
          <w:p w14:paraId="465556CB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Opinions on Promoting the High-Quality Development of Public Hospitals</w:t>
            </w:r>
          </w:p>
        </w:tc>
        <w:tc>
          <w:tcPr>
            <w:tcW w:w="1966" w:type="dxa"/>
            <w:vAlign w:val="center"/>
          </w:tcPr>
          <w:p w14:paraId="52EF720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46F7416D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public hospital development; medical resource allocation not developed as a principal theme</w:t>
            </w:r>
          </w:p>
        </w:tc>
        <w:tc>
          <w:tcPr>
            <w:tcW w:w="646" w:type="dxa"/>
            <w:vAlign w:val="center"/>
          </w:tcPr>
          <w:p w14:paraId="1695D13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2021</w:t>
            </w:r>
          </w:p>
        </w:tc>
      </w:tr>
      <w:tr w:rsidR="009F5AD6" w:rsidRPr="008B0BCD" w14:paraId="5A3BBDAC" w14:textId="77777777" w:rsidTr="0067315C">
        <w:trPr>
          <w:jc w:val="center"/>
        </w:trPr>
        <w:tc>
          <w:tcPr>
            <w:tcW w:w="0" w:type="auto"/>
            <w:vAlign w:val="center"/>
          </w:tcPr>
          <w:p w14:paraId="728B39D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hint="eastAsia"/>
                <w:sz w:val="18"/>
                <w:szCs w:val="18"/>
              </w:rPr>
              <w:t>1</w:t>
            </w:r>
            <w:r w:rsidRPr="008B0BCD">
              <w:rPr>
                <w:rFonts w:eastAsiaTheme="minorEastAsia" w:hint="eastAsia"/>
                <w:sz w:val="18"/>
                <w:szCs w:val="18"/>
              </w:rPr>
              <w:t>8</w:t>
            </w:r>
          </w:p>
        </w:tc>
        <w:tc>
          <w:tcPr>
            <w:tcW w:w="3458" w:type="dxa"/>
            <w:vAlign w:val="center"/>
          </w:tcPr>
          <w:p w14:paraId="6235C6C3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Guiding Opinions on Improving the Long-Term Mechanism of Basic Medical Insurance Participation</w:t>
            </w:r>
          </w:p>
        </w:tc>
        <w:tc>
          <w:tcPr>
            <w:tcW w:w="1966" w:type="dxa"/>
            <w:vAlign w:val="center"/>
          </w:tcPr>
          <w:p w14:paraId="44171DC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General Office of the State Council</w:t>
            </w:r>
          </w:p>
        </w:tc>
        <w:tc>
          <w:tcPr>
            <w:tcW w:w="3376" w:type="dxa"/>
            <w:vAlign w:val="center"/>
          </w:tcPr>
          <w:p w14:paraId="45DD32B4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insurance participation; medical resource allocation only marginally mentioned</w:t>
            </w:r>
          </w:p>
        </w:tc>
        <w:tc>
          <w:tcPr>
            <w:tcW w:w="646" w:type="dxa"/>
            <w:vAlign w:val="center"/>
          </w:tcPr>
          <w:p w14:paraId="51EF0911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2024</w:t>
            </w:r>
          </w:p>
        </w:tc>
      </w:tr>
      <w:tr w:rsidR="009F5AD6" w:rsidRPr="008B0BCD" w14:paraId="36DCE219" w14:textId="77777777" w:rsidTr="0067315C">
        <w:trPr>
          <w:jc w:val="center"/>
        </w:trPr>
        <w:tc>
          <w:tcPr>
            <w:tcW w:w="0" w:type="auto"/>
            <w:vAlign w:val="center"/>
          </w:tcPr>
          <w:p w14:paraId="40E849E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19</w:t>
            </w:r>
          </w:p>
        </w:tc>
        <w:tc>
          <w:tcPr>
            <w:tcW w:w="3458" w:type="dxa"/>
            <w:vAlign w:val="center"/>
          </w:tcPr>
          <w:p w14:paraId="2A68C5CB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>Opinions on Promoting High-Quality Urban Development</w:t>
            </w:r>
          </w:p>
        </w:tc>
        <w:tc>
          <w:tcPr>
            <w:tcW w:w="1966" w:type="dxa"/>
            <w:vAlign w:val="center"/>
          </w:tcPr>
          <w:p w14:paraId="1078B52C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t>Central Committee of the Communist Party of China, the State Council</w:t>
            </w:r>
          </w:p>
        </w:tc>
        <w:tc>
          <w:tcPr>
            <w:tcW w:w="3376" w:type="dxa"/>
            <w:vAlign w:val="center"/>
          </w:tcPr>
          <w:p w14:paraId="01CB03D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t>Mainly focused on urban development; medical resource allocation only briefly mentioned</w:t>
            </w:r>
          </w:p>
        </w:tc>
        <w:tc>
          <w:tcPr>
            <w:tcW w:w="646" w:type="dxa"/>
            <w:vAlign w:val="center"/>
          </w:tcPr>
          <w:p w14:paraId="645F4B69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t>2025</w:t>
            </w:r>
          </w:p>
        </w:tc>
      </w:tr>
      <w:tr w:rsidR="009F5AD6" w:rsidRPr="008B0BCD" w14:paraId="612E2C29" w14:textId="77777777" w:rsidTr="0067315C">
        <w:trPr>
          <w:jc w:val="center"/>
        </w:trPr>
        <w:tc>
          <w:tcPr>
            <w:tcW w:w="0" w:type="auto"/>
            <w:vAlign w:val="center"/>
          </w:tcPr>
          <w:p w14:paraId="52DAB99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8B0BCD">
              <w:rPr>
                <w:rFonts w:eastAsiaTheme="minorEastAsia" w:hint="eastAsia"/>
                <w:sz w:val="18"/>
                <w:szCs w:val="18"/>
              </w:rPr>
              <w:t>20</w:t>
            </w:r>
          </w:p>
        </w:tc>
        <w:tc>
          <w:tcPr>
            <w:tcW w:w="3458" w:type="dxa"/>
            <w:vAlign w:val="center"/>
          </w:tcPr>
          <w:p w14:paraId="2C0EADE6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sz w:val="18"/>
                <w:szCs w:val="18"/>
              </w:rPr>
            </w:pPr>
            <w:r w:rsidRPr="008B0BCD">
              <w:rPr>
                <w:sz w:val="18"/>
                <w:szCs w:val="18"/>
              </w:rPr>
              <w:t xml:space="preserve">Opinions on Further Safeguarding and </w:t>
            </w:r>
            <w:r w:rsidRPr="008B0BCD">
              <w:rPr>
                <w:sz w:val="18"/>
                <w:szCs w:val="18"/>
              </w:rPr>
              <w:lastRenderedPageBreak/>
              <w:t>Improving People’s Livelihoods and Resolving the Urgent Concerns of the People</w:t>
            </w:r>
          </w:p>
        </w:tc>
        <w:tc>
          <w:tcPr>
            <w:tcW w:w="1966" w:type="dxa"/>
            <w:vAlign w:val="center"/>
          </w:tcPr>
          <w:p w14:paraId="4A321470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</w:rPr>
              <w:lastRenderedPageBreak/>
              <w:t xml:space="preserve">General Office of the </w:t>
            </w:r>
            <w:r w:rsidRPr="008B0BCD">
              <w:rPr>
                <w:rFonts w:cs="Times New Roman"/>
                <w:sz w:val="18"/>
                <w:szCs w:val="18"/>
              </w:rPr>
              <w:lastRenderedPageBreak/>
              <w:t>Central Committee of the Communist Party of China; General Office of the State Council</w:t>
            </w:r>
          </w:p>
        </w:tc>
        <w:tc>
          <w:tcPr>
            <w:tcW w:w="3376" w:type="dxa"/>
            <w:vAlign w:val="center"/>
          </w:tcPr>
          <w:p w14:paraId="7E46FC41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lastRenderedPageBreak/>
              <w:t xml:space="preserve">Mainly focused on livelihood protection; </w:t>
            </w:r>
            <w:r w:rsidRPr="008B0BCD">
              <w:rPr>
                <w:rFonts w:cs="Times New Roman"/>
                <w:sz w:val="18"/>
                <w:szCs w:val="18"/>
                <w:shd w:val="clear" w:color="auto" w:fill="FFFFFF"/>
              </w:rPr>
              <w:lastRenderedPageBreak/>
              <w:t>limited substantive content on medical resource allocation</w:t>
            </w:r>
          </w:p>
        </w:tc>
        <w:tc>
          <w:tcPr>
            <w:tcW w:w="646" w:type="dxa"/>
            <w:vAlign w:val="center"/>
          </w:tcPr>
          <w:p w14:paraId="04483537" w14:textId="77777777" w:rsidR="009F5AD6" w:rsidRPr="008B0BCD" w:rsidRDefault="009F5AD6" w:rsidP="0067315C">
            <w:pPr>
              <w:adjustRightInd w:val="0"/>
              <w:snapToGrid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B0BCD">
              <w:rPr>
                <w:rFonts w:eastAsiaTheme="minorEastAsia" w:cs="Times New Roman"/>
                <w:sz w:val="18"/>
                <w:szCs w:val="18"/>
              </w:rPr>
              <w:lastRenderedPageBreak/>
              <w:t>2025</w:t>
            </w:r>
          </w:p>
        </w:tc>
      </w:tr>
    </w:tbl>
    <w:p w14:paraId="43610F0A" w14:textId="77777777" w:rsidR="009F5AD6" w:rsidRPr="008B0BCD" w:rsidRDefault="009F5AD6" w:rsidP="00810D47">
      <w:pPr>
        <w:snapToGrid w:val="0"/>
        <w:spacing w:line="240" w:lineRule="auto"/>
        <w:ind w:firstLineChars="200" w:firstLine="360"/>
        <w:rPr>
          <w:sz w:val="18"/>
          <w:szCs w:val="18"/>
        </w:rPr>
      </w:pPr>
      <w:r w:rsidRPr="008B0BCD">
        <w:rPr>
          <w:sz w:val="18"/>
          <w:szCs w:val="18"/>
        </w:rPr>
        <w:t>Note: Detailed exclusion criteria are presented in the main text. The “Reason for exclusion” column identifies the primary thematic focus of each excluded document or the specific exclusion criterion applied.</w:t>
      </w:r>
    </w:p>
    <w:p w14:paraId="16D6C057" w14:textId="77777777" w:rsidR="00E763E7" w:rsidRPr="008B0BCD" w:rsidRDefault="00E763E7" w:rsidP="009F5AD6"/>
    <w:sectPr w:rsidR="00E763E7" w:rsidRPr="008B0BCD" w:rsidSect="009F5A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9A55F" w14:textId="77777777" w:rsidR="008A4764" w:rsidRDefault="008A4764" w:rsidP="00850D61">
      <w:pPr>
        <w:spacing w:line="240" w:lineRule="auto"/>
      </w:pPr>
      <w:r>
        <w:separator/>
      </w:r>
    </w:p>
  </w:endnote>
  <w:endnote w:type="continuationSeparator" w:id="0">
    <w:p w14:paraId="1E7018A6" w14:textId="77777777" w:rsidR="008A4764" w:rsidRDefault="008A4764" w:rsidP="00850D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3D962" w14:textId="77777777" w:rsidR="008A4764" w:rsidRDefault="008A4764" w:rsidP="00850D61">
      <w:pPr>
        <w:spacing w:line="240" w:lineRule="auto"/>
      </w:pPr>
      <w:r>
        <w:separator/>
      </w:r>
    </w:p>
  </w:footnote>
  <w:footnote w:type="continuationSeparator" w:id="0">
    <w:p w14:paraId="0B3D1C78" w14:textId="77777777" w:rsidR="008A4764" w:rsidRDefault="008A4764" w:rsidP="00850D6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5E"/>
    <w:rsid w:val="00013F5F"/>
    <w:rsid w:val="00016AF1"/>
    <w:rsid w:val="00024EA7"/>
    <w:rsid w:val="000561CC"/>
    <w:rsid w:val="000625BA"/>
    <w:rsid w:val="00066EC4"/>
    <w:rsid w:val="00081191"/>
    <w:rsid w:val="00081EC5"/>
    <w:rsid w:val="000C00D3"/>
    <w:rsid w:val="000C11DF"/>
    <w:rsid w:val="000C185E"/>
    <w:rsid w:val="000C4880"/>
    <w:rsid w:val="000D03BA"/>
    <w:rsid w:val="000F3F83"/>
    <w:rsid w:val="000F68A7"/>
    <w:rsid w:val="0011229B"/>
    <w:rsid w:val="00121959"/>
    <w:rsid w:val="001269CA"/>
    <w:rsid w:val="0014525B"/>
    <w:rsid w:val="0017038C"/>
    <w:rsid w:val="00173BCE"/>
    <w:rsid w:val="00193A37"/>
    <w:rsid w:val="001C467B"/>
    <w:rsid w:val="001D10D3"/>
    <w:rsid w:val="001E37D7"/>
    <w:rsid w:val="001F2E0A"/>
    <w:rsid w:val="00203B5E"/>
    <w:rsid w:val="00227C8E"/>
    <w:rsid w:val="002303D8"/>
    <w:rsid w:val="002905A3"/>
    <w:rsid w:val="002B1221"/>
    <w:rsid w:val="002B29F9"/>
    <w:rsid w:val="002C262F"/>
    <w:rsid w:val="002F1B9A"/>
    <w:rsid w:val="00304B5A"/>
    <w:rsid w:val="00334570"/>
    <w:rsid w:val="003610ED"/>
    <w:rsid w:val="00386C61"/>
    <w:rsid w:val="003D10B5"/>
    <w:rsid w:val="003D15C0"/>
    <w:rsid w:val="003D2601"/>
    <w:rsid w:val="003D3CA2"/>
    <w:rsid w:val="00407F05"/>
    <w:rsid w:val="00431B93"/>
    <w:rsid w:val="004570ED"/>
    <w:rsid w:val="0046218B"/>
    <w:rsid w:val="00476C6C"/>
    <w:rsid w:val="004865BE"/>
    <w:rsid w:val="004A5309"/>
    <w:rsid w:val="004B0E09"/>
    <w:rsid w:val="004B5041"/>
    <w:rsid w:val="004D6BA8"/>
    <w:rsid w:val="0050697C"/>
    <w:rsid w:val="00514CD4"/>
    <w:rsid w:val="00524430"/>
    <w:rsid w:val="0053768A"/>
    <w:rsid w:val="0054265A"/>
    <w:rsid w:val="00542AE6"/>
    <w:rsid w:val="00553EB7"/>
    <w:rsid w:val="005542E8"/>
    <w:rsid w:val="005D4AEC"/>
    <w:rsid w:val="00601C4A"/>
    <w:rsid w:val="00620F73"/>
    <w:rsid w:val="00621714"/>
    <w:rsid w:val="00622FED"/>
    <w:rsid w:val="006620B2"/>
    <w:rsid w:val="00684ED1"/>
    <w:rsid w:val="00687002"/>
    <w:rsid w:val="006941D9"/>
    <w:rsid w:val="006A14DB"/>
    <w:rsid w:val="006A5C9F"/>
    <w:rsid w:val="006C111E"/>
    <w:rsid w:val="006C28A6"/>
    <w:rsid w:val="006F7187"/>
    <w:rsid w:val="00711240"/>
    <w:rsid w:val="00725D34"/>
    <w:rsid w:val="00757055"/>
    <w:rsid w:val="0076386D"/>
    <w:rsid w:val="00781A0D"/>
    <w:rsid w:val="00797480"/>
    <w:rsid w:val="007A6580"/>
    <w:rsid w:val="007E5B5B"/>
    <w:rsid w:val="00810D47"/>
    <w:rsid w:val="008122CE"/>
    <w:rsid w:val="00813D4E"/>
    <w:rsid w:val="00813DD7"/>
    <w:rsid w:val="00835887"/>
    <w:rsid w:val="00850D61"/>
    <w:rsid w:val="00880322"/>
    <w:rsid w:val="008820B5"/>
    <w:rsid w:val="008A232C"/>
    <w:rsid w:val="008A4764"/>
    <w:rsid w:val="008B0BCD"/>
    <w:rsid w:val="008B25D4"/>
    <w:rsid w:val="008B7657"/>
    <w:rsid w:val="008C2077"/>
    <w:rsid w:val="008C271A"/>
    <w:rsid w:val="008C75C6"/>
    <w:rsid w:val="008D461A"/>
    <w:rsid w:val="008E102F"/>
    <w:rsid w:val="0092536F"/>
    <w:rsid w:val="009B7C61"/>
    <w:rsid w:val="009C211D"/>
    <w:rsid w:val="009F5AD6"/>
    <w:rsid w:val="00A07355"/>
    <w:rsid w:val="00A20B60"/>
    <w:rsid w:val="00A22363"/>
    <w:rsid w:val="00A325A8"/>
    <w:rsid w:val="00A3743D"/>
    <w:rsid w:val="00A578F3"/>
    <w:rsid w:val="00A633F1"/>
    <w:rsid w:val="00AB2F61"/>
    <w:rsid w:val="00AE367E"/>
    <w:rsid w:val="00B3420C"/>
    <w:rsid w:val="00B406A0"/>
    <w:rsid w:val="00B57557"/>
    <w:rsid w:val="00B80101"/>
    <w:rsid w:val="00BA2962"/>
    <w:rsid w:val="00BA7410"/>
    <w:rsid w:val="00BC4CC6"/>
    <w:rsid w:val="00BD638A"/>
    <w:rsid w:val="00BE15D4"/>
    <w:rsid w:val="00BE7FDB"/>
    <w:rsid w:val="00BF259F"/>
    <w:rsid w:val="00C1143E"/>
    <w:rsid w:val="00C82D80"/>
    <w:rsid w:val="00C91AEA"/>
    <w:rsid w:val="00CA4EBC"/>
    <w:rsid w:val="00CD19F7"/>
    <w:rsid w:val="00CE713C"/>
    <w:rsid w:val="00CF2037"/>
    <w:rsid w:val="00D079B7"/>
    <w:rsid w:val="00D127FB"/>
    <w:rsid w:val="00D2177C"/>
    <w:rsid w:val="00D9058F"/>
    <w:rsid w:val="00D97AC4"/>
    <w:rsid w:val="00D97B67"/>
    <w:rsid w:val="00D97BD0"/>
    <w:rsid w:val="00DB7E8A"/>
    <w:rsid w:val="00DC540D"/>
    <w:rsid w:val="00DD10AB"/>
    <w:rsid w:val="00DD535D"/>
    <w:rsid w:val="00DE2F3A"/>
    <w:rsid w:val="00E003FA"/>
    <w:rsid w:val="00E06905"/>
    <w:rsid w:val="00E06A44"/>
    <w:rsid w:val="00E335F6"/>
    <w:rsid w:val="00E4193B"/>
    <w:rsid w:val="00E5420E"/>
    <w:rsid w:val="00E74DF6"/>
    <w:rsid w:val="00E763E7"/>
    <w:rsid w:val="00EC3E67"/>
    <w:rsid w:val="00ED44BB"/>
    <w:rsid w:val="00F13802"/>
    <w:rsid w:val="00F1468E"/>
    <w:rsid w:val="00F346E3"/>
    <w:rsid w:val="00F36CCB"/>
    <w:rsid w:val="00F92DE1"/>
    <w:rsid w:val="00FA78DE"/>
    <w:rsid w:val="00FA7BE1"/>
    <w:rsid w:val="00FB6B36"/>
    <w:rsid w:val="00FD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4655D"/>
  <w15:chartTrackingRefBased/>
  <w15:docId w15:val="{60487F27-367F-4D58-ADFE-CE7C1D0D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C61"/>
    <w:pPr>
      <w:widowControl w:val="0"/>
      <w:spacing w:line="400" w:lineRule="exact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335F6"/>
    <w:pPr>
      <w:keepNext/>
      <w:keepLines/>
      <w:spacing w:before="340" w:after="330" w:line="578" w:lineRule="auto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B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B5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B5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B5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B5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B5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B5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35F6"/>
    <w:rPr>
      <w:rFonts w:eastAsia="宋体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20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3B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3B5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03B5E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203B5E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203B5E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203B5E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203B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B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3B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3B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3B5E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203B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3B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3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3B5E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203B5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03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50D61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50D61"/>
    <w:rPr>
      <w:rFonts w:ascii="Times New Roman" w:eastAsia="宋体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50D6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50D61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婉文 贾婉文</dc:creator>
  <cp:keywords/>
  <dc:description/>
  <cp:lastModifiedBy>婉文 贾婉文</cp:lastModifiedBy>
  <cp:revision>9</cp:revision>
  <dcterms:created xsi:type="dcterms:W3CDTF">2026-04-17T04:50:00Z</dcterms:created>
  <dcterms:modified xsi:type="dcterms:W3CDTF">2026-05-20T07:14:00Z</dcterms:modified>
</cp:coreProperties>
</file>