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10F" w:rsidRPr="00A528A6" w:rsidRDefault="005D310F" w:rsidP="005D310F">
      <w:pPr>
        <w:pStyle w:val="Heading2"/>
        <w:rPr>
          <w:rFonts w:eastAsia="Calibri"/>
          <w:b w:val="0"/>
        </w:rPr>
      </w:pPr>
      <w:bookmarkStart w:id="0" w:name="_Toc44339133"/>
      <w:bookmarkStart w:id="1" w:name="_Toc44425905"/>
      <w:r w:rsidRPr="00A528A6">
        <w:rPr>
          <w:rFonts w:eastAsia="Calibri"/>
        </w:rPr>
        <w:t xml:space="preserve">Additional file </w:t>
      </w:r>
      <w:r>
        <w:rPr>
          <w:rFonts w:eastAsia="Calibri"/>
        </w:rPr>
        <w:t>2: S</w:t>
      </w:r>
      <w:r w:rsidRPr="00A528A6">
        <w:rPr>
          <w:rFonts w:eastAsia="Calibri"/>
        </w:rPr>
        <w:t>election of women with a livebirth surviving the neonatal period</w:t>
      </w:r>
      <w:r>
        <w:rPr>
          <w:rFonts w:eastAsia="Calibri"/>
        </w:rPr>
        <w:t>, EN-INDEPTH survey</w:t>
      </w:r>
      <w:bookmarkEnd w:id="0"/>
      <w:bookmarkEnd w:id="1"/>
    </w:p>
    <w:p w:rsidR="005D310F" w:rsidRDefault="005D310F" w:rsidP="005D310F">
      <w:pPr>
        <w:widowControl w:val="0"/>
        <w:spacing w:line="276" w:lineRule="auto"/>
        <w:jc w:val="both"/>
        <w:rPr>
          <w:rFonts w:eastAsia="Calibri" w:cstheme="minorHAnsi"/>
        </w:rPr>
      </w:pPr>
    </w:p>
    <w:p w:rsidR="005D310F" w:rsidRPr="00B22AD3" w:rsidRDefault="005D310F" w:rsidP="005D310F">
      <w:pPr>
        <w:widowControl w:val="0"/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P</w:t>
      </w:r>
      <w:r w:rsidRPr="00B22AD3">
        <w:rPr>
          <w:rFonts w:eastAsia="Calibri" w:cstheme="minorHAnsi"/>
        </w:rPr>
        <w:t xml:space="preserve">iloting of the EN-INDEPTH survey </w:t>
      </w:r>
      <w:r>
        <w:rPr>
          <w:rFonts w:eastAsia="Calibri" w:cstheme="minorHAnsi"/>
        </w:rPr>
        <w:t xml:space="preserve">in the Survey Solutions </w:t>
      </w:r>
      <w:r w:rsidRPr="00B22AD3">
        <w:rPr>
          <w:rFonts w:eastAsia="Calibri" w:cstheme="minorHAnsi"/>
        </w:rPr>
        <w:t>app found</w:t>
      </w:r>
      <w:r>
        <w:rPr>
          <w:rFonts w:eastAsia="Calibri" w:cstheme="minorHAnsi"/>
        </w:rPr>
        <w:t xml:space="preserve"> that the full questionnaire took a</w:t>
      </w:r>
      <w:r w:rsidRPr="00B22AD3">
        <w:rPr>
          <w:rFonts w:eastAsia="Calibri" w:cstheme="minorHAnsi"/>
        </w:rPr>
        <w:t xml:space="preserve"> long</w:t>
      </w:r>
      <w:r>
        <w:rPr>
          <w:rFonts w:eastAsia="Calibri" w:cstheme="minorHAnsi"/>
        </w:rPr>
        <w:t xml:space="preserve"> time</w:t>
      </w:r>
      <w:r w:rsidRPr="00B22AD3">
        <w:rPr>
          <w:rFonts w:eastAsia="Calibri" w:cstheme="minorHAnsi"/>
        </w:rPr>
        <w:t>. In order to reduce the overall time, whilst still reaching the target sample size for the main randomised comparison between FBH+ and FPH, a subset of women</w:t>
      </w:r>
      <w:r>
        <w:rPr>
          <w:rFonts w:eastAsia="Calibri" w:cstheme="minorHAnsi"/>
        </w:rPr>
        <w:t xml:space="preserve"> was</w:t>
      </w:r>
      <w:r w:rsidRPr="00B22AD3">
        <w:rPr>
          <w:rFonts w:eastAsia="Calibri" w:cstheme="minorHAnsi"/>
        </w:rPr>
        <w:t xml:space="preserve"> selected to receive the pregnancy and birth module in their questionnaire</w:t>
      </w:r>
      <w:r>
        <w:rPr>
          <w:rFonts w:eastAsia="Calibri" w:cstheme="minorHAnsi"/>
        </w:rPr>
        <w:t xml:space="preserve"> (which is the longest module)</w:t>
      </w:r>
      <w:proofErr w:type="gramStart"/>
      <w:r w:rsidRPr="00B22AD3">
        <w:rPr>
          <w:rFonts w:eastAsia="Calibri" w:cstheme="minorHAnsi"/>
        </w:rPr>
        <w:t>,</w:t>
      </w:r>
      <w:proofErr w:type="gramEnd"/>
      <w:r w:rsidRPr="00B22AD3">
        <w:rPr>
          <w:rFonts w:eastAsia="Calibri" w:cstheme="minorHAnsi"/>
        </w:rPr>
        <w:t xml:space="preserve"> </w:t>
      </w:r>
      <w:r w:rsidRPr="00B22AD3">
        <w:rPr>
          <w:rFonts w:eastAsia="Calibri" w:cstheme="minorHAnsi"/>
          <w:u w:val="single"/>
        </w:rPr>
        <w:t>only information regarding the most recent birth in each category was collected</w:t>
      </w:r>
      <w:r w:rsidRPr="00B22AD3">
        <w:rPr>
          <w:rFonts w:eastAsia="Calibri" w:cstheme="minorHAnsi"/>
        </w:rPr>
        <w:t xml:space="preserve">. </w:t>
      </w:r>
    </w:p>
    <w:p w:rsidR="005D310F" w:rsidRPr="00B22AD3" w:rsidRDefault="005D310F" w:rsidP="005D310F">
      <w:pPr>
        <w:widowControl w:val="0"/>
        <w:spacing w:line="276" w:lineRule="auto"/>
        <w:jc w:val="both"/>
        <w:rPr>
          <w:rFonts w:eastAsia="Calibri" w:cstheme="minorHAnsi"/>
        </w:rPr>
      </w:pPr>
      <w:r w:rsidRPr="00B22AD3">
        <w:rPr>
          <w:rFonts w:eastAsia="Calibri" w:cstheme="minorHAnsi"/>
        </w:rPr>
        <w:t xml:space="preserve">In view of the app set up, it was not possible to select women from the FPH arm for this part of the survey; therefore, only women who were in the FBH+ were eligible for selection. Selection was made at random by the app, with the initial intention that 30% of all women interviewed in the FBH+ arm </w:t>
      </w:r>
      <w:r w:rsidRPr="00CB2C96">
        <w:rPr>
          <w:rFonts w:eastAsia="Calibri" w:cstheme="minorHAnsi"/>
          <w:u w:val="single"/>
        </w:rPr>
        <w:t>who had a livebirth surviving the neonatal period (i.e. that did not result in a neonatal death) since 1</w:t>
      </w:r>
      <w:r w:rsidRPr="00CB2C96">
        <w:rPr>
          <w:rFonts w:eastAsia="Calibri" w:cstheme="minorHAnsi"/>
          <w:u w:val="single"/>
          <w:vertAlign w:val="superscript"/>
        </w:rPr>
        <w:t>st</w:t>
      </w:r>
      <w:r w:rsidRPr="00CB2C96">
        <w:rPr>
          <w:rFonts w:eastAsia="Calibri" w:cstheme="minorHAnsi"/>
          <w:u w:val="single"/>
        </w:rPr>
        <w:t xml:space="preserve"> January 2012 would be selected to receive the pregnancy and birth questionnaire module</w:t>
      </w:r>
      <w:r w:rsidRPr="00B22AD3">
        <w:rPr>
          <w:rFonts w:eastAsia="Calibri" w:cstheme="minorHAnsi"/>
        </w:rPr>
        <w:t xml:space="preserve">. </w:t>
      </w:r>
    </w:p>
    <w:p w:rsidR="005D310F" w:rsidRPr="00B22AD3" w:rsidRDefault="005D310F" w:rsidP="005D310F">
      <w:pPr>
        <w:widowControl w:val="0"/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W</w:t>
      </w:r>
      <w:r w:rsidRPr="00B22AD3">
        <w:rPr>
          <w:rFonts w:eastAsia="Calibri" w:cstheme="minorHAnsi"/>
        </w:rPr>
        <w:t xml:space="preserve">omen </w:t>
      </w:r>
      <w:r>
        <w:rPr>
          <w:rFonts w:eastAsia="Calibri" w:cstheme="minorHAnsi"/>
        </w:rPr>
        <w:t>were sampled in slightly</w:t>
      </w:r>
      <w:r w:rsidRPr="00B22AD3">
        <w:rPr>
          <w:rFonts w:eastAsia="Calibri" w:cstheme="minorHAnsi"/>
        </w:rPr>
        <w:t xml:space="preserve"> different </w:t>
      </w:r>
      <w:r>
        <w:rPr>
          <w:rFonts w:eastAsia="Calibri" w:cstheme="minorHAnsi"/>
        </w:rPr>
        <w:t xml:space="preserve">ways </w:t>
      </w:r>
      <w:r w:rsidRPr="00B22AD3">
        <w:rPr>
          <w:rFonts w:eastAsia="Calibri" w:cstheme="minorHAnsi"/>
        </w:rPr>
        <w:t xml:space="preserve">across the sites. In </w:t>
      </w:r>
      <w:proofErr w:type="spellStart"/>
      <w:r w:rsidRPr="00B22AD3">
        <w:rPr>
          <w:rFonts w:eastAsia="Calibri" w:cstheme="minorHAnsi"/>
        </w:rPr>
        <w:t>Dabat</w:t>
      </w:r>
      <w:proofErr w:type="spellEnd"/>
      <w:r w:rsidRPr="00B22AD3">
        <w:rPr>
          <w:rFonts w:eastAsia="Calibri" w:cstheme="minorHAnsi"/>
        </w:rPr>
        <w:t xml:space="preserve">, all women interviewed in the FBH+ with an eligible livebirth were selected to receive the pregnancy and birth module. In </w:t>
      </w:r>
      <w:proofErr w:type="spellStart"/>
      <w:r w:rsidRPr="00B22AD3">
        <w:rPr>
          <w:rFonts w:eastAsia="Calibri" w:cstheme="minorHAnsi"/>
        </w:rPr>
        <w:t>Matlab</w:t>
      </w:r>
      <w:proofErr w:type="spellEnd"/>
      <w:r w:rsidRPr="00B22AD3">
        <w:rPr>
          <w:rFonts w:eastAsia="Calibri" w:cstheme="minorHAnsi"/>
        </w:rPr>
        <w:t xml:space="preserve"> and </w:t>
      </w:r>
      <w:proofErr w:type="spellStart"/>
      <w:r w:rsidRPr="00B22AD3">
        <w:rPr>
          <w:rFonts w:eastAsia="Calibri" w:cstheme="minorHAnsi"/>
        </w:rPr>
        <w:t>Bandim</w:t>
      </w:r>
      <w:proofErr w:type="spellEnd"/>
      <w:r w:rsidRPr="00B22AD3">
        <w:rPr>
          <w:rFonts w:eastAsia="Calibri" w:cstheme="minorHAnsi"/>
        </w:rPr>
        <w:t xml:space="preserve">, 30% of women in the FBH+ with an eligible livebirth were </w:t>
      </w:r>
      <w:r>
        <w:rPr>
          <w:rFonts w:eastAsia="Calibri" w:cstheme="minorHAnsi"/>
        </w:rPr>
        <w:t xml:space="preserve">randomly </w:t>
      </w:r>
      <w:r w:rsidRPr="00B22AD3">
        <w:rPr>
          <w:rFonts w:eastAsia="Calibri" w:cstheme="minorHAnsi"/>
        </w:rPr>
        <w:t xml:space="preserve">selected to receive the pregnancy and birth module. In </w:t>
      </w:r>
      <w:proofErr w:type="spellStart"/>
      <w:r w:rsidRPr="00B22AD3">
        <w:rPr>
          <w:rFonts w:eastAsia="Calibri" w:cstheme="minorHAnsi"/>
        </w:rPr>
        <w:t>IgangaMayuge</w:t>
      </w:r>
      <w:proofErr w:type="spellEnd"/>
      <w:r w:rsidRPr="00B22AD3">
        <w:rPr>
          <w:rFonts w:eastAsia="Calibri" w:cstheme="minorHAnsi"/>
        </w:rPr>
        <w:t xml:space="preserve"> and </w:t>
      </w:r>
      <w:proofErr w:type="spellStart"/>
      <w:r w:rsidRPr="00B22AD3">
        <w:rPr>
          <w:rFonts w:eastAsia="Calibri" w:cstheme="minorHAnsi"/>
        </w:rPr>
        <w:t>Kintampo</w:t>
      </w:r>
      <w:proofErr w:type="spellEnd"/>
      <w:r w:rsidRPr="00B22AD3">
        <w:rPr>
          <w:rFonts w:eastAsia="Calibri" w:cstheme="minorHAnsi"/>
        </w:rPr>
        <w:t xml:space="preserve">, for the first 1 – 2 months of data collection, all women interviewed in the FBH+ with an eligible livebirth were selected to receive the pregnancy and birth module; for the rest of the data collection period, 30% of women in the FBH+ with an eligible livebirth were </w:t>
      </w:r>
      <w:r>
        <w:rPr>
          <w:rFonts w:eastAsia="Calibri" w:cstheme="minorHAnsi"/>
        </w:rPr>
        <w:t xml:space="preserve">randomly </w:t>
      </w:r>
      <w:r w:rsidRPr="00B22AD3">
        <w:rPr>
          <w:rFonts w:eastAsia="Calibri" w:cstheme="minorHAnsi"/>
        </w:rPr>
        <w:t>selected to receive the pregnancy and birth module</w:t>
      </w:r>
      <w:r>
        <w:rPr>
          <w:rFonts w:eastAsia="Calibri" w:cstheme="minorHAnsi"/>
        </w:rPr>
        <w:t>.</w:t>
      </w:r>
    </w:p>
    <w:p w:rsidR="005D310F" w:rsidRPr="00B22AD3" w:rsidRDefault="005D310F" w:rsidP="005D310F">
      <w:pPr>
        <w:widowControl w:val="0"/>
        <w:spacing w:line="276" w:lineRule="auto"/>
        <w:jc w:val="both"/>
        <w:rPr>
          <w:rFonts w:eastAsia="Calibri" w:cstheme="minorHAnsi"/>
        </w:rPr>
      </w:pPr>
      <w:r>
        <w:rPr>
          <w:rFonts w:eastAsia="Calibri" w:cstheme="minorHAnsi"/>
        </w:rPr>
        <w:t>Overall</w:t>
      </w:r>
      <w:r w:rsidRPr="00B22AD3">
        <w:rPr>
          <w:rFonts w:eastAsia="Calibri" w:cstheme="minorHAnsi"/>
        </w:rPr>
        <w:t xml:space="preserve"> 50% of women in the FBH+ arm with an eligible livebirth received the pregnancy and birth module. The proportion that completed the module is detailed by site, below: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7"/>
        <w:gridCol w:w="2569"/>
        <w:gridCol w:w="2571"/>
        <w:gridCol w:w="2575"/>
      </w:tblGrid>
      <w:tr w:rsidR="005D310F" w:rsidRPr="00B22AD3" w:rsidTr="00AE0970">
        <w:tc>
          <w:tcPr>
            <w:tcW w:w="1527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</w:p>
        </w:tc>
        <w:tc>
          <w:tcPr>
            <w:tcW w:w="2569" w:type="dxa"/>
            <w:vAlign w:val="center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Number of women in FBH+ arm completing pregnancy and birth module</w:t>
            </w:r>
          </w:p>
        </w:tc>
        <w:tc>
          <w:tcPr>
            <w:tcW w:w="2571" w:type="dxa"/>
            <w:vAlign w:val="center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Percentage of eligible women in FBH+ arm completing pregnancy and birth module</w:t>
            </w:r>
          </w:p>
        </w:tc>
        <w:tc>
          <w:tcPr>
            <w:tcW w:w="2575" w:type="dxa"/>
            <w:vAlign w:val="center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Percentage contribution to total surviving livebirths by site</w:t>
            </w:r>
          </w:p>
        </w:tc>
      </w:tr>
      <w:tr w:rsidR="005D310F" w:rsidRPr="00B22AD3" w:rsidTr="00AE0970">
        <w:tc>
          <w:tcPr>
            <w:tcW w:w="1527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proofErr w:type="spellStart"/>
            <w:r w:rsidRPr="00B22AD3">
              <w:rPr>
                <w:rFonts w:eastAsia="Calibri" w:cstheme="minorHAnsi"/>
              </w:rPr>
              <w:t>Bandim</w:t>
            </w:r>
            <w:proofErr w:type="spellEnd"/>
          </w:p>
        </w:tc>
        <w:tc>
          <w:tcPr>
            <w:tcW w:w="2569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1,316</w:t>
            </w:r>
          </w:p>
        </w:tc>
        <w:tc>
          <w:tcPr>
            <w:tcW w:w="2571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28.3%</w:t>
            </w:r>
          </w:p>
        </w:tc>
        <w:tc>
          <w:tcPr>
            <w:tcW w:w="2575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9.8%</w:t>
            </w:r>
          </w:p>
        </w:tc>
      </w:tr>
      <w:tr w:rsidR="005D310F" w:rsidRPr="00B22AD3" w:rsidTr="00AE0970">
        <w:tc>
          <w:tcPr>
            <w:tcW w:w="1527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proofErr w:type="spellStart"/>
            <w:r w:rsidRPr="00B22AD3">
              <w:rPr>
                <w:rFonts w:eastAsia="Calibri" w:cstheme="minorHAnsi"/>
              </w:rPr>
              <w:t>Dabat</w:t>
            </w:r>
            <w:proofErr w:type="spellEnd"/>
          </w:p>
        </w:tc>
        <w:tc>
          <w:tcPr>
            <w:tcW w:w="2569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3,357</w:t>
            </w:r>
          </w:p>
        </w:tc>
        <w:tc>
          <w:tcPr>
            <w:tcW w:w="2571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99.4%</w:t>
            </w:r>
          </w:p>
        </w:tc>
        <w:tc>
          <w:tcPr>
            <w:tcW w:w="2575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24.9%</w:t>
            </w:r>
          </w:p>
        </w:tc>
      </w:tr>
      <w:tr w:rsidR="005D310F" w:rsidRPr="00B22AD3" w:rsidTr="00AE0970">
        <w:tc>
          <w:tcPr>
            <w:tcW w:w="1527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proofErr w:type="spellStart"/>
            <w:r w:rsidRPr="00B22AD3">
              <w:rPr>
                <w:rFonts w:eastAsia="Calibri" w:cstheme="minorHAnsi"/>
              </w:rPr>
              <w:t>IgangaMaguye</w:t>
            </w:r>
            <w:proofErr w:type="spellEnd"/>
          </w:p>
        </w:tc>
        <w:tc>
          <w:tcPr>
            <w:tcW w:w="2569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1,917</w:t>
            </w:r>
          </w:p>
        </w:tc>
        <w:tc>
          <w:tcPr>
            <w:tcW w:w="2571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64.3%</w:t>
            </w:r>
          </w:p>
        </w:tc>
        <w:tc>
          <w:tcPr>
            <w:tcW w:w="2575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14.2%</w:t>
            </w:r>
          </w:p>
        </w:tc>
      </w:tr>
      <w:tr w:rsidR="005D310F" w:rsidRPr="00B22AD3" w:rsidTr="00AE0970">
        <w:tc>
          <w:tcPr>
            <w:tcW w:w="1527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proofErr w:type="spellStart"/>
            <w:r w:rsidRPr="00B22AD3">
              <w:rPr>
                <w:rFonts w:eastAsia="Calibri" w:cstheme="minorHAnsi"/>
              </w:rPr>
              <w:t>Kintampo</w:t>
            </w:r>
            <w:proofErr w:type="spellEnd"/>
          </w:p>
        </w:tc>
        <w:tc>
          <w:tcPr>
            <w:tcW w:w="2569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3,951</w:t>
            </w:r>
          </w:p>
        </w:tc>
        <w:tc>
          <w:tcPr>
            <w:tcW w:w="2571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66.7%</w:t>
            </w:r>
          </w:p>
        </w:tc>
        <w:tc>
          <w:tcPr>
            <w:tcW w:w="2575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29.3%</w:t>
            </w:r>
          </w:p>
        </w:tc>
      </w:tr>
      <w:tr w:rsidR="005D310F" w:rsidRPr="00B22AD3" w:rsidTr="00AE0970">
        <w:tc>
          <w:tcPr>
            <w:tcW w:w="1527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both"/>
              <w:rPr>
                <w:rFonts w:eastAsia="Calibri" w:cstheme="minorHAnsi"/>
              </w:rPr>
            </w:pPr>
            <w:proofErr w:type="spellStart"/>
            <w:r w:rsidRPr="00B22AD3">
              <w:rPr>
                <w:rFonts w:eastAsia="Calibri" w:cstheme="minorHAnsi"/>
              </w:rPr>
              <w:t>Matlab</w:t>
            </w:r>
            <w:proofErr w:type="spellEnd"/>
          </w:p>
        </w:tc>
        <w:tc>
          <w:tcPr>
            <w:tcW w:w="2569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2,936</w:t>
            </w:r>
          </w:p>
        </w:tc>
        <w:tc>
          <w:tcPr>
            <w:tcW w:w="2571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eastAsia="Calibri" w:cstheme="minorHAnsi"/>
              </w:rPr>
            </w:pPr>
            <w:r w:rsidRPr="00B22AD3">
              <w:rPr>
                <w:rFonts w:eastAsia="Calibri" w:cstheme="minorHAnsi"/>
              </w:rPr>
              <w:t>29.6%</w:t>
            </w:r>
          </w:p>
        </w:tc>
        <w:tc>
          <w:tcPr>
            <w:tcW w:w="2575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21.8%</w:t>
            </w:r>
          </w:p>
        </w:tc>
      </w:tr>
      <w:tr w:rsidR="005D310F" w:rsidRPr="00B22AD3" w:rsidTr="00AE0970">
        <w:tc>
          <w:tcPr>
            <w:tcW w:w="1527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both"/>
              <w:rPr>
                <w:rFonts w:cstheme="minorHAnsi"/>
              </w:rPr>
            </w:pPr>
            <w:r w:rsidRPr="00B22AD3">
              <w:rPr>
                <w:rFonts w:cstheme="minorHAnsi"/>
              </w:rPr>
              <w:t>Total</w:t>
            </w:r>
          </w:p>
        </w:tc>
        <w:tc>
          <w:tcPr>
            <w:tcW w:w="2569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13,477</w:t>
            </w:r>
          </w:p>
        </w:tc>
        <w:tc>
          <w:tcPr>
            <w:tcW w:w="2571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50.2%</w:t>
            </w:r>
          </w:p>
        </w:tc>
        <w:tc>
          <w:tcPr>
            <w:tcW w:w="2575" w:type="dxa"/>
          </w:tcPr>
          <w:p w:rsidR="005D310F" w:rsidRPr="00B22AD3" w:rsidRDefault="005D310F" w:rsidP="00AE0970">
            <w:pPr>
              <w:widowControl w:val="0"/>
              <w:spacing w:after="0" w:line="276" w:lineRule="auto"/>
              <w:jc w:val="center"/>
              <w:rPr>
                <w:rFonts w:cstheme="minorHAnsi"/>
              </w:rPr>
            </w:pPr>
            <w:r w:rsidRPr="00B22AD3">
              <w:rPr>
                <w:rFonts w:cstheme="minorHAnsi"/>
              </w:rPr>
              <w:t>100.0%</w:t>
            </w:r>
          </w:p>
        </w:tc>
      </w:tr>
    </w:tbl>
    <w:p w:rsidR="00866F28" w:rsidRDefault="00866F28">
      <w:bookmarkStart w:id="2" w:name="_GoBack"/>
      <w:bookmarkEnd w:id="2"/>
    </w:p>
    <w:sectPr w:rsidR="00866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0F"/>
    <w:rsid w:val="0011634E"/>
    <w:rsid w:val="0014555C"/>
    <w:rsid w:val="001D181C"/>
    <w:rsid w:val="003315B0"/>
    <w:rsid w:val="005D310F"/>
    <w:rsid w:val="00652A7C"/>
    <w:rsid w:val="00866F28"/>
    <w:rsid w:val="00955285"/>
    <w:rsid w:val="00A60763"/>
    <w:rsid w:val="00AE661B"/>
    <w:rsid w:val="00B7523B"/>
    <w:rsid w:val="00B8115A"/>
    <w:rsid w:val="00BB32DF"/>
    <w:rsid w:val="00C04B9D"/>
    <w:rsid w:val="00C15832"/>
    <w:rsid w:val="00D04CFF"/>
    <w:rsid w:val="00D56684"/>
    <w:rsid w:val="00E10B77"/>
    <w:rsid w:val="00E2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10F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10F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10F"/>
    <w:rPr>
      <w:rFonts w:eastAsiaTheme="majorEastAsia" w:cstheme="majorBidi"/>
      <w:b/>
      <w:sz w:val="32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310F"/>
    <w:pPr>
      <w:spacing w:after="160" w:line="259" w:lineRule="auto"/>
    </w:pPr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10F"/>
    <w:pPr>
      <w:keepNext/>
      <w:keepLines/>
      <w:spacing w:before="40" w:after="0"/>
      <w:outlineLvl w:val="1"/>
    </w:pPr>
    <w:rPr>
      <w:rFonts w:eastAsiaTheme="majorEastAsia" w:cstheme="majorBidi"/>
      <w:b/>
      <w:sz w:val="3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310F"/>
    <w:rPr>
      <w:rFonts w:eastAsiaTheme="majorEastAsia" w:cstheme="majorBidi"/>
      <w:b/>
      <w:sz w:val="32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343</Words>
  <Characters>1956</Characters>
  <Application>Microsoft Office Word</Application>
  <DocSecurity>0</DocSecurity>
  <Lines>16</Lines>
  <Paragraphs>4</Paragraphs>
  <ScaleCrop>false</ScaleCrop>
  <Company>Springer-SBM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Aanstoot, Rene, BioMed Central Ltd.</dc:creator>
  <cp:lastModifiedBy>Aanstoot, Rene, BioMed Central Ltd.</cp:lastModifiedBy>
  <cp:revision>1</cp:revision>
  <dcterms:created xsi:type="dcterms:W3CDTF">2020-11-06T19:35:00Z</dcterms:created>
  <dcterms:modified xsi:type="dcterms:W3CDTF">2020-11-06T19:35:00Z</dcterms:modified>
</cp:coreProperties>
</file>