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4B7" w:rsidRPr="004F008A" w:rsidRDefault="007E04B7" w:rsidP="007E04B7">
      <w:pPr>
        <w:pStyle w:val="Heading2"/>
        <w:rPr>
          <w:rFonts w:eastAsia="Calibri"/>
          <w:lang w:val="en-US"/>
        </w:rPr>
      </w:pPr>
      <w:bookmarkStart w:id="0" w:name="_Toc44425920"/>
      <w:r>
        <w:rPr>
          <w:rFonts w:eastAsia="Calibri"/>
          <w:lang w:val="en-US"/>
        </w:rPr>
        <w:t>Additional file 8:</w:t>
      </w:r>
      <w:r w:rsidRPr="00AB51D3">
        <w:rPr>
          <w:rFonts w:eastAsia="Calibri"/>
          <w:lang w:val="en-US"/>
        </w:rPr>
        <w:t xml:space="preserve"> </w:t>
      </w:r>
      <w:r>
        <w:rPr>
          <w:rFonts w:eastAsia="Calibri"/>
          <w:lang w:val="en-US"/>
        </w:rPr>
        <w:t>Objective 3- additional results</w:t>
      </w:r>
      <w:bookmarkEnd w:id="0"/>
    </w:p>
    <w:p w:rsidR="007E04B7" w:rsidRPr="00915A1B" w:rsidRDefault="007E04B7" w:rsidP="007E04B7">
      <w:pPr>
        <w:pStyle w:val="Heading3"/>
        <w:rPr>
          <w:rFonts w:eastAsia="Calibri"/>
        </w:rPr>
      </w:pPr>
      <w:bookmarkStart w:id="1" w:name="_Toc44425921"/>
      <w:r>
        <w:rPr>
          <w:rFonts w:eastAsia="Calibri"/>
        </w:rPr>
        <w:t>Additional file 8.1</w:t>
      </w:r>
      <w:r w:rsidRPr="00512BDE">
        <w:rPr>
          <w:rFonts w:eastAsia="Calibri"/>
        </w:rPr>
        <w:t xml:space="preserve">: Overview of </w:t>
      </w:r>
      <w:r>
        <w:rPr>
          <w:rFonts w:eastAsia="Calibri"/>
        </w:rPr>
        <w:t>p</w:t>
      </w:r>
      <w:r w:rsidRPr="00512BDE">
        <w:rPr>
          <w:rFonts w:eastAsia="Calibri"/>
        </w:rPr>
        <w:t xml:space="preserve">erceived </w:t>
      </w:r>
      <w:r>
        <w:rPr>
          <w:rFonts w:eastAsia="Calibri"/>
        </w:rPr>
        <w:t>b</w:t>
      </w:r>
      <w:r w:rsidRPr="00512BDE">
        <w:rPr>
          <w:rFonts w:eastAsia="Calibri"/>
        </w:rPr>
        <w:t xml:space="preserve">arriers and </w:t>
      </w:r>
      <w:r>
        <w:rPr>
          <w:rFonts w:eastAsia="Calibri"/>
        </w:rPr>
        <w:t>e</w:t>
      </w:r>
      <w:r w:rsidRPr="00512BDE">
        <w:rPr>
          <w:rFonts w:eastAsia="Calibri"/>
        </w:rPr>
        <w:t xml:space="preserve">nablers to birthweight measurement in </w:t>
      </w:r>
      <w:r>
        <w:rPr>
          <w:rFonts w:eastAsia="Calibri"/>
        </w:rPr>
        <w:t>five</w:t>
      </w:r>
      <w:r w:rsidRPr="00512BDE">
        <w:rPr>
          <w:rFonts w:eastAsia="Calibri"/>
        </w:rPr>
        <w:t xml:space="preserve"> HDSS</w:t>
      </w:r>
      <w:r>
        <w:rPr>
          <w:rFonts w:eastAsia="Calibri"/>
        </w:rPr>
        <w:t xml:space="preserve"> (Women only)</w:t>
      </w:r>
      <w:bookmarkEnd w:id="1"/>
    </w:p>
    <w:tbl>
      <w:tblPr>
        <w:tblStyle w:val="TableGrid"/>
        <w:tblW w:w="5699" w:type="pct"/>
        <w:tblInd w:w="-998" w:type="dxa"/>
        <w:tblLook w:val="04A0" w:firstRow="1" w:lastRow="0" w:firstColumn="1" w:lastColumn="0" w:noHBand="0" w:noVBand="1"/>
      </w:tblPr>
      <w:tblGrid>
        <w:gridCol w:w="1259"/>
        <w:gridCol w:w="1510"/>
        <w:gridCol w:w="2282"/>
        <w:gridCol w:w="1511"/>
        <w:gridCol w:w="2463"/>
        <w:gridCol w:w="1885"/>
        <w:gridCol w:w="5"/>
      </w:tblGrid>
      <w:tr w:rsidR="007E04B7" w:rsidRPr="005F70E3" w:rsidTr="00AE0970">
        <w:trPr>
          <w:gridAfter w:val="1"/>
          <w:tblHeader/>
        </w:trPr>
        <w:tc>
          <w:tcPr>
            <w:tcW w:w="438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719" w:type="pct"/>
          </w:tcPr>
          <w:p w:rsidR="007E04B7" w:rsidRPr="005F70E3" w:rsidRDefault="007E04B7" w:rsidP="00AE0970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 w:rsidRPr="005F70E3">
              <w:rPr>
                <w:rFonts w:eastAsia="Calibri" w:cstheme="minorHAnsi"/>
                <w:b/>
                <w:sz w:val="20"/>
                <w:szCs w:val="20"/>
              </w:rPr>
              <w:t>Bandim</w:t>
            </w:r>
            <w:proofErr w:type="spellEnd"/>
          </w:p>
        </w:tc>
        <w:tc>
          <w:tcPr>
            <w:tcW w:w="1073" w:type="pct"/>
          </w:tcPr>
          <w:p w:rsidR="007E04B7" w:rsidRPr="005F70E3" w:rsidRDefault="007E04B7" w:rsidP="00AE0970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 w:rsidRPr="005F70E3">
              <w:rPr>
                <w:rFonts w:eastAsia="Calibri" w:cstheme="minorHAnsi"/>
                <w:b/>
                <w:sz w:val="20"/>
                <w:szCs w:val="20"/>
              </w:rPr>
              <w:t>Dabat</w:t>
            </w:r>
            <w:proofErr w:type="spellEnd"/>
          </w:p>
        </w:tc>
        <w:tc>
          <w:tcPr>
            <w:tcW w:w="719" w:type="pct"/>
          </w:tcPr>
          <w:p w:rsidR="007E04B7" w:rsidRPr="005F70E3" w:rsidRDefault="007E04B7" w:rsidP="00AE0970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 w:rsidRPr="005F70E3">
              <w:rPr>
                <w:rFonts w:eastAsia="Calibri" w:cstheme="minorHAnsi"/>
                <w:b/>
                <w:sz w:val="20"/>
                <w:szCs w:val="20"/>
              </w:rPr>
              <w:t>IgangaMayuge</w:t>
            </w:r>
            <w:proofErr w:type="spellEnd"/>
          </w:p>
        </w:tc>
        <w:tc>
          <w:tcPr>
            <w:tcW w:w="1155" w:type="pct"/>
          </w:tcPr>
          <w:p w:rsidR="007E04B7" w:rsidRPr="005F70E3" w:rsidRDefault="007E04B7" w:rsidP="00AE0970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 w:rsidRPr="005F70E3">
              <w:rPr>
                <w:rFonts w:eastAsia="Calibri" w:cstheme="minorHAnsi"/>
                <w:b/>
                <w:sz w:val="20"/>
                <w:szCs w:val="20"/>
              </w:rPr>
              <w:t>Matlab</w:t>
            </w:r>
            <w:proofErr w:type="spellEnd"/>
          </w:p>
        </w:tc>
        <w:tc>
          <w:tcPr>
            <w:tcW w:w="890" w:type="pct"/>
          </w:tcPr>
          <w:p w:rsidR="007E04B7" w:rsidRPr="005F70E3" w:rsidRDefault="007E04B7" w:rsidP="00AE0970">
            <w:pPr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 w:rsidRPr="005F70E3">
              <w:rPr>
                <w:rFonts w:eastAsia="Calibri" w:cstheme="minorHAnsi"/>
                <w:b/>
                <w:sz w:val="20"/>
                <w:szCs w:val="20"/>
              </w:rPr>
              <w:t>Kintampo</w:t>
            </w:r>
            <w:proofErr w:type="spellEnd"/>
          </w:p>
        </w:tc>
      </w:tr>
      <w:tr w:rsidR="007E04B7" w:rsidRPr="005F70E3" w:rsidTr="00AE0970">
        <w:tc>
          <w:tcPr>
            <w:tcW w:w="5000" w:type="pct"/>
            <w:gridSpan w:val="7"/>
            <w:shd w:val="clear" w:color="auto" w:fill="BFBFBF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Barriers</w:t>
            </w:r>
          </w:p>
        </w:tc>
      </w:tr>
      <w:tr w:rsidR="007E04B7" w:rsidRPr="005F70E3" w:rsidTr="00AE0970">
        <w:trPr>
          <w:gridAfter w:val="1"/>
        </w:trPr>
        <w:tc>
          <w:tcPr>
            <w:tcW w:w="438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Home births</w:t>
            </w:r>
          </w:p>
        </w:tc>
        <w:tc>
          <w:tcPr>
            <w:tcW w:w="719" w:type="pct"/>
            <w:shd w:val="clear" w:color="auto" w:fill="FFC000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sym w:font="Wingdings" w:char="F0FC"/>
            </w:r>
            <w:r w:rsidRPr="005F70E3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Esp. in certain ethic groups.</w:t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Long distance to health post.</w:t>
            </w:r>
          </w:p>
        </w:tc>
        <w:tc>
          <w:tcPr>
            <w:tcW w:w="1073" w:type="pct"/>
            <w:shd w:val="clear" w:color="auto" w:fill="FFC000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sym w:font="Wingdings" w:char="F0FC"/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Many women still give birth at home</w:t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Women do not like their babies to be weighed at home as they think the child will be exposed to the elements (e.g. wind and sunlight)</w:t>
            </w:r>
          </w:p>
        </w:tc>
        <w:tc>
          <w:tcPr>
            <w:tcW w:w="719" w:type="pct"/>
            <w:shd w:val="clear" w:color="auto" w:fill="FFC000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sym w:font="Wingdings" w:char="F0FC"/>
            </w:r>
          </w:p>
        </w:tc>
        <w:tc>
          <w:tcPr>
            <w:tcW w:w="1155" w:type="pct"/>
            <w:shd w:val="clear" w:color="auto" w:fill="FFC000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sym w:font="Wingdings" w:char="F0FC"/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Midwives or health workers rarely come to the house and even if they do they don’t bring scales</w:t>
            </w:r>
          </w:p>
        </w:tc>
        <w:tc>
          <w:tcPr>
            <w:tcW w:w="890" w:type="pct"/>
            <w:shd w:val="clear" w:color="auto" w:fill="FFC000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sym w:font="Wingdings" w:char="F0FC"/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Women unwilling to travel to health clinic for weighing</w:t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Even if travel to clinic health workers may not attend to you</w:t>
            </w:r>
          </w:p>
        </w:tc>
      </w:tr>
      <w:tr w:rsidR="007E04B7" w:rsidRPr="005F70E3" w:rsidTr="00AE0970">
        <w:trPr>
          <w:gridAfter w:val="1"/>
        </w:trPr>
        <w:tc>
          <w:tcPr>
            <w:tcW w:w="438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Being born in a private clinic</w:t>
            </w:r>
          </w:p>
        </w:tc>
        <w:tc>
          <w:tcPr>
            <w:tcW w:w="719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073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719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sym w:font="Wingdings" w:char="F0FC"/>
            </w:r>
          </w:p>
        </w:tc>
        <w:tc>
          <w:tcPr>
            <w:tcW w:w="1155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890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7E04B7" w:rsidRPr="005F70E3" w:rsidTr="00AE0970">
        <w:trPr>
          <w:gridAfter w:val="1"/>
        </w:trPr>
        <w:tc>
          <w:tcPr>
            <w:tcW w:w="438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Facilities without baby scales</w:t>
            </w:r>
          </w:p>
        </w:tc>
        <w:tc>
          <w:tcPr>
            <w:tcW w:w="719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073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719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5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890" w:type="pct"/>
            <w:shd w:val="clear" w:color="auto" w:fill="FFC000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sym w:font="Wingdings" w:char="F0FC"/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Mothers made to stand on adult scale with and without baby to calculate baby’s approximate weight</w:t>
            </w:r>
          </w:p>
        </w:tc>
      </w:tr>
      <w:tr w:rsidR="007E04B7" w:rsidRPr="005F70E3" w:rsidTr="00AE0970">
        <w:trPr>
          <w:gridAfter w:val="1"/>
        </w:trPr>
        <w:tc>
          <w:tcPr>
            <w:tcW w:w="438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Child deceased or stillbirth</w:t>
            </w:r>
          </w:p>
        </w:tc>
        <w:tc>
          <w:tcPr>
            <w:tcW w:w="719" w:type="pct"/>
            <w:shd w:val="clear" w:color="auto" w:fill="FFC000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sym w:font="Wingdings" w:char="F0FC"/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No perceived benefit in weighing a dead child (especially if at home)</w:t>
            </w:r>
          </w:p>
        </w:tc>
        <w:tc>
          <w:tcPr>
            <w:tcW w:w="1073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719" w:type="pct"/>
            <w:shd w:val="clear" w:color="auto" w:fill="FFC000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sym w:font="Wingdings" w:char="F0FC"/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No perceived benefit in weighing stillborn children</w:t>
            </w:r>
          </w:p>
        </w:tc>
        <w:tc>
          <w:tcPr>
            <w:tcW w:w="1155" w:type="pct"/>
            <w:shd w:val="clear" w:color="auto" w:fill="FFC000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sym w:font="Wingdings" w:char="F0FC"/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All perceived no benefit in weighing stillborn children.</w:t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 xml:space="preserve">For facility stillbirths - the nurses show attitude of negligence instead of measuring the weight of the baby as stillborn babies might bring down the reputation of the hospital.  </w:t>
            </w:r>
          </w:p>
        </w:tc>
        <w:tc>
          <w:tcPr>
            <w:tcW w:w="890" w:type="pct"/>
            <w:shd w:val="clear" w:color="auto" w:fill="FFC000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sym w:font="Wingdings" w:char="F0FC"/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No perceived benefit in weighing stillborn children or those who die shortly after birth</w:t>
            </w:r>
          </w:p>
        </w:tc>
      </w:tr>
      <w:tr w:rsidR="007E04B7" w:rsidRPr="005F70E3" w:rsidTr="00AE0970">
        <w:trPr>
          <w:gridAfter w:val="1"/>
        </w:trPr>
        <w:tc>
          <w:tcPr>
            <w:tcW w:w="438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Social perceptions/ spiritual beliefs</w:t>
            </w:r>
          </w:p>
        </w:tc>
        <w:tc>
          <w:tcPr>
            <w:tcW w:w="719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073" w:type="pct"/>
            <w:shd w:val="clear" w:color="auto" w:fill="FFC000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sym w:font="Wingdings" w:char="F0FC"/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 xml:space="preserve">Some mothers perceived that a child who has a good weight and attractive body will be attacked by the ‘evil eye’ </w:t>
            </w:r>
            <w:r w:rsidRPr="005F70E3">
              <w:rPr>
                <w:rFonts w:eastAsia="Calibri" w:cstheme="minorHAnsi"/>
                <w:sz w:val="20"/>
                <w:szCs w:val="20"/>
              </w:rPr>
              <w:lastRenderedPageBreak/>
              <w:t>and may get ill or die as a result</w:t>
            </w:r>
          </w:p>
        </w:tc>
        <w:tc>
          <w:tcPr>
            <w:tcW w:w="719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155" w:type="pct"/>
            <w:shd w:val="clear" w:color="auto" w:fill="FFC000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sym w:font="Wingdings" w:char="F0FC"/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Some mothers do not want to weigh their baby as others knowing the baby is healthy could lead the ‘evil eye’ to harm the baby.</w:t>
            </w:r>
          </w:p>
        </w:tc>
        <w:tc>
          <w:tcPr>
            <w:tcW w:w="890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7E04B7" w:rsidRPr="005F70E3" w:rsidTr="00AE0970">
        <w:tc>
          <w:tcPr>
            <w:tcW w:w="5000" w:type="pct"/>
            <w:gridSpan w:val="7"/>
            <w:shd w:val="clear" w:color="auto" w:fill="BFBFBF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lastRenderedPageBreak/>
              <w:t>Enablers</w:t>
            </w:r>
          </w:p>
        </w:tc>
      </w:tr>
      <w:tr w:rsidR="007E04B7" w:rsidRPr="005F70E3" w:rsidTr="00AE0970">
        <w:trPr>
          <w:gridAfter w:val="1"/>
        </w:trPr>
        <w:tc>
          <w:tcPr>
            <w:tcW w:w="438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Perceived value of birthweight for live births</w:t>
            </w:r>
          </w:p>
        </w:tc>
        <w:tc>
          <w:tcPr>
            <w:tcW w:w="719" w:type="pct"/>
            <w:shd w:val="clear" w:color="auto" w:fill="FFC000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sym w:font="Wingdings" w:char="F0FC"/>
            </w:r>
            <w:r w:rsidRPr="005F70E3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Useful to provide baseline for monitoring child growth</w:t>
            </w:r>
          </w:p>
        </w:tc>
        <w:tc>
          <w:tcPr>
            <w:tcW w:w="1073" w:type="pct"/>
            <w:shd w:val="clear" w:color="auto" w:fill="FFC000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sym w:font="Wingdings" w:char="F0FC"/>
            </w:r>
            <w:r w:rsidRPr="005F70E3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 xml:space="preserve">Knowing birthweight can help women to seek </w:t>
            </w:r>
            <w:proofErr w:type="spellStart"/>
            <w:r w:rsidRPr="005F70E3">
              <w:rPr>
                <w:rFonts w:eastAsia="Calibri" w:cstheme="minorHAnsi"/>
                <w:sz w:val="20"/>
                <w:szCs w:val="20"/>
              </w:rPr>
              <w:t>newborn</w:t>
            </w:r>
            <w:proofErr w:type="spellEnd"/>
            <w:r w:rsidRPr="005F70E3">
              <w:rPr>
                <w:rFonts w:eastAsia="Calibri" w:cstheme="minorHAnsi"/>
                <w:sz w:val="20"/>
                <w:szCs w:val="20"/>
              </w:rPr>
              <w:t xml:space="preserve"> care services</w:t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Women liked babies to be weighed in health facilities</w:t>
            </w:r>
          </w:p>
        </w:tc>
        <w:tc>
          <w:tcPr>
            <w:tcW w:w="719" w:type="pct"/>
            <w:shd w:val="clear" w:color="auto" w:fill="FFC000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sym w:font="Wingdings" w:char="F0FC"/>
            </w:r>
            <w:r w:rsidRPr="005F70E3">
              <w:rPr>
                <w:rFonts w:eastAsia="Calibri" w:cstheme="minorHAnsi"/>
                <w:sz w:val="20"/>
                <w:szCs w:val="20"/>
              </w:rPr>
              <w:t xml:space="preserve"> </w:t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Useful to know if baby is normal or preterm and needs extra warmth</w:t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Provides baseline for monitoring child growth</w:t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Needed for registering for national IDs</w:t>
            </w:r>
          </w:p>
        </w:tc>
        <w:tc>
          <w:tcPr>
            <w:tcW w:w="1155" w:type="pct"/>
            <w:shd w:val="clear" w:color="auto" w:fill="FFC000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sym w:font="Wingdings" w:char="F0FC"/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Important to know if baby born healthy</w:t>
            </w:r>
          </w:p>
        </w:tc>
        <w:tc>
          <w:tcPr>
            <w:tcW w:w="890" w:type="pct"/>
            <w:shd w:val="clear" w:color="auto" w:fill="FFC000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sym w:font="Wingdings" w:char="F0FC"/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Useful to know if baby is small so can feed more frequently</w:t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Can help see if something wrong with the child</w:t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Useful to provide baseline for monitoring child growth</w:t>
            </w:r>
          </w:p>
        </w:tc>
      </w:tr>
      <w:tr w:rsidR="007E04B7" w:rsidRPr="005F70E3" w:rsidTr="00AE0970">
        <w:trPr>
          <w:gridAfter w:val="1"/>
        </w:trPr>
        <w:tc>
          <w:tcPr>
            <w:tcW w:w="438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Perceived value of birthweight for stillbirths</w:t>
            </w:r>
          </w:p>
        </w:tc>
        <w:tc>
          <w:tcPr>
            <w:tcW w:w="719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×</w:t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None reported</w:t>
            </w:r>
          </w:p>
        </w:tc>
        <w:tc>
          <w:tcPr>
            <w:tcW w:w="1073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719" w:type="pct"/>
            <w:shd w:val="clear" w:color="auto" w:fill="FFC000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sym w:font="Wingdings" w:char="F0FC"/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Can help health workers known cause</w:t>
            </w:r>
          </w:p>
        </w:tc>
        <w:tc>
          <w:tcPr>
            <w:tcW w:w="1155" w:type="pct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890" w:type="pct"/>
            <w:shd w:val="clear" w:color="auto" w:fill="FFC000"/>
          </w:tcPr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sym w:font="Wingdings" w:char="F0FC"/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Can help plan so you know what to eat in a subsequent pregnancy to avoid another stillbirth</w:t>
            </w:r>
          </w:p>
          <w:p w:rsidR="007E04B7" w:rsidRPr="005F70E3" w:rsidRDefault="007E04B7" w:rsidP="00AE0970">
            <w:pPr>
              <w:rPr>
                <w:rFonts w:eastAsia="Calibri" w:cstheme="minorHAnsi"/>
                <w:sz w:val="20"/>
                <w:szCs w:val="20"/>
              </w:rPr>
            </w:pPr>
            <w:r w:rsidRPr="005F70E3">
              <w:rPr>
                <w:rFonts w:eastAsia="Calibri" w:cstheme="minorHAnsi"/>
                <w:sz w:val="20"/>
                <w:szCs w:val="20"/>
              </w:rPr>
              <w:t>Can help health workers know the cause of the stillbirth</w:t>
            </w:r>
          </w:p>
        </w:tc>
      </w:tr>
    </w:tbl>
    <w:p w:rsidR="007E04B7" w:rsidRPr="009A7AA1" w:rsidRDefault="007E04B7" w:rsidP="007E04B7">
      <w:pPr>
        <w:rPr>
          <w:rFonts w:ascii="Calibri" w:eastAsia="Calibri" w:hAnsi="Calibri" w:cs="Times New Roman"/>
        </w:rPr>
      </w:pPr>
    </w:p>
    <w:p w:rsidR="007E04B7" w:rsidRDefault="007E04B7" w:rsidP="007E04B7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:rsidR="007E04B7" w:rsidRDefault="007E04B7" w:rsidP="007E04B7">
      <w:pPr>
        <w:pStyle w:val="Heading3"/>
        <w:rPr>
          <w:rFonts w:eastAsia="Calibri"/>
        </w:rPr>
      </w:pPr>
      <w:bookmarkStart w:id="2" w:name="_Toc44425922"/>
      <w:r>
        <w:rPr>
          <w:rFonts w:eastAsia="Calibri"/>
        </w:rPr>
        <w:lastRenderedPageBreak/>
        <w:t>Additional file 8.2</w:t>
      </w:r>
      <w:r w:rsidRPr="00512BDE">
        <w:rPr>
          <w:rFonts w:eastAsia="Calibri"/>
        </w:rPr>
        <w:t xml:space="preserve">: Overview of </w:t>
      </w:r>
      <w:r>
        <w:rPr>
          <w:rFonts w:eastAsia="Calibri"/>
        </w:rPr>
        <w:t>p</w:t>
      </w:r>
      <w:r w:rsidRPr="00512BDE">
        <w:rPr>
          <w:rFonts w:eastAsia="Calibri"/>
        </w:rPr>
        <w:t xml:space="preserve">erceived </w:t>
      </w:r>
      <w:r>
        <w:rPr>
          <w:rFonts w:eastAsia="Calibri"/>
        </w:rPr>
        <w:t>b</w:t>
      </w:r>
      <w:r w:rsidRPr="00512BDE">
        <w:rPr>
          <w:rFonts w:eastAsia="Calibri"/>
        </w:rPr>
        <w:t xml:space="preserve">arriers and </w:t>
      </w:r>
      <w:r>
        <w:rPr>
          <w:rFonts w:eastAsia="Calibri"/>
        </w:rPr>
        <w:t>e</w:t>
      </w:r>
      <w:r w:rsidRPr="00512BDE">
        <w:rPr>
          <w:rFonts w:eastAsia="Calibri"/>
        </w:rPr>
        <w:t xml:space="preserve">nablers to </w:t>
      </w:r>
      <w:r>
        <w:rPr>
          <w:rFonts w:eastAsia="Calibri"/>
        </w:rPr>
        <w:t>reporting birthweight in household surveys in five HDSS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1"/>
        <w:gridCol w:w="2041"/>
        <w:gridCol w:w="2041"/>
      </w:tblGrid>
      <w:tr w:rsidR="007E04B7" w:rsidRPr="00EF6A55" w:rsidTr="00AE0970">
        <w:tc>
          <w:tcPr>
            <w:tcW w:w="2041" w:type="dxa"/>
            <w:shd w:val="clear" w:color="auto" w:fill="FFC000"/>
          </w:tcPr>
          <w:p w:rsidR="007E04B7" w:rsidRPr="00EF6A55" w:rsidRDefault="007E04B7" w:rsidP="00AE0970">
            <w:r w:rsidRPr="00EF6A55">
              <w:t>Women only</w:t>
            </w:r>
          </w:p>
        </w:tc>
        <w:tc>
          <w:tcPr>
            <w:tcW w:w="2041" w:type="dxa"/>
            <w:shd w:val="clear" w:color="auto" w:fill="92CDDC" w:themeFill="accent5" w:themeFillTint="99"/>
          </w:tcPr>
          <w:p w:rsidR="007E04B7" w:rsidRPr="00EF6A55" w:rsidRDefault="007E04B7" w:rsidP="00AE0970">
            <w:r w:rsidRPr="00EF6A55">
              <w:t>Interviewers only</w:t>
            </w:r>
          </w:p>
        </w:tc>
        <w:tc>
          <w:tcPr>
            <w:tcW w:w="2041" w:type="dxa"/>
            <w:shd w:val="clear" w:color="auto" w:fill="FABF8F" w:themeFill="accent6" w:themeFillTint="99"/>
          </w:tcPr>
          <w:p w:rsidR="007E04B7" w:rsidRPr="00EF6A55" w:rsidRDefault="007E04B7" w:rsidP="00AE0970">
            <w:r w:rsidRPr="00EF6A55">
              <w:t xml:space="preserve">Both </w:t>
            </w:r>
          </w:p>
        </w:tc>
      </w:tr>
    </w:tbl>
    <w:p w:rsidR="007E04B7" w:rsidRPr="009A7AA1" w:rsidRDefault="007E04B7" w:rsidP="007E04B7">
      <w:pPr>
        <w:rPr>
          <w:rFonts w:ascii="Calibri" w:eastAsia="Calibri" w:hAnsi="Calibri" w:cs="Times New Roman"/>
          <w:b/>
        </w:rPr>
      </w:pPr>
    </w:p>
    <w:tbl>
      <w:tblPr>
        <w:tblStyle w:val="TableGrid"/>
        <w:tblW w:w="15894" w:type="dxa"/>
        <w:tblInd w:w="-998" w:type="dxa"/>
        <w:tblLook w:val="04A0" w:firstRow="1" w:lastRow="0" w:firstColumn="1" w:lastColumn="0" w:noHBand="0" w:noVBand="1"/>
      </w:tblPr>
      <w:tblGrid>
        <w:gridCol w:w="1702"/>
        <w:gridCol w:w="2633"/>
        <w:gridCol w:w="2325"/>
        <w:gridCol w:w="3203"/>
        <w:gridCol w:w="2896"/>
        <w:gridCol w:w="3122"/>
        <w:gridCol w:w="13"/>
      </w:tblGrid>
      <w:tr w:rsidR="007E04B7" w:rsidRPr="00DB7FDA" w:rsidTr="00AE0970">
        <w:trPr>
          <w:gridAfter w:val="1"/>
          <w:wAfter w:w="13" w:type="dxa"/>
          <w:tblHeader/>
        </w:trPr>
        <w:tc>
          <w:tcPr>
            <w:tcW w:w="1702" w:type="dxa"/>
            <w:shd w:val="clear" w:color="auto" w:fill="FFFFFF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33" w:type="dxa"/>
          </w:tcPr>
          <w:p w:rsidR="007E04B7" w:rsidRPr="00B55999" w:rsidRDefault="007E04B7" w:rsidP="00AE0970">
            <w:pPr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B55999">
              <w:rPr>
                <w:rFonts w:eastAsia="Calibri" w:cstheme="minorHAnsi"/>
                <w:b/>
                <w:sz w:val="18"/>
                <w:szCs w:val="18"/>
              </w:rPr>
              <w:t>Bandim</w:t>
            </w:r>
            <w:proofErr w:type="spellEnd"/>
          </w:p>
        </w:tc>
        <w:tc>
          <w:tcPr>
            <w:tcW w:w="2325" w:type="dxa"/>
          </w:tcPr>
          <w:p w:rsidR="007E04B7" w:rsidRPr="00B55999" w:rsidRDefault="007E04B7" w:rsidP="00AE0970">
            <w:pPr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B55999">
              <w:rPr>
                <w:rFonts w:eastAsia="Calibri" w:cstheme="minorHAnsi"/>
                <w:b/>
                <w:sz w:val="18"/>
                <w:szCs w:val="18"/>
              </w:rPr>
              <w:t>Dabat</w:t>
            </w:r>
            <w:proofErr w:type="spellEnd"/>
          </w:p>
        </w:tc>
        <w:tc>
          <w:tcPr>
            <w:tcW w:w="3203" w:type="dxa"/>
          </w:tcPr>
          <w:p w:rsidR="007E04B7" w:rsidRPr="00B55999" w:rsidRDefault="007E04B7" w:rsidP="00AE0970">
            <w:pPr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B55999">
              <w:rPr>
                <w:rFonts w:eastAsia="Calibri" w:cstheme="minorHAnsi"/>
                <w:b/>
                <w:sz w:val="18"/>
                <w:szCs w:val="18"/>
              </w:rPr>
              <w:t>IgangaMayuge</w:t>
            </w:r>
            <w:proofErr w:type="spellEnd"/>
          </w:p>
        </w:tc>
        <w:tc>
          <w:tcPr>
            <w:tcW w:w="2896" w:type="dxa"/>
          </w:tcPr>
          <w:p w:rsidR="007E04B7" w:rsidRPr="00B55999" w:rsidRDefault="007E04B7" w:rsidP="00AE0970">
            <w:pPr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B55999">
              <w:rPr>
                <w:rFonts w:eastAsia="Calibri" w:cstheme="minorHAnsi"/>
                <w:b/>
                <w:sz w:val="18"/>
                <w:szCs w:val="18"/>
              </w:rPr>
              <w:t>Matlab</w:t>
            </w:r>
            <w:proofErr w:type="spellEnd"/>
          </w:p>
        </w:tc>
        <w:tc>
          <w:tcPr>
            <w:tcW w:w="3122" w:type="dxa"/>
          </w:tcPr>
          <w:p w:rsidR="007E04B7" w:rsidRPr="00B55999" w:rsidRDefault="007E04B7" w:rsidP="00AE0970">
            <w:pPr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B55999">
              <w:rPr>
                <w:rFonts w:eastAsia="Calibri" w:cstheme="minorHAnsi"/>
                <w:b/>
                <w:sz w:val="18"/>
                <w:szCs w:val="18"/>
              </w:rPr>
              <w:t>Kintampo</w:t>
            </w:r>
            <w:proofErr w:type="spellEnd"/>
          </w:p>
        </w:tc>
      </w:tr>
      <w:tr w:rsidR="007E04B7" w:rsidRPr="00DB7FDA" w:rsidTr="00AE0970">
        <w:trPr>
          <w:gridAfter w:val="1"/>
          <w:wAfter w:w="13" w:type="dxa"/>
        </w:trPr>
        <w:tc>
          <w:tcPr>
            <w:tcW w:w="1702" w:type="dxa"/>
            <w:shd w:val="clear" w:color="auto" w:fill="D9D9D9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Barriers</w:t>
            </w:r>
          </w:p>
        </w:tc>
        <w:tc>
          <w:tcPr>
            <w:tcW w:w="2633" w:type="dxa"/>
            <w:shd w:val="clear" w:color="auto" w:fill="D9D9D9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325" w:type="dxa"/>
            <w:shd w:val="clear" w:color="auto" w:fill="D9D9D9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203" w:type="dxa"/>
            <w:shd w:val="clear" w:color="auto" w:fill="D9D9D9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896" w:type="dxa"/>
            <w:shd w:val="clear" w:color="auto" w:fill="D9D9D9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122" w:type="dxa"/>
            <w:shd w:val="clear" w:color="auto" w:fill="D9D9D9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7E04B7" w:rsidRPr="00DB7FDA" w:rsidTr="00AE0970">
        <w:trPr>
          <w:gridAfter w:val="1"/>
          <w:wAfter w:w="13" w:type="dxa"/>
        </w:trPr>
        <w:tc>
          <w:tcPr>
            <w:tcW w:w="1702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Mother not informed of the weight</w:t>
            </w:r>
          </w:p>
        </w:tc>
        <w:tc>
          <w:tcPr>
            <w:tcW w:w="2633" w:type="dxa"/>
            <w:shd w:val="clear" w:color="auto" w:fill="FFC000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sym w:font="Wingdings" w:char="F0FC"/>
            </w:r>
          </w:p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Baby separated from mother soon after birth e.g. very sick or stillborn. Even if weighed mother not informed</w:t>
            </w:r>
          </w:p>
        </w:tc>
        <w:tc>
          <w:tcPr>
            <w:tcW w:w="2325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203" w:type="dxa"/>
            <w:shd w:val="clear" w:color="auto" w:fill="FFC000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sym w:font="Wingdings" w:char="F0FC"/>
            </w:r>
          </w:p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Mother report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ed</w:t>
            </w: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 xml:space="preserve"> seeing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the </w:t>
            </w: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child weighed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,</w:t>
            </w: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 xml:space="preserve"> but not being told the weight</w:t>
            </w:r>
          </w:p>
        </w:tc>
        <w:tc>
          <w:tcPr>
            <w:tcW w:w="2896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122" w:type="dxa"/>
            <w:shd w:val="clear" w:color="auto" w:fill="FABF8F" w:themeFill="accent6" w:themeFillTint="99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sym w:font="Wingdings" w:char="F0FC"/>
            </w:r>
          </w:p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Many women not told birthweight</w:t>
            </w:r>
          </w:p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Women find it difficult to ask health workers questions, including about birthweight</w:t>
            </w:r>
          </w:p>
        </w:tc>
      </w:tr>
      <w:tr w:rsidR="007E04B7" w:rsidRPr="00DB7FDA" w:rsidTr="00AE0970">
        <w:trPr>
          <w:gridAfter w:val="1"/>
          <w:wAfter w:w="13" w:type="dxa"/>
        </w:trPr>
        <w:tc>
          <w:tcPr>
            <w:tcW w:w="1702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Health card not available</w:t>
            </w:r>
          </w:p>
        </w:tc>
        <w:tc>
          <w:tcPr>
            <w:tcW w:w="2633" w:type="dxa"/>
            <w:shd w:val="clear" w:color="auto" w:fill="4F81BD" w:themeFill="accent1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sym w:font="Wingdings" w:char="F0FC"/>
            </w:r>
          </w:p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Health cards held by the men</w:t>
            </w:r>
          </w:p>
        </w:tc>
        <w:tc>
          <w:tcPr>
            <w:tcW w:w="2325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203" w:type="dxa"/>
            <w:shd w:val="clear" w:color="auto" w:fill="4F81BD" w:themeFill="accent1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Variable by interview gender: F</w:t>
            </w: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emale interviewers though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t</w:t>
            </w: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 xml:space="preserve"> most had card. Male interviewers though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t</w:t>
            </w: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 xml:space="preserve"> most didn’t, and that women didn’t care about the child’s health card and often lose them </w:t>
            </w:r>
          </w:p>
        </w:tc>
        <w:tc>
          <w:tcPr>
            <w:tcW w:w="2896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122" w:type="dxa"/>
            <w:shd w:val="clear" w:color="auto" w:fill="4F81BD" w:themeFill="accent1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sym w:font="Wingdings" w:char="F0FC"/>
            </w:r>
          </w:p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Perceived by interviewers that some women do not look after their cards well and they get misplaced</w:t>
            </w:r>
          </w:p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Some women cannot afford to buy the health card</w:t>
            </w:r>
          </w:p>
        </w:tc>
      </w:tr>
      <w:tr w:rsidR="007E04B7" w:rsidRPr="00DB7FDA" w:rsidTr="00AE0970">
        <w:trPr>
          <w:gridAfter w:val="1"/>
          <w:wAfter w:w="13" w:type="dxa"/>
        </w:trPr>
        <w:tc>
          <w:tcPr>
            <w:tcW w:w="1702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Birthweight not recorded on the health card or birthweight illegible</w:t>
            </w:r>
          </w:p>
        </w:tc>
        <w:tc>
          <w:tcPr>
            <w:tcW w:w="2633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325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203" w:type="dxa"/>
            <w:shd w:val="clear" w:color="auto" w:fill="4F81BD" w:themeFill="accent1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sym w:font="Wingdings" w:char="F0FC"/>
            </w:r>
          </w:p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Esp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>ecially</w:t>
            </w: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 xml:space="preserve"> in births in </w:t>
            </w: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a </w:t>
            </w: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referral hospital or government health centres and for births occurring over the weekend</w:t>
            </w:r>
          </w:p>
        </w:tc>
        <w:tc>
          <w:tcPr>
            <w:tcW w:w="2896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122" w:type="dxa"/>
            <w:shd w:val="clear" w:color="auto" w:fill="4F81BD" w:themeFill="accent1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sym w:font="Wingdings" w:char="F0FC"/>
            </w:r>
          </w:p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Noted a large problem even for facility births</w:t>
            </w:r>
          </w:p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More commonly written on ANC card, child’s weighing card not usually available at time of birth and failure to transcribe weight from ANC to weighing card</w:t>
            </w:r>
          </w:p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Some birthweight records illegible</w:t>
            </w:r>
          </w:p>
        </w:tc>
      </w:tr>
      <w:tr w:rsidR="007E04B7" w:rsidRPr="00DB7FDA" w:rsidTr="00AE0970">
        <w:trPr>
          <w:gridAfter w:val="1"/>
          <w:wAfter w:w="13" w:type="dxa"/>
        </w:trPr>
        <w:tc>
          <w:tcPr>
            <w:tcW w:w="1702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Interviewer’s look at the incorrect health card</w:t>
            </w:r>
          </w:p>
        </w:tc>
        <w:tc>
          <w:tcPr>
            <w:tcW w:w="2633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325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203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896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122" w:type="dxa"/>
            <w:shd w:val="clear" w:color="auto" w:fill="4F81BD" w:themeFill="accent1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sym w:font="Wingdings" w:char="F0FC"/>
            </w:r>
          </w:p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Birthweight is recorded more consistently in ANC card, but many interviewers only ask for child’s health card</w:t>
            </w:r>
          </w:p>
        </w:tc>
      </w:tr>
      <w:tr w:rsidR="007E04B7" w:rsidRPr="00DB7FDA" w:rsidTr="00AE0970">
        <w:trPr>
          <w:gridAfter w:val="1"/>
          <w:wAfter w:w="13" w:type="dxa"/>
        </w:trPr>
        <w:tc>
          <w:tcPr>
            <w:tcW w:w="1702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Social perceptions/ spiritual beliefs</w:t>
            </w:r>
          </w:p>
        </w:tc>
        <w:tc>
          <w:tcPr>
            <w:tcW w:w="2633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325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203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896" w:type="dxa"/>
            <w:shd w:val="clear" w:color="auto" w:fill="FFC000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sym w:font="Wingdings" w:char="F0FC"/>
            </w:r>
          </w:p>
          <w:p w:rsidR="007E04B7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Some mothers want to hide the weight of their baby because they believe that when a baby born with good health and other people know about the weight then ‘evil eye’ can cause harm to the health of the baby.</w:t>
            </w:r>
          </w:p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122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7E04B7" w:rsidRPr="00DB7FDA" w:rsidTr="00AE0970">
        <w:tc>
          <w:tcPr>
            <w:tcW w:w="15894" w:type="dxa"/>
            <w:gridSpan w:val="7"/>
            <w:shd w:val="clear" w:color="auto" w:fill="BFBFBF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lastRenderedPageBreak/>
              <w:t>Enablers</w:t>
            </w:r>
          </w:p>
        </w:tc>
      </w:tr>
      <w:tr w:rsidR="007E04B7" w:rsidRPr="00DB7FDA" w:rsidTr="00AE0970">
        <w:trPr>
          <w:gridAfter w:val="1"/>
          <w:wAfter w:w="13" w:type="dxa"/>
        </w:trPr>
        <w:tc>
          <w:tcPr>
            <w:tcW w:w="1702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Education level of the woman</w:t>
            </w:r>
          </w:p>
        </w:tc>
        <w:tc>
          <w:tcPr>
            <w:tcW w:w="2633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325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203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896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122" w:type="dxa"/>
            <w:shd w:val="clear" w:color="auto" w:fill="4F81BD" w:themeFill="accent1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sym w:font="Wingdings" w:char="F0FC"/>
            </w:r>
          </w:p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 xml:space="preserve">More educated women can recall the birthweight even without the card. </w:t>
            </w:r>
          </w:p>
        </w:tc>
      </w:tr>
      <w:tr w:rsidR="007E04B7" w:rsidRPr="00DB7FDA" w:rsidTr="00AE0970">
        <w:trPr>
          <w:gridAfter w:val="1"/>
          <w:wAfter w:w="13" w:type="dxa"/>
        </w:trPr>
        <w:tc>
          <w:tcPr>
            <w:tcW w:w="1702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Health cards</w:t>
            </w:r>
          </w:p>
        </w:tc>
        <w:tc>
          <w:tcPr>
            <w:tcW w:w="2633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325" w:type="dxa"/>
            <w:shd w:val="clear" w:color="auto" w:fill="4F81BD" w:themeFill="accent1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sym w:font="Wingdings" w:char="F0FC"/>
            </w:r>
          </w:p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  <w:r w:rsidRPr="00DB7FDA">
              <w:rPr>
                <w:rFonts w:ascii="Calibri" w:eastAsia="Calibri" w:hAnsi="Calibri" w:cs="Times New Roman"/>
                <w:sz w:val="18"/>
                <w:szCs w:val="18"/>
              </w:rPr>
              <w:t>Some women bring health cards to show interviewers</w:t>
            </w:r>
          </w:p>
        </w:tc>
        <w:tc>
          <w:tcPr>
            <w:tcW w:w="3203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896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122" w:type="dxa"/>
          </w:tcPr>
          <w:p w:rsidR="007E04B7" w:rsidRPr="00DB7FDA" w:rsidRDefault="007E04B7" w:rsidP="00AE0970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:rsidR="007E04B7" w:rsidRPr="009A7AA1" w:rsidRDefault="007E04B7" w:rsidP="007E04B7">
      <w:pPr>
        <w:rPr>
          <w:rFonts w:ascii="Calibri" w:eastAsia="Calibri" w:hAnsi="Calibri" w:cs="Times New Roman"/>
        </w:rPr>
      </w:pPr>
    </w:p>
    <w:p w:rsidR="00866F28" w:rsidRDefault="00866F28">
      <w:bookmarkStart w:id="3" w:name="_GoBack"/>
      <w:bookmarkEnd w:id="3"/>
    </w:p>
    <w:sectPr w:rsidR="00866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4B7"/>
    <w:rsid w:val="0011634E"/>
    <w:rsid w:val="0014555C"/>
    <w:rsid w:val="001D181C"/>
    <w:rsid w:val="003315B0"/>
    <w:rsid w:val="00652A7C"/>
    <w:rsid w:val="007E04B7"/>
    <w:rsid w:val="00866F28"/>
    <w:rsid w:val="00955285"/>
    <w:rsid w:val="00A60763"/>
    <w:rsid w:val="00AE661B"/>
    <w:rsid w:val="00B7523B"/>
    <w:rsid w:val="00B8115A"/>
    <w:rsid w:val="00BB32DF"/>
    <w:rsid w:val="00C04B9D"/>
    <w:rsid w:val="00C15832"/>
    <w:rsid w:val="00D04CFF"/>
    <w:rsid w:val="00D56684"/>
    <w:rsid w:val="00E10B77"/>
    <w:rsid w:val="00E2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4B7"/>
    <w:pPr>
      <w:spacing w:after="160" w:line="259" w:lineRule="auto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04B7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04B7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E04B7"/>
    <w:rPr>
      <w:rFonts w:eastAsiaTheme="majorEastAsia" w:cstheme="majorBidi"/>
      <w:b/>
      <w:sz w:val="32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E04B7"/>
    <w:rPr>
      <w:rFonts w:eastAsiaTheme="majorEastAsia" w:cstheme="majorBidi"/>
      <w:b/>
      <w:szCs w:val="24"/>
      <w:lang w:val="en-GB"/>
    </w:rPr>
  </w:style>
  <w:style w:type="table" w:styleId="TableGrid">
    <w:name w:val="Table Grid"/>
    <w:basedOn w:val="TableNormal"/>
    <w:uiPriority w:val="39"/>
    <w:rsid w:val="007E04B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4B7"/>
    <w:pPr>
      <w:spacing w:after="160" w:line="259" w:lineRule="auto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04B7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04B7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E04B7"/>
    <w:rPr>
      <w:rFonts w:eastAsiaTheme="majorEastAsia" w:cstheme="majorBidi"/>
      <w:b/>
      <w:sz w:val="32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E04B7"/>
    <w:rPr>
      <w:rFonts w:eastAsiaTheme="majorEastAsia" w:cstheme="majorBidi"/>
      <w:b/>
      <w:szCs w:val="24"/>
      <w:lang w:val="en-GB"/>
    </w:rPr>
  </w:style>
  <w:style w:type="table" w:styleId="TableGrid">
    <w:name w:val="Table Grid"/>
    <w:basedOn w:val="TableNormal"/>
    <w:uiPriority w:val="39"/>
    <w:rsid w:val="007E04B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676</Words>
  <Characters>3854</Characters>
  <Application>Microsoft Office Word</Application>
  <DocSecurity>0</DocSecurity>
  <Lines>32</Lines>
  <Paragraphs>9</Paragraphs>
  <ScaleCrop>false</ScaleCrop>
  <Company>Springer-SBM</Company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Aanstoot, Rene, BioMed Central Ltd.</dc:creator>
  <cp:lastModifiedBy>Aanstoot, Rene, BioMed Central Ltd.</cp:lastModifiedBy>
  <cp:revision>1</cp:revision>
  <dcterms:created xsi:type="dcterms:W3CDTF">2020-11-06T19:37:00Z</dcterms:created>
  <dcterms:modified xsi:type="dcterms:W3CDTF">2020-11-06T19:37:00Z</dcterms:modified>
</cp:coreProperties>
</file>