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4AF1" w:rsidRDefault="00E14AF1" w:rsidP="003C7A19">
      <w:pPr>
        <w:spacing w:after="240" w:line="600" w:lineRule="auto"/>
        <w:jc w:val="both"/>
        <w:rPr>
          <w:rFonts w:ascii="Times New Roman" w:hAnsi="Times New Roman" w:cs="Times New Roman"/>
          <w:b/>
        </w:rPr>
      </w:pPr>
      <w:r w:rsidRPr="00860BC0">
        <w:rPr>
          <w:rFonts w:ascii="Times New Roman" w:hAnsi="Times New Roman" w:cs="Times New Roman"/>
          <w:b/>
        </w:rPr>
        <w:t>Supplementary Material</w:t>
      </w:r>
    </w:p>
    <w:p w:rsidR="00E14AF1" w:rsidRDefault="00E14AF1" w:rsidP="003C7A19">
      <w:pPr>
        <w:spacing w:after="240" w:line="600" w:lineRule="auto"/>
        <w:jc w:val="both"/>
        <w:rPr>
          <w:rFonts w:ascii="Times New Roman" w:hAnsi="Times New Roman" w:cs="Times New Roman"/>
          <w:i/>
        </w:rPr>
      </w:pPr>
      <w:r>
        <w:rPr>
          <w:rFonts w:ascii="Times New Roman" w:hAnsi="Times New Roman" w:cs="Times New Roman"/>
          <w:i/>
        </w:rPr>
        <w:t>Robustness checks</w:t>
      </w:r>
    </w:p>
    <w:p w:rsidR="00E14AF1" w:rsidRDefault="00E14AF1" w:rsidP="003C7A19">
      <w:pPr>
        <w:spacing w:after="240" w:line="600" w:lineRule="auto"/>
        <w:jc w:val="both"/>
        <w:rPr>
          <w:rFonts w:ascii="Times New Roman" w:hAnsi="Times New Roman" w:cs="Times New Roman"/>
          <w:i/>
        </w:rPr>
      </w:pPr>
      <w:r>
        <w:rPr>
          <w:rFonts w:ascii="Times New Roman" w:hAnsi="Times New Roman" w:cs="Times New Roman"/>
          <w:i/>
        </w:rPr>
        <w:t xml:space="preserve">1. </w:t>
      </w:r>
      <w:r w:rsidRPr="00594940">
        <w:rPr>
          <w:rFonts w:ascii="Times New Roman" w:hAnsi="Times New Roman" w:cs="Times New Roman"/>
          <w:i/>
        </w:rPr>
        <w:t>Correlation among different inequality measures</w:t>
      </w:r>
    </w:p>
    <w:p w:rsidR="00E14AF1" w:rsidRPr="00594940" w:rsidRDefault="00E14AF1" w:rsidP="003C7A19">
      <w:pPr>
        <w:spacing w:after="240" w:line="600" w:lineRule="auto"/>
        <w:jc w:val="both"/>
        <w:rPr>
          <w:rFonts w:ascii="Times New Roman" w:hAnsi="Times New Roman" w:cs="Times New Roman"/>
        </w:rPr>
      </w:pPr>
      <w:r>
        <w:rPr>
          <w:rFonts w:ascii="Times New Roman" w:hAnsi="Times New Roman" w:cs="Times New Roman"/>
        </w:rPr>
        <w:t>Many indicators exist to assess the extent of inequality in a given distribution. To test whether our findings are robust to the choice of alternative inequality measures we have performed the following exercise. We have computed lifespan inequality levels for the eight groups considered in this paper (three education groups + total, for women and men separately) using different inequality measures</w:t>
      </w:r>
      <w:r w:rsidRPr="00C555D5">
        <w:rPr>
          <w:rFonts w:ascii="Times New Roman" w:hAnsi="Times New Roman" w:cs="Times New Roman"/>
          <w:vertAlign w:val="superscript"/>
        </w:rPr>
        <w:t>1</w:t>
      </w:r>
      <w:r>
        <w:rPr>
          <w:rFonts w:ascii="Times New Roman" w:hAnsi="Times New Roman" w:cs="Times New Roman"/>
        </w:rPr>
        <w:t xml:space="preserve"> (the Gini coefficient (G), the Gini Mean Difference (</w:t>
      </w:r>
      <w:r w:rsidRPr="00594940">
        <w:rPr>
          <w:rFonts w:ascii="Times New Roman" w:eastAsia="Times New Roman" w:hAnsi="Times New Roman" w:cs="Times New Roman"/>
          <w:color w:val="000000"/>
          <w:lang w:eastAsia="en-US"/>
        </w:rPr>
        <w:t>G</w:t>
      </w:r>
      <w:r w:rsidRPr="00594940">
        <w:rPr>
          <w:rFonts w:ascii="Times New Roman" w:eastAsia="Times New Roman" w:hAnsi="Times New Roman" w:cs="Times New Roman"/>
          <w:color w:val="000000"/>
          <w:vertAlign w:val="subscript"/>
          <w:lang w:eastAsia="en-US"/>
        </w:rPr>
        <w:t>a</w:t>
      </w:r>
      <w:r>
        <w:rPr>
          <w:rFonts w:ascii="Times New Roman" w:hAnsi="Times New Roman" w:cs="Times New Roman"/>
        </w:rPr>
        <w:t xml:space="preserve">, also known as ‘absolute Gini index’), the Theil index (T) and the Coefficient of Variation (CV)) and looked at pairwise correlations. The results, shown in table S1, suggest that the choice of alternative inequality measures does not modify our main conclusions. All correlation coefficients are very high (above 0.94). </w:t>
      </w:r>
      <w:bookmarkStart w:id="0" w:name="_GoBack"/>
      <w:bookmarkEnd w:id="0"/>
    </w:p>
    <w:tbl>
      <w:tblPr>
        <w:tblW w:w="7137" w:type="dxa"/>
        <w:tblLook w:val="04A0" w:firstRow="1" w:lastRow="0" w:firstColumn="1" w:lastColumn="0" w:noHBand="0" w:noVBand="1"/>
      </w:tblPr>
      <w:tblGrid>
        <w:gridCol w:w="1843"/>
        <w:gridCol w:w="1345"/>
        <w:gridCol w:w="1345"/>
        <w:gridCol w:w="1345"/>
        <w:gridCol w:w="1259"/>
      </w:tblGrid>
      <w:tr w:rsidR="00E14AF1" w:rsidRPr="00594940" w:rsidTr="007F37A3">
        <w:trPr>
          <w:trHeight w:val="300"/>
        </w:trPr>
        <w:tc>
          <w:tcPr>
            <w:tcW w:w="1843" w:type="dxa"/>
            <w:tcBorders>
              <w:top w:val="nil"/>
              <w:left w:val="nil"/>
              <w:bottom w:val="single" w:sz="4" w:space="0" w:color="auto"/>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 xml:space="preserve">LI </w:t>
            </w:r>
            <w:proofErr w:type="spellStart"/>
            <w:r w:rsidRPr="00594940">
              <w:rPr>
                <w:rFonts w:ascii="Times New Roman" w:eastAsia="Times New Roman" w:hAnsi="Times New Roman" w:cs="Times New Roman"/>
                <w:color w:val="000000"/>
                <w:lang w:eastAsia="en-US"/>
              </w:rPr>
              <w:t>Corr</w:t>
            </w:r>
            <w:proofErr w:type="spellEnd"/>
          </w:p>
        </w:tc>
        <w:tc>
          <w:tcPr>
            <w:tcW w:w="1345" w:type="dxa"/>
            <w:tcBorders>
              <w:top w:val="nil"/>
              <w:left w:val="nil"/>
              <w:bottom w:val="single" w:sz="4" w:space="0" w:color="auto"/>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G</w:t>
            </w:r>
          </w:p>
        </w:tc>
        <w:tc>
          <w:tcPr>
            <w:tcW w:w="1345" w:type="dxa"/>
            <w:tcBorders>
              <w:top w:val="nil"/>
              <w:left w:val="nil"/>
              <w:bottom w:val="single" w:sz="4" w:space="0" w:color="auto"/>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G</w:t>
            </w:r>
            <w:r w:rsidRPr="00594940">
              <w:rPr>
                <w:rFonts w:ascii="Times New Roman" w:eastAsia="Times New Roman" w:hAnsi="Times New Roman" w:cs="Times New Roman"/>
                <w:color w:val="000000"/>
                <w:vertAlign w:val="subscript"/>
                <w:lang w:eastAsia="en-US"/>
              </w:rPr>
              <w:t>a</w:t>
            </w:r>
          </w:p>
        </w:tc>
        <w:tc>
          <w:tcPr>
            <w:tcW w:w="1345" w:type="dxa"/>
            <w:tcBorders>
              <w:top w:val="nil"/>
              <w:left w:val="nil"/>
              <w:bottom w:val="single" w:sz="4" w:space="0" w:color="auto"/>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T</w:t>
            </w:r>
          </w:p>
        </w:tc>
        <w:tc>
          <w:tcPr>
            <w:tcW w:w="1259" w:type="dxa"/>
            <w:tcBorders>
              <w:top w:val="nil"/>
              <w:left w:val="nil"/>
              <w:bottom w:val="single" w:sz="4" w:space="0" w:color="auto"/>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CV</w:t>
            </w:r>
          </w:p>
        </w:tc>
      </w:tr>
      <w:tr w:rsidR="00E14AF1" w:rsidRPr="00594940" w:rsidTr="007F37A3">
        <w:trPr>
          <w:trHeight w:val="300"/>
        </w:trPr>
        <w:tc>
          <w:tcPr>
            <w:tcW w:w="1843" w:type="dxa"/>
            <w:tcBorders>
              <w:top w:val="nil"/>
              <w:left w:val="nil"/>
              <w:bottom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G</w:t>
            </w:r>
          </w:p>
        </w:tc>
        <w:tc>
          <w:tcPr>
            <w:tcW w:w="1345" w:type="dxa"/>
            <w:tcBorders>
              <w:top w:val="nil"/>
              <w:left w:val="nil"/>
              <w:bottom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1</w:t>
            </w:r>
          </w:p>
        </w:tc>
        <w:tc>
          <w:tcPr>
            <w:tcW w:w="1345" w:type="dxa"/>
            <w:tcBorders>
              <w:top w:val="nil"/>
              <w:left w:val="nil"/>
              <w:bottom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p>
        </w:tc>
        <w:tc>
          <w:tcPr>
            <w:tcW w:w="1345" w:type="dxa"/>
            <w:tcBorders>
              <w:top w:val="nil"/>
              <w:left w:val="nil"/>
              <w:bottom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lang w:eastAsia="en-US"/>
              </w:rPr>
            </w:pPr>
          </w:p>
        </w:tc>
        <w:tc>
          <w:tcPr>
            <w:tcW w:w="1259" w:type="dxa"/>
            <w:tcBorders>
              <w:top w:val="nil"/>
              <w:left w:val="nil"/>
              <w:bottom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lang w:eastAsia="en-US"/>
              </w:rPr>
            </w:pPr>
          </w:p>
        </w:tc>
      </w:tr>
      <w:tr w:rsidR="00E14AF1" w:rsidRPr="00594940" w:rsidTr="007F37A3">
        <w:trPr>
          <w:trHeight w:val="300"/>
        </w:trPr>
        <w:tc>
          <w:tcPr>
            <w:tcW w:w="1843" w:type="dxa"/>
            <w:tcBorders>
              <w:top w:val="nil"/>
              <w:left w:val="nil"/>
              <w:bottom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G</w:t>
            </w:r>
            <w:r w:rsidRPr="00594940">
              <w:rPr>
                <w:rFonts w:ascii="Times New Roman" w:eastAsia="Times New Roman" w:hAnsi="Times New Roman" w:cs="Times New Roman"/>
                <w:color w:val="000000"/>
                <w:vertAlign w:val="subscript"/>
                <w:lang w:eastAsia="en-US"/>
              </w:rPr>
              <w:t>a</w:t>
            </w:r>
          </w:p>
        </w:tc>
        <w:tc>
          <w:tcPr>
            <w:tcW w:w="1345" w:type="dxa"/>
            <w:tcBorders>
              <w:top w:val="nil"/>
              <w:left w:val="nil"/>
              <w:bottom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0.99</w:t>
            </w:r>
          </w:p>
        </w:tc>
        <w:tc>
          <w:tcPr>
            <w:tcW w:w="1345" w:type="dxa"/>
            <w:tcBorders>
              <w:top w:val="nil"/>
              <w:left w:val="nil"/>
              <w:bottom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1</w:t>
            </w:r>
          </w:p>
        </w:tc>
        <w:tc>
          <w:tcPr>
            <w:tcW w:w="1345" w:type="dxa"/>
            <w:tcBorders>
              <w:top w:val="nil"/>
              <w:left w:val="nil"/>
              <w:bottom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p>
        </w:tc>
        <w:tc>
          <w:tcPr>
            <w:tcW w:w="1259" w:type="dxa"/>
            <w:tcBorders>
              <w:top w:val="nil"/>
              <w:left w:val="nil"/>
              <w:bottom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lang w:eastAsia="en-US"/>
              </w:rPr>
            </w:pPr>
          </w:p>
        </w:tc>
      </w:tr>
      <w:tr w:rsidR="00E14AF1" w:rsidRPr="00594940" w:rsidTr="007F37A3">
        <w:trPr>
          <w:trHeight w:val="300"/>
        </w:trPr>
        <w:tc>
          <w:tcPr>
            <w:tcW w:w="1843" w:type="dxa"/>
            <w:tcBorders>
              <w:top w:val="nil"/>
              <w:left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T</w:t>
            </w:r>
          </w:p>
        </w:tc>
        <w:tc>
          <w:tcPr>
            <w:tcW w:w="1345" w:type="dxa"/>
            <w:tcBorders>
              <w:top w:val="nil"/>
              <w:left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0.94</w:t>
            </w:r>
          </w:p>
        </w:tc>
        <w:tc>
          <w:tcPr>
            <w:tcW w:w="1345" w:type="dxa"/>
            <w:tcBorders>
              <w:top w:val="nil"/>
              <w:left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0.97</w:t>
            </w:r>
          </w:p>
        </w:tc>
        <w:tc>
          <w:tcPr>
            <w:tcW w:w="1345" w:type="dxa"/>
            <w:tcBorders>
              <w:top w:val="nil"/>
              <w:left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1</w:t>
            </w:r>
          </w:p>
        </w:tc>
        <w:tc>
          <w:tcPr>
            <w:tcW w:w="1259" w:type="dxa"/>
            <w:tcBorders>
              <w:top w:val="nil"/>
              <w:left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p>
        </w:tc>
      </w:tr>
      <w:tr w:rsidR="00E14AF1" w:rsidRPr="00594940" w:rsidTr="007F37A3">
        <w:trPr>
          <w:trHeight w:val="300"/>
        </w:trPr>
        <w:tc>
          <w:tcPr>
            <w:tcW w:w="1843" w:type="dxa"/>
            <w:tcBorders>
              <w:top w:val="nil"/>
              <w:left w:val="nil"/>
              <w:bottom w:val="single" w:sz="4" w:space="0" w:color="auto"/>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CV</w:t>
            </w:r>
          </w:p>
        </w:tc>
        <w:tc>
          <w:tcPr>
            <w:tcW w:w="1345" w:type="dxa"/>
            <w:tcBorders>
              <w:top w:val="nil"/>
              <w:left w:val="nil"/>
              <w:bottom w:val="single" w:sz="4" w:space="0" w:color="auto"/>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0.96</w:t>
            </w:r>
          </w:p>
        </w:tc>
        <w:tc>
          <w:tcPr>
            <w:tcW w:w="1345" w:type="dxa"/>
            <w:tcBorders>
              <w:top w:val="nil"/>
              <w:left w:val="nil"/>
              <w:bottom w:val="single" w:sz="4" w:space="0" w:color="auto"/>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0.98</w:t>
            </w:r>
          </w:p>
        </w:tc>
        <w:tc>
          <w:tcPr>
            <w:tcW w:w="1345" w:type="dxa"/>
            <w:tcBorders>
              <w:top w:val="nil"/>
              <w:left w:val="nil"/>
              <w:bottom w:val="single" w:sz="4" w:space="0" w:color="auto"/>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0.99</w:t>
            </w:r>
          </w:p>
        </w:tc>
        <w:tc>
          <w:tcPr>
            <w:tcW w:w="1259" w:type="dxa"/>
            <w:tcBorders>
              <w:top w:val="nil"/>
              <w:left w:val="nil"/>
              <w:bottom w:val="single" w:sz="4" w:space="0" w:color="auto"/>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1</w:t>
            </w:r>
          </w:p>
        </w:tc>
      </w:tr>
    </w:tbl>
    <w:p w:rsidR="00E14AF1" w:rsidRPr="00777FCB" w:rsidRDefault="00E14AF1" w:rsidP="003C7A19">
      <w:pPr>
        <w:spacing w:after="240" w:line="600" w:lineRule="auto"/>
        <w:jc w:val="both"/>
        <w:rPr>
          <w:rFonts w:ascii="Times New Roman" w:hAnsi="Times New Roman" w:cs="Times New Roman"/>
        </w:rPr>
      </w:pPr>
      <w:r w:rsidRPr="002A0CD8">
        <w:rPr>
          <w:rFonts w:ascii="Times New Roman" w:hAnsi="Times New Roman" w:cs="Times New Roman"/>
          <w:b/>
        </w:rPr>
        <w:t>Table S</w:t>
      </w:r>
      <w:r>
        <w:rPr>
          <w:rFonts w:ascii="Times New Roman" w:hAnsi="Times New Roman" w:cs="Times New Roman"/>
          <w:b/>
        </w:rPr>
        <w:t xml:space="preserve">1. </w:t>
      </w:r>
      <w:r>
        <w:rPr>
          <w:rFonts w:ascii="Times New Roman" w:hAnsi="Times New Roman" w:cs="Times New Roman"/>
        </w:rPr>
        <w:t>Correlation matrix for different inequality measures for the length-of-life distributions. Source:</w:t>
      </w:r>
      <w:r w:rsidRPr="00226F77">
        <w:rPr>
          <w:rFonts w:ascii="Times New Roman" w:hAnsi="Times New Roman" w:cs="Times New Roman"/>
        </w:rPr>
        <w:t xml:space="preserve"> </w:t>
      </w:r>
      <w:r>
        <w:rPr>
          <w:rFonts w:ascii="Times New Roman" w:hAnsi="Times New Roman" w:cs="Times New Roman"/>
        </w:rPr>
        <w:t xml:space="preserve">Authors’ calculations based on INE’s 2014-17 death files and the 2014 and 2017 </w:t>
      </w:r>
      <w:r w:rsidRPr="00424036">
        <w:rPr>
          <w:rFonts w:ascii="Times New Roman" w:hAnsi="Times New Roman" w:cs="Times New Roman"/>
        </w:rPr>
        <w:t>SNHS.</w:t>
      </w:r>
    </w:p>
    <w:p w:rsidR="00E14AF1" w:rsidRPr="003C1B04" w:rsidRDefault="00E14AF1" w:rsidP="003C7A19">
      <w:pPr>
        <w:spacing w:after="240" w:line="600" w:lineRule="auto"/>
        <w:jc w:val="both"/>
        <w:rPr>
          <w:rFonts w:ascii="Times New Roman" w:hAnsi="Times New Roman" w:cs="Times New Roman"/>
        </w:rPr>
      </w:pPr>
      <w:r w:rsidRPr="003C1B04">
        <w:rPr>
          <w:rFonts w:ascii="Times New Roman" w:hAnsi="Times New Roman" w:cs="Times New Roman"/>
        </w:rPr>
        <w:lastRenderedPageBreak/>
        <w:t>R</w:t>
      </w:r>
      <w:r>
        <w:rPr>
          <w:rFonts w:ascii="Times New Roman" w:hAnsi="Times New Roman" w:cs="Times New Roman"/>
        </w:rPr>
        <w:t>epeating the same exercise for healthy lifespan inequality measures, we obtain the results shown in Table S2. Again, the choice of alternative inequality measures does</w:t>
      </w:r>
      <w:r w:rsidRPr="00226F77">
        <w:rPr>
          <w:rFonts w:ascii="Times New Roman" w:hAnsi="Times New Roman" w:cs="Times New Roman"/>
        </w:rPr>
        <w:t xml:space="preserve"> </w:t>
      </w:r>
      <w:r>
        <w:rPr>
          <w:rFonts w:ascii="Times New Roman" w:hAnsi="Times New Roman" w:cs="Times New Roman"/>
        </w:rPr>
        <w:t xml:space="preserve">not modify our main conclusions. All correlation coefficients are very high (above 0.94). </w:t>
      </w:r>
    </w:p>
    <w:tbl>
      <w:tblPr>
        <w:tblW w:w="7279" w:type="dxa"/>
        <w:tblLook w:val="04A0" w:firstRow="1" w:lastRow="0" w:firstColumn="1" w:lastColumn="0" w:noHBand="0" w:noVBand="1"/>
      </w:tblPr>
      <w:tblGrid>
        <w:gridCol w:w="1985"/>
        <w:gridCol w:w="1345"/>
        <w:gridCol w:w="1345"/>
        <w:gridCol w:w="1345"/>
        <w:gridCol w:w="1259"/>
      </w:tblGrid>
      <w:tr w:rsidR="00E14AF1" w:rsidRPr="00594940" w:rsidTr="007F37A3">
        <w:trPr>
          <w:trHeight w:val="300"/>
        </w:trPr>
        <w:tc>
          <w:tcPr>
            <w:tcW w:w="1985" w:type="dxa"/>
            <w:tcBorders>
              <w:top w:val="nil"/>
              <w:left w:val="nil"/>
              <w:bottom w:val="single" w:sz="4" w:space="0" w:color="auto"/>
              <w:right w:val="nil"/>
            </w:tcBorders>
            <w:shd w:val="clear" w:color="auto" w:fill="auto"/>
            <w:noWrap/>
            <w:vAlign w:val="bottom"/>
            <w:hideMark/>
          </w:tcPr>
          <w:p w:rsidR="00E14AF1" w:rsidRPr="00594940" w:rsidRDefault="00E14AF1" w:rsidP="003C7A19">
            <w:pPr>
              <w:spacing w:line="276" w:lineRule="auto"/>
              <w:ind w:left="73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 xml:space="preserve">HLI </w:t>
            </w:r>
            <w:proofErr w:type="spellStart"/>
            <w:r w:rsidRPr="00594940">
              <w:rPr>
                <w:rFonts w:ascii="Times New Roman" w:eastAsia="Times New Roman" w:hAnsi="Times New Roman" w:cs="Times New Roman"/>
                <w:color w:val="000000"/>
                <w:lang w:eastAsia="en-US"/>
              </w:rPr>
              <w:t>Corr</w:t>
            </w:r>
            <w:proofErr w:type="spellEnd"/>
          </w:p>
        </w:tc>
        <w:tc>
          <w:tcPr>
            <w:tcW w:w="1345" w:type="dxa"/>
            <w:tcBorders>
              <w:top w:val="nil"/>
              <w:left w:val="nil"/>
              <w:bottom w:val="single" w:sz="4" w:space="0" w:color="auto"/>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G</w:t>
            </w:r>
          </w:p>
        </w:tc>
        <w:tc>
          <w:tcPr>
            <w:tcW w:w="1345" w:type="dxa"/>
            <w:tcBorders>
              <w:top w:val="nil"/>
              <w:left w:val="nil"/>
              <w:bottom w:val="single" w:sz="4" w:space="0" w:color="auto"/>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G</w:t>
            </w:r>
            <w:r w:rsidRPr="00594940">
              <w:rPr>
                <w:rFonts w:ascii="Times New Roman" w:eastAsia="Times New Roman" w:hAnsi="Times New Roman" w:cs="Times New Roman"/>
                <w:color w:val="000000"/>
                <w:vertAlign w:val="subscript"/>
                <w:lang w:eastAsia="en-US"/>
              </w:rPr>
              <w:t>a</w:t>
            </w:r>
          </w:p>
        </w:tc>
        <w:tc>
          <w:tcPr>
            <w:tcW w:w="1345" w:type="dxa"/>
            <w:tcBorders>
              <w:top w:val="nil"/>
              <w:left w:val="nil"/>
              <w:bottom w:val="single" w:sz="4" w:space="0" w:color="auto"/>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T</w:t>
            </w:r>
          </w:p>
        </w:tc>
        <w:tc>
          <w:tcPr>
            <w:tcW w:w="1259" w:type="dxa"/>
            <w:tcBorders>
              <w:top w:val="nil"/>
              <w:left w:val="nil"/>
              <w:bottom w:val="single" w:sz="4" w:space="0" w:color="auto"/>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CV</w:t>
            </w:r>
          </w:p>
        </w:tc>
      </w:tr>
      <w:tr w:rsidR="00E14AF1" w:rsidRPr="00594940" w:rsidTr="007F37A3">
        <w:trPr>
          <w:trHeight w:val="300"/>
        </w:trPr>
        <w:tc>
          <w:tcPr>
            <w:tcW w:w="1985" w:type="dxa"/>
            <w:tcBorders>
              <w:top w:val="nil"/>
              <w:left w:val="nil"/>
              <w:bottom w:val="nil"/>
              <w:right w:val="nil"/>
            </w:tcBorders>
            <w:shd w:val="clear" w:color="auto" w:fill="auto"/>
            <w:noWrap/>
            <w:vAlign w:val="bottom"/>
            <w:hideMark/>
          </w:tcPr>
          <w:p w:rsidR="00E14AF1" w:rsidRPr="00594940" w:rsidRDefault="00E14AF1" w:rsidP="003C7A19">
            <w:pPr>
              <w:spacing w:line="276" w:lineRule="auto"/>
              <w:ind w:left="73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G</w:t>
            </w:r>
          </w:p>
        </w:tc>
        <w:tc>
          <w:tcPr>
            <w:tcW w:w="1345" w:type="dxa"/>
            <w:tcBorders>
              <w:top w:val="nil"/>
              <w:left w:val="nil"/>
              <w:bottom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hAnsi="Times New Roman" w:cs="Times New Roman"/>
                <w:color w:val="000000"/>
              </w:rPr>
              <w:t>1</w:t>
            </w:r>
          </w:p>
        </w:tc>
        <w:tc>
          <w:tcPr>
            <w:tcW w:w="1345" w:type="dxa"/>
            <w:tcBorders>
              <w:top w:val="nil"/>
              <w:left w:val="nil"/>
              <w:bottom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p>
        </w:tc>
        <w:tc>
          <w:tcPr>
            <w:tcW w:w="1345" w:type="dxa"/>
            <w:tcBorders>
              <w:top w:val="nil"/>
              <w:left w:val="nil"/>
              <w:bottom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lang w:eastAsia="en-US"/>
              </w:rPr>
            </w:pPr>
          </w:p>
        </w:tc>
        <w:tc>
          <w:tcPr>
            <w:tcW w:w="1259" w:type="dxa"/>
            <w:tcBorders>
              <w:top w:val="nil"/>
              <w:left w:val="nil"/>
              <w:bottom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lang w:eastAsia="en-US"/>
              </w:rPr>
            </w:pPr>
          </w:p>
        </w:tc>
      </w:tr>
      <w:tr w:rsidR="00E14AF1" w:rsidRPr="00594940" w:rsidTr="007F37A3">
        <w:trPr>
          <w:trHeight w:val="300"/>
        </w:trPr>
        <w:tc>
          <w:tcPr>
            <w:tcW w:w="1985" w:type="dxa"/>
            <w:tcBorders>
              <w:top w:val="nil"/>
              <w:left w:val="nil"/>
              <w:bottom w:val="nil"/>
              <w:right w:val="nil"/>
            </w:tcBorders>
            <w:shd w:val="clear" w:color="auto" w:fill="auto"/>
            <w:noWrap/>
            <w:vAlign w:val="bottom"/>
            <w:hideMark/>
          </w:tcPr>
          <w:p w:rsidR="00E14AF1" w:rsidRPr="00594940" w:rsidRDefault="00E14AF1" w:rsidP="003C7A19">
            <w:pPr>
              <w:spacing w:line="276" w:lineRule="auto"/>
              <w:ind w:left="73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G</w:t>
            </w:r>
            <w:r w:rsidRPr="00594940">
              <w:rPr>
                <w:rFonts w:ascii="Times New Roman" w:eastAsia="Times New Roman" w:hAnsi="Times New Roman" w:cs="Times New Roman"/>
                <w:color w:val="000000"/>
                <w:vertAlign w:val="subscript"/>
                <w:lang w:eastAsia="en-US"/>
              </w:rPr>
              <w:t>a</w:t>
            </w:r>
          </w:p>
        </w:tc>
        <w:tc>
          <w:tcPr>
            <w:tcW w:w="1345" w:type="dxa"/>
            <w:tcBorders>
              <w:top w:val="nil"/>
              <w:left w:val="nil"/>
              <w:bottom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hAnsi="Times New Roman" w:cs="Times New Roman"/>
                <w:color w:val="000000"/>
              </w:rPr>
              <w:t>0.96</w:t>
            </w:r>
          </w:p>
        </w:tc>
        <w:tc>
          <w:tcPr>
            <w:tcW w:w="1345" w:type="dxa"/>
            <w:tcBorders>
              <w:top w:val="nil"/>
              <w:left w:val="nil"/>
              <w:bottom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hAnsi="Times New Roman" w:cs="Times New Roman"/>
                <w:color w:val="000000"/>
              </w:rPr>
              <w:t>1</w:t>
            </w:r>
          </w:p>
        </w:tc>
        <w:tc>
          <w:tcPr>
            <w:tcW w:w="1345" w:type="dxa"/>
            <w:tcBorders>
              <w:top w:val="nil"/>
              <w:left w:val="nil"/>
              <w:bottom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p>
        </w:tc>
        <w:tc>
          <w:tcPr>
            <w:tcW w:w="1259" w:type="dxa"/>
            <w:tcBorders>
              <w:top w:val="nil"/>
              <w:left w:val="nil"/>
              <w:bottom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lang w:eastAsia="en-US"/>
              </w:rPr>
            </w:pPr>
          </w:p>
        </w:tc>
      </w:tr>
      <w:tr w:rsidR="00E14AF1" w:rsidRPr="00594940" w:rsidTr="007F37A3">
        <w:trPr>
          <w:trHeight w:val="300"/>
        </w:trPr>
        <w:tc>
          <w:tcPr>
            <w:tcW w:w="1985" w:type="dxa"/>
            <w:tcBorders>
              <w:top w:val="nil"/>
              <w:left w:val="nil"/>
              <w:right w:val="nil"/>
            </w:tcBorders>
            <w:shd w:val="clear" w:color="auto" w:fill="auto"/>
            <w:noWrap/>
            <w:vAlign w:val="bottom"/>
            <w:hideMark/>
          </w:tcPr>
          <w:p w:rsidR="00E14AF1" w:rsidRPr="00594940" w:rsidRDefault="00E14AF1" w:rsidP="003C7A19">
            <w:pPr>
              <w:spacing w:line="276" w:lineRule="auto"/>
              <w:ind w:left="73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T</w:t>
            </w:r>
          </w:p>
        </w:tc>
        <w:tc>
          <w:tcPr>
            <w:tcW w:w="1345" w:type="dxa"/>
            <w:tcBorders>
              <w:top w:val="nil"/>
              <w:left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hAnsi="Times New Roman" w:cs="Times New Roman"/>
                <w:color w:val="000000"/>
              </w:rPr>
              <w:t>0.94</w:t>
            </w:r>
          </w:p>
        </w:tc>
        <w:tc>
          <w:tcPr>
            <w:tcW w:w="1345" w:type="dxa"/>
            <w:tcBorders>
              <w:top w:val="nil"/>
              <w:left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hAnsi="Times New Roman" w:cs="Times New Roman"/>
                <w:color w:val="000000"/>
              </w:rPr>
              <w:t>0.99</w:t>
            </w:r>
          </w:p>
        </w:tc>
        <w:tc>
          <w:tcPr>
            <w:tcW w:w="1345" w:type="dxa"/>
            <w:tcBorders>
              <w:top w:val="nil"/>
              <w:left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hAnsi="Times New Roman" w:cs="Times New Roman"/>
                <w:color w:val="000000"/>
              </w:rPr>
              <w:t>1</w:t>
            </w:r>
          </w:p>
        </w:tc>
        <w:tc>
          <w:tcPr>
            <w:tcW w:w="1259" w:type="dxa"/>
            <w:tcBorders>
              <w:top w:val="nil"/>
              <w:left w:val="nil"/>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p>
        </w:tc>
      </w:tr>
      <w:tr w:rsidR="00E14AF1" w:rsidRPr="00594940" w:rsidTr="007F37A3">
        <w:trPr>
          <w:trHeight w:val="300"/>
        </w:trPr>
        <w:tc>
          <w:tcPr>
            <w:tcW w:w="1985" w:type="dxa"/>
            <w:tcBorders>
              <w:top w:val="nil"/>
              <w:left w:val="nil"/>
              <w:bottom w:val="single" w:sz="4" w:space="0" w:color="auto"/>
              <w:right w:val="nil"/>
            </w:tcBorders>
            <w:shd w:val="clear" w:color="auto" w:fill="auto"/>
            <w:noWrap/>
            <w:vAlign w:val="bottom"/>
            <w:hideMark/>
          </w:tcPr>
          <w:p w:rsidR="00E14AF1" w:rsidRPr="00594940" w:rsidRDefault="00E14AF1" w:rsidP="003C7A19">
            <w:pPr>
              <w:spacing w:line="276" w:lineRule="auto"/>
              <w:ind w:left="739"/>
              <w:jc w:val="center"/>
              <w:rPr>
                <w:rFonts w:ascii="Times New Roman" w:eastAsia="Times New Roman" w:hAnsi="Times New Roman" w:cs="Times New Roman"/>
                <w:color w:val="000000"/>
                <w:lang w:eastAsia="en-US"/>
              </w:rPr>
            </w:pPr>
            <w:r w:rsidRPr="00594940">
              <w:rPr>
                <w:rFonts w:ascii="Times New Roman" w:eastAsia="Times New Roman" w:hAnsi="Times New Roman" w:cs="Times New Roman"/>
                <w:color w:val="000000"/>
                <w:lang w:eastAsia="en-US"/>
              </w:rPr>
              <w:t>CV</w:t>
            </w:r>
          </w:p>
        </w:tc>
        <w:tc>
          <w:tcPr>
            <w:tcW w:w="1345" w:type="dxa"/>
            <w:tcBorders>
              <w:top w:val="nil"/>
              <w:left w:val="nil"/>
              <w:bottom w:val="single" w:sz="4" w:space="0" w:color="auto"/>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hAnsi="Times New Roman" w:cs="Times New Roman"/>
                <w:color w:val="000000"/>
              </w:rPr>
              <w:t>0.97</w:t>
            </w:r>
          </w:p>
        </w:tc>
        <w:tc>
          <w:tcPr>
            <w:tcW w:w="1345" w:type="dxa"/>
            <w:tcBorders>
              <w:top w:val="nil"/>
              <w:left w:val="nil"/>
              <w:bottom w:val="single" w:sz="4" w:space="0" w:color="auto"/>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hAnsi="Times New Roman" w:cs="Times New Roman"/>
                <w:color w:val="000000"/>
              </w:rPr>
              <w:t>0.99</w:t>
            </w:r>
          </w:p>
        </w:tc>
        <w:tc>
          <w:tcPr>
            <w:tcW w:w="1345" w:type="dxa"/>
            <w:tcBorders>
              <w:top w:val="nil"/>
              <w:left w:val="nil"/>
              <w:bottom w:val="single" w:sz="4" w:space="0" w:color="auto"/>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hAnsi="Times New Roman" w:cs="Times New Roman"/>
                <w:color w:val="000000"/>
              </w:rPr>
              <w:t>0.99</w:t>
            </w:r>
          </w:p>
        </w:tc>
        <w:tc>
          <w:tcPr>
            <w:tcW w:w="1259" w:type="dxa"/>
            <w:tcBorders>
              <w:top w:val="nil"/>
              <w:left w:val="nil"/>
              <w:bottom w:val="single" w:sz="4" w:space="0" w:color="auto"/>
              <w:right w:val="nil"/>
            </w:tcBorders>
            <w:shd w:val="clear" w:color="auto" w:fill="auto"/>
            <w:noWrap/>
            <w:vAlign w:val="bottom"/>
            <w:hideMark/>
          </w:tcPr>
          <w:p w:rsidR="00E14AF1" w:rsidRPr="00594940" w:rsidRDefault="00E14AF1" w:rsidP="003C7A19">
            <w:pPr>
              <w:spacing w:line="276" w:lineRule="auto"/>
              <w:ind w:left="709"/>
              <w:jc w:val="center"/>
              <w:rPr>
                <w:rFonts w:ascii="Times New Roman" w:eastAsia="Times New Roman" w:hAnsi="Times New Roman" w:cs="Times New Roman"/>
                <w:color w:val="000000"/>
                <w:lang w:eastAsia="en-US"/>
              </w:rPr>
            </w:pPr>
            <w:r w:rsidRPr="00594940">
              <w:rPr>
                <w:rFonts w:ascii="Times New Roman" w:hAnsi="Times New Roman" w:cs="Times New Roman"/>
                <w:color w:val="000000"/>
              </w:rPr>
              <w:t>1</w:t>
            </w:r>
          </w:p>
        </w:tc>
      </w:tr>
    </w:tbl>
    <w:p w:rsidR="00E14AF1" w:rsidRPr="00594940" w:rsidRDefault="00E14AF1" w:rsidP="003C7A19">
      <w:pPr>
        <w:spacing w:after="240" w:line="600" w:lineRule="auto"/>
        <w:jc w:val="both"/>
        <w:rPr>
          <w:rFonts w:ascii="Times New Roman" w:hAnsi="Times New Roman" w:cs="Times New Roman"/>
        </w:rPr>
      </w:pPr>
      <w:r w:rsidRPr="002A0CD8">
        <w:rPr>
          <w:rFonts w:ascii="Times New Roman" w:hAnsi="Times New Roman" w:cs="Times New Roman"/>
          <w:b/>
        </w:rPr>
        <w:t>Table S</w:t>
      </w:r>
      <w:r>
        <w:rPr>
          <w:rFonts w:ascii="Times New Roman" w:hAnsi="Times New Roman" w:cs="Times New Roman"/>
          <w:b/>
        </w:rPr>
        <w:t xml:space="preserve">2. </w:t>
      </w:r>
      <w:r>
        <w:rPr>
          <w:rFonts w:ascii="Times New Roman" w:hAnsi="Times New Roman" w:cs="Times New Roman"/>
        </w:rPr>
        <w:t>Correlation matrix for different inequality measures for the healthy length-of-life distributions. Source:</w:t>
      </w:r>
      <w:r w:rsidRPr="00226F77">
        <w:rPr>
          <w:rFonts w:ascii="Times New Roman" w:hAnsi="Times New Roman" w:cs="Times New Roman"/>
        </w:rPr>
        <w:t xml:space="preserve"> </w:t>
      </w:r>
      <w:r>
        <w:rPr>
          <w:rFonts w:ascii="Times New Roman" w:hAnsi="Times New Roman" w:cs="Times New Roman"/>
        </w:rPr>
        <w:t xml:space="preserve">Authors’ calculations based on INE’s 2014-17 death files and the 2014 and 2017 </w:t>
      </w:r>
      <w:r w:rsidRPr="00424036">
        <w:rPr>
          <w:rFonts w:ascii="Times New Roman" w:hAnsi="Times New Roman" w:cs="Times New Roman"/>
        </w:rPr>
        <w:t>SNHS.</w:t>
      </w:r>
    </w:p>
    <w:p w:rsidR="00E14AF1" w:rsidRPr="00594940" w:rsidRDefault="00E14AF1" w:rsidP="003C7A19">
      <w:pPr>
        <w:spacing w:after="240" w:line="600" w:lineRule="auto"/>
        <w:jc w:val="both"/>
        <w:rPr>
          <w:rFonts w:ascii="Times New Roman" w:hAnsi="Times New Roman" w:cs="Times New Roman"/>
          <w:i/>
        </w:rPr>
      </w:pPr>
      <w:r>
        <w:rPr>
          <w:rFonts w:ascii="Times New Roman" w:hAnsi="Times New Roman" w:cs="Times New Roman"/>
          <w:i/>
        </w:rPr>
        <w:t>2</w:t>
      </w:r>
      <w:r w:rsidRPr="00594940">
        <w:rPr>
          <w:rFonts w:ascii="Times New Roman" w:hAnsi="Times New Roman" w:cs="Times New Roman"/>
          <w:i/>
        </w:rPr>
        <w:t xml:space="preserve">. Using other </w:t>
      </w:r>
      <w:r>
        <w:rPr>
          <w:rFonts w:ascii="Times New Roman" w:hAnsi="Times New Roman" w:cs="Times New Roman"/>
          <w:i/>
        </w:rPr>
        <w:t>health outcome</w:t>
      </w:r>
      <w:r w:rsidRPr="00594940">
        <w:rPr>
          <w:rFonts w:ascii="Times New Roman" w:hAnsi="Times New Roman" w:cs="Times New Roman"/>
          <w:i/>
        </w:rPr>
        <w:t xml:space="preserve"> measures</w:t>
      </w:r>
    </w:p>
    <w:p w:rsidR="00E14AF1" w:rsidRDefault="00E14AF1" w:rsidP="003C7A19">
      <w:pPr>
        <w:spacing w:after="240" w:line="600" w:lineRule="auto"/>
        <w:jc w:val="both"/>
        <w:rPr>
          <w:rFonts w:ascii="Times New Roman" w:hAnsi="Times New Roman" w:cs="Times New Roman"/>
        </w:rPr>
      </w:pPr>
      <w:r>
        <w:rPr>
          <w:rFonts w:ascii="Times New Roman" w:hAnsi="Times New Roman" w:cs="Times New Roman"/>
        </w:rPr>
        <w:t xml:space="preserve">The ages at which disability starts deteriorating individuals’ health crucially depend on the indicator that </w:t>
      </w:r>
      <w:proofErr w:type="gramStart"/>
      <w:r>
        <w:rPr>
          <w:rFonts w:ascii="Times New Roman" w:hAnsi="Times New Roman" w:cs="Times New Roman"/>
        </w:rPr>
        <w:t>is chosen</w:t>
      </w:r>
      <w:proofErr w:type="gramEnd"/>
      <w:r>
        <w:rPr>
          <w:rFonts w:ascii="Times New Roman" w:hAnsi="Times New Roman" w:cs="Times New Roman"/>
        </w:rPr>
        <w:t xml:space="preserve"> to measure non-fatal outcomes. To check if our findings are robust to the choice of alternative measures, we replicate our main results table (the one reporting the values of the LE, HE, LI and HLI indicators across education groups and sexes in contemporary Spain) substituting the GALI indicator used in the main text by two other health outcome measures. The first one is ‘s</w:t>
      </w:r>
      <w:r w:rsidRPr="00747414">
        <w:rPr>
          <w:rFonts w:ascii="Times New Roman" w:hAnsi="Times New Roman" w:cs="Times New Roman"/>
        </w:rPr>
        <w:t>elf-perceived health</w:t>
      </w:r>
      <w:r>
        <w:rPr>
          <w:rFonts w:ascii="Times New Roman" w:hAnsi="Times New Roman" w:cs="Times New Roman"/>
        </w:rPr>
        <w:t xml:space="preserve">’, </w:t>
      </w:r>
      <w:r w:rsidRPr="00747414">
        <w:rPr>
          <w:rFonts w:ascii="Times New Roman" w:hAnsi="Times New Roman" w:cs="Times New Roman"/>
        </w:rPr>
        <w:t xml:space="preserve">a </w:t>
      </w:r>
      <w:r>
        <w:rPr>
          <w:rFonts w:ascii="Times New Roman" w:hAnsi="Times New Roman" w:cs="Times New Roman"/>
        </w:rPr>
        <w:t xml:space="preserve">frequently </w:t>
      </w:r>
      <w:r w:rsidRPr="00747414">
        <w:rPr>
          <w:rFonts w:ascii="Times New Roman" w:hAnsi="Times New Roman" w:cs="Times New Roman"/>
        </w:rPr>
        <w:t xml:space="preserve">used indicator for health </w:t>
      </w:r>
      <w:r>
        <w:rPr>
          <w:rFonts w:ascii="Times New Roman" w:hAnsi="Times New Roman" w:cs="Times New Roman"/>
        </w:rPr>
        <w:t xml:space="preserve">that </w:t>
      </w:r>
      <w:r w:rsidRPr="00747414">
        <w:rPr>
          <w:rFonts w:ascii="Times New Roman" w:hAnsi="Times New Roman" w:cs="Times New Roman"/>
        </w:rPr>
        <w:t>deals with the subjective assessment that a person makes about one’s own health state</w:t>
      </w:r>
      <w:r>
        <w:rPr>
          <w:rFonts w:ascii="Times New Roman" w:hAnsi="Times New Roman" w:cs="Times New Roman"/>
        </w:rPr>
        <w:t xml:space="preserve">. It </w:t>
      </w:r>
      <w:r w:rsidRPr="00747414">
        <w:rPr>
          <w:rFonts w:ascii="Times New Roman" w:hAnsi="Times New Roman" w:cs="Times New Roman"/>
        </w:rPr>
        <w:t>serves as an independent predictor for morbidity, health service use and mortality</w:t>
      </w:r>
      <w:r>
        <w:rPr>
          <w:rFonts w:ascii="Times New Roman" w:hAnsi="Times New Roman" w:cs="Times New Roman"/>
        </w:rPr>
        <w:t>,</w:t>
      </w:r>
      <w:r w:rsidRPr="00747414">
        <w:rPr>
          <w:rFonts w:ascii="Times New Roman" w:hAnsi="Times New Roman" w:cs="Times New Roman"/>
        </w:rPr>
        <w:t xml:space="preserve"> and </w:t>
      </w:r>
      <w:proofErr w:type="gramStart"/>
      <w:r>
        <w:rPr>
          <w:rFonts w:ascii="Times New Roman" w:hAnsi="Times New Roman" w:cs="Times New Roman"/>
        </w:rPr>
        <w:t xml:space="preserve">has </w:t>
      </w:r>
      <w:r w:rsidRPr="00747414">
        <w:rPr>
          <w:rFonts w:ascii="Times New Roman" w:hAnsi="Times New Roman" w:cs="Times New Roman"/>
        </w:rPr>
        <w:t xml:space="preserve">often </w:t>
      </w:r>
      <w:r>
        <w:rPr>
          <w:rFonts w:ascii="Times New Roman" w:hAnsi="Times New Roman" w:cs="Times New Roman"/>
        </w:rPr>
        <w:t xml:space="preserve">been </w:t>
      </w:r>
      <w:r w:rsidRPr="00747414">
        <w:rPr>
          <w:rFonts w:ascii="Times New Roman" w:hAnsi="Times New Roman" w:cs="Times New Roman"/>
        </w:rPr>
        <w:t>used</w:t>
      </w:r>
      <w:proofErr w:type="gramEnd"/>
      <w:r w:rsidRPr="00747414">
        <w:rPr>
          <w:rFonts w:ascii="Times New Roman" w:hAnsi="Times New Roman" w:cs="Times New Roman"/>
        </w:rPr>
        <w:t xml:space="preserve"> as an indicator to compute healthy life expectancy</w:t>
      </w:r>
      <w:r>
        <w:rPr>
          <w:rFonts w:ascii="Times New Roman" w:hAnsi="Times New Roman" w:cs="Times New Roman"/>
          <w:vertAlign w:val="superscript"/>
        </w:rPr>
        <w:t>2</w:t>
      </w:r>
      <w:r>
        <w:rPr>
          <w:rFonts w:ascii="Times New Roman" w:hAnsi="Times New Roman" w:cs="Times New Roman"/>
        </w:rPr>
        <w:t>.  The individual’s status of s</w:t>
      </w:r>
      <w:r w:rsidRPr="00747414">
        <w:rPr>
          <w:rFonts w:ascii="Times New Roman" w:hAnsi="Times New Roman" w:cs="Times New Roman"/>
        </w:rPr>
        <w:t>elf-</w:t>
      </w:r>
      <w:r>
        <w:rPr>
          <w:rFonts w:ascii="Times New Roman" w:hAnsi="Times New Roman" w:cs="Times New Roman"/>
        </w:rPr>
        <w:t>perceived</w:t>
      </w:r>
      <w:r w:rsidRPr="00747414">
        <w:rPr>
          <w:rFonts w:ascii="Times New Roman" w:hAnsi="Times New Roman" w:cs="Times New Roman"/>
        </w:rPr>
        <w:t xml:space="preserve"> health is measured with the SNHS </w:t>
      </w:r>
      <w:r w:rsidRPr="00747414">
        <w:rPr>
          <w:rFonts w:ascii="Times New Roman" w:hAnsi="Times New Roman" w:cs="Times New Roman"/>
        </w:rPr>
        <w:lastRenderedPageBreak/>
        <w:t>question ‘How is your health in general?</w:t>
      </w:r>
      <w:proofErr w:type="gramStart"/>
      <w:r w:rsidRPr="00747414">
        <w:rPr>
          <w:rFonts w:ascii="Times New Roman" w:hAnsi="Times New Roman" w:cs="Times New Roman"/>
        </w:rPr>
        <w:t>’</w:t>
      </w:r>
      <w:r>
        <w:rPr>
          <w:rFonts w:ascii="Times New Roman" w:hAnsi="Times New Roman" w:cs="Times New Roman"/>
        </w:rPr>
        <w:t>.</w:t>
      </w:r>
      <w:proofErr w:type="gramEnd"/>
      <w:r w:rsidRPr="00747414">
        <w:rPr>
          <w:rFonts w:ascii="Times New Roman" w:hAnsi="Times New Roman" w:cs="Times New Roman"/>
        </w:rPr>
        <w:t xml:space="preserve"> For the purpose of the exercise the possible answers “very good”, “good”, “regular”, “bad” and “very bad” were </w:t>
      </w:r>
      <w:proofErr w:type="spellStart"/>
      <w:r w:rsidRPr="00747414">
        <w:rPr>
          <w:rFonts w:ascii="Times New Roman" w:hAnsi="Times New Roman" w:cs="Times New Roman"/>
        </w:rPr>
        <w:t>dichotomised</w:t>
      </w:r>
      <w:proofErr w:type="spellEnd"/>
      <w:r w:rsidRPr="00747414">
        <w:rPr>
          <w:rFonts w:ascii="Times New Roman" w:hAnsi="Times New Roman" w:cs="Times New Roman"/>
        </w:rPr>
        <w:t xml:space="preserve"> into </w:t>
      </w:r>
      <w:r>
        <w:rPr>
          <w:rFonts w:ascii="Times New Roman" w:hAnsi="Times New Roman" w:cs="Times New Roman"/>
        </w:rPr>
        <w:t>“</w:t>
      </w:r>
      <w:r w:rsidRPr="00747414">
        <w:rPr>
          <w:rFonts w:ascii="Times New Roman" w:hAnsi="Times New Roman" w:cs="Times New Roman"/>
        </w:rPr>
        <w:t>good health</w:t>
      </w:r>
      <w:r>
        <w:rPr>
          <w:rFonts w:ascii="Times New Roman" w:hAnsi="Times New Roman" w:cs="Times New Roman"/>
        </w:rPr>
        <w:t>”</w:t>
      </w:r>
      <w:r w:rsidRPr="00747414">
        <w:rPr>
          <w:rFonts w:ascii="Times New Roman" w:hAnsi="Times New Roman" w:cs="Times New Roman"/>
        </w:rPr>
        <w:t xml:space="preserve"> (combining “good” and “very good” health) and </w:t>
      </w:r>
      <w:r>
        <w:rPr>
          <w:rFonts w:ascii="Times New Roman" w:hAnsi="Times New Roman" w:cs="Times New Roman"/>
        </w:rPr>
        <w:t>“</w:t>
      </w:r>
      <w:r w:rsidRPr="00747414">
        <w:rPr>
          <w:rFonts w:ascii="Times New Roman" w:hAnsi="Times New Roman" w:cs="Times New Roman"/>
        </w:rPr>
        <w:t>less than good health</w:t>
      </w:r>
      <w:r>
        <w:rPr>
          <w:rFonts w:ascii="Times New Roman" w:hAnsi="Times New Roman" w:cs="Times New Roman"/>
        </w:rPr>
        <w:t>”</w:t>
      </w:r>
      <w:r w:rsidRPr="00747414">
        <w:rPr>
          <w:rFonts w:ascii="Times New Roman" w:hAnsi="Times New Roman" w:cs="Times New Roman"/>
        </w:rPr>
        <w:t xml:space="preserve"> (combining “fair”, “bad” and “very bad” health). </w:t>
      </w:r>
      <w:r>
        <w:rPr>
          <w:rFonts w:ascii="Times New Roman" w:hAnsi="Times New Roman" w:cs="Times New Roman"/>
        </w:rPr>
        <w:t xml:space="preserve">The results for the ‘self-perceived less than good health’ indicator </w:t>
      </w:r>
      <w:proofErr w:type="gramStart"/>
      <w:r>
        <w:rPr>
          <w:rFonts w:ascii="Times New Roman" w:hAnsi="Times New Roman" w:cs="Times New Roman"/>
        </w:rPr>
        <w:t>are shown</w:t>
      </w:r>
      <w:proofErr w:type="gramEnd"/>
      <w:r>
        <w:rPr>
          <w:rFonts w:ascii="Times New Roman" w:hAnsi="Times New Roman" w:cs="Times New Roman"/>
        </w:rPr>
        <w:t xml:space="preserve"> below. </w:t>
      </w:r>
    </w:p>
    <w:tbl>
      <w:tblPr>
        <w:tblW w:w="9540" w:type="dxa"/>
        <w:tblInd w:w="-577" w:type="dxa"/>
        <w:tblCellMar>
          <w:left w:w="70" w:type="dxa"/>
          <w:right w:w="70" w:type="dxa"/>
        </w:tblCellMar>
        <w:tblLook w:val="04A0" w:firstRow="1" w:lastRow="0" w:firstColumn="1" w:lastColumn="0" w:noHBand="0" w:noVBand="1"/>
      </w:tblPr>
      <w:tblGrid>
        <w:gridCol w:w="1060"/>
        <w:gridCol w:w="1060"/>
        <w:gridCol w:w="1060"/>
        <w:gridCol w:w="1060"/>
        <w:gridCol w:w="1060"/>
        <w:gridCol w:w="1060"/>
        <w:gridCol w:w="1060"/>
        <w:gridCol w:w="1060"/>
        <w:gridCol w:w="1060"/>
      </w:tblGrid>
      <w:tr w:rsidR="00E14AF1" w:rsidRPr="000113C4" w:rsidTr="007F37A3">
        <w:trPr>
          <w:trHeight w:val="340"/>
        </w:trPr>
        <w:tc>
          <w:tcPr>
            <w:tcW w:w="1060" w:type="dxa"/>
            <w:tcBorders>
              <w:top w:val="single" w:sz="8" w:space="0" w:color="auto"/>
              <w:left w:val="single" w:sz="8" w:space="0" w:color="auto"/>
              <w:bottom w:val="nil"/>
              <w:right w:val="single" w:sz="8" w:space="0" w:color="auto"/>
            </w:tcBorders>
            <w:shd w:val="clear" w:color="auto" w:fill="auto"/>
            <w:vAlign w:val="center"/>
            <w:hideMark/>
          </w:tcPr>
          <w:p w:rsidR="00E14AF1" w:rsidRPr="002F0B8A" w:rsidRDefault="00E14AF1" w:rsidP="003C7A19">
            <w:pPr>
              <w:spacing w:line="276" w:lineRule="auto"/>
              <w:jc w:val="both"/>
              <w:rPr>
                <w:rFonts w:ascii="Times New Roman" w:eastAsia="Times New Roman" w:hAnsi="Times New Roman" w:cs="Times New Roman"/>
                <w:color w:val="000000"/>
              </w:rPr>
            </w:pPr>
            <w:r w:rsidRPr="002F0B8A">
              <w:rPr>
                <w:rFonts w:ascii="Times New Roman" w:eastAsia="Times New Roman" w:hAnsi="Times New Roman" w:cs="Times New Roman"/>
                <w:color w:val="000000"/>
              </w:rPr>
              <w:t> </w:t>
            </w:r>
          </w:p>
        </w:tc>
        <w:tc>
          <w:tcPr>
            <w:tcW w:w="8480" w:type="dxa"/>
            <w:gridSpan w:val="8"/>
            <w:tcBorders>
              <w:top w:val="single" w:sz="8" w:space="0" w:color="auto"/>
              <w:left w:val="nil"/>
              <w:bottom w:val="single" w:sz="8" w:space="0" w:color="auto"/>
              <w:right w:val="single" w:sz="8" w:space="0" w:color="000000"/>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 xml:space="preserve">Mean </w:t>
            </w:r>
            <w:proofErr w:type="spellStart"/>
            <w:r w:rsidRPr="000113C4">
              <w:rPr>
                <w:rFonts w:ascii="Times New Roman" w:eastAsia="Times New Roman" w:hAnsi="Times New Roman" w:cs="Times New Roman"/>
                <w:color w:val="000000"/>
                <w:lang w:val="es-ES_tradnl"/>
              </w:rPr>
              <w:t>health</w:t>
            </w:r>
            <w:proofErr w:type="spellEnd"/>
            <w:r w:rsidRPr="000113C4">
              <w:rPr>
                <w:rFonts w:ascii="Times New Roman" w:eastAsia="Times New Roman" w:hAnsi="Times New Roman" w:cs="Times New Roman"/>
                <w:color w:val="000000"/>
                <w:lang w:val="es-ES_tradnl"/>
              </w:rPr>
              <w:t xml:space="preserve"> </w:t>
            </w:r>
            <w:proofErr w:type="spellStart"/>
            <w:r w:rsidRPr="000113C4">
              <w:rPr>
                <w:rFonts w:ascii="Times New Roman" w:eastAsia="Times New Roman" w:hAnsi="Times New Roman" w:cs="Times New Roman"/>
                <w:color w:val="000000"/>
                <w:lang w:val="es-ES_tradnl"/>
              </w:rPr>
              <w:t>indicators</w:t>
            </w:r>
            <w:proofErr w:type="spellEnd"/>
          </w:p>
        </w:tc>
      </w:tr>
      <w:tr w:rsidR="00E14AF1" w:rsidRPr="000113C4" w:rsidTr="007F37A3">
        <w:trPr>
          <w:trHeight w:val="690"/>
        </w:trPr>
        <w:tc>
          <w:tcPr>
            <w:tcW w:w="1060" w:type="dxa"/>
            <w:vMerge w:val="restart"/>
            <w:tcBorders>
              <w:top w:val="nil"/>
              <w:left w:val="single" w:sz="8" w:space="0" w:color="auto"/>
              <w:bottom w:val="nil"/>
              <w:right w:val="single" w:sz="8" w:space="0" w:color="auto"/>
            </w:tcBorders>
            <w:shd w:val="clear" w:color="auto" w:fill="auto"/>
            <w:vAlign w:val="center"/>
            <w:hideMark/>
          </w:tcPr>
          <w:p w:rsidR="00E14AF1" w:rsidRPr="000113C4" w:rsidRDefault="00E14AF1" w:rsidP="003C7A19">
            <w:pPr>
              <w:spacing w:line="276" w:lineRule="auto"/>
              <w:jc w:val="both"/>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 </w:t>
            </w:r>
          </w:p>
        </w:tc>
        <w:tc>
          <w:tcPr>
            <w:tcW w:w="4240"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Life</w:t>
            </w:r>
            <w:proofErr w:type="spellEnd"/>
            <w:r w:rsidRPr="000113C4">
              <w:rPr>
                <w:rFonts w:ascii="Times New Roman" w:eastAsia="Times New Roman" w:hAnsi="Times New Roman" w:cs="Times New Roman"/>
                <w:color w:val="000000"/>
                <w:lang w:val="es-ES_tradnl"/>
              </w:rPr>
              <w:t xml:space="preserve"> </w:t>
            </w:r>
            <w:proofErr w:type="spellStart"/>
            <w:r w:rsidRPr="000113C4">
              <w:rPr>
                <w:rFonts w:ascii="Times New Roman" w:eastAsia="Times New Roman" w:hAnsi="Times New Roman" w:cs="Times New Roman"/>
                <w:color w:val="000000"/>
                <w:lang w:val="es-ES_tradnl"/>
              </w:rPr>
              <w:t>expectancy</w:t>
            </w:r>
            <w:proofErr w:type="spellEnd"/>
            <w:r w:rsidRPr="000113C4">
              <w:rPr>
                <w:rFonts w:ascii="Times New Roman" w:eastAsia="Times New Roman" w:hAnsi="Times New Roman" w:cs="Times New Roman"/>
                <w:color w:val="000000"/>
                <w:lang w:val="es-ES_tradnl"/>
              </w:rPr>
              <w:t xml:space="preserve"> (LE)</w:t>
            </w:r>
          </w:p>
        </w:tc>
        <w:tc>
          <w:tcPr>
            <w:tcW w:w="4240"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Healthy</w:t>
            </w:r>
            <w:proofErr w:type="spellEnd"/>
            <w:r w:rsidRPr="000113C4">
              <w:rPr>
                <w:rFonts w:ascii="Times New Roman" w:eastAsia="Times New Roman" w:hAnsi="Times New Roman" w:cs="Times New Roman"/>
                <w:color w:val="000000"/>
                <w:lang w:val="es-ES_tradnl"/>
              </w:rPr>
              <w:t xml:space="preserve"> </w:t>
            </w:r>
            <w:proofErr w:type="spellStart"/>
            <w:r w:rsidRPr="000113C4">
              <w:rPr>
                <w:rFonts w:ascii="Times New Roman" w:eastAsia="Times New Roman" w:hAnsi="Times New Roman" w:cs="Times New Roman"/>
                <w:color w:val="000000"/>
                <w:lang w:val="es-ES_tradnl"/>
              </w:rPr>
              <w:t>life</w:t>
            </w:r>
            <w:proofErr w:type="spellEnd"/>
            <w:r w:rsidRPr="000113C4">
              <w:rPr>
                <w:rFonts w:ascii="Times New Roman" w:eastAsia="Times New Roman" w:hAnsi="Times New Roman" w:cs="Times New Roman"/>
                <w:color w:val="000000"/>
                <w:lang w:val="es-ES_tradnl"/>
              </w:rPr>
              <w:t xml:space="preserve"> </w:t>
            </w:r>
            <w:proofErr w:type="spellStart"/>
            <w:r w:rsidRPr="000113C4">
              <w:rPr>
                <w:rFonts w:ascii="Times New Roman" w:eastAsia="Times New Roman" w:hAnsi="Times New Roman" w:cs="Times New Roman"/>
                <w:color w:val="000000"/>
                <w:lang w:val="es-ES_tradnl"/>
              </w:rPr>
              <w:t>expectancy</w:t>
            </w:r>
            <w:proofErr w:type="spellEnd"/>
            <w:r w:rsidRPr="000113C4">
              <w:rPr>
                <w:rFonts w:ascii="Times New Roman" w:eastAsia="Times New Roman" w:hAnsi="Times New Roman" w:cs="Times New Roman"/>
                <w:color w:val="000000"/>
                <w:lang w:val="es-ES_tradnl"/>
              </w:rPr>
              <w:t xml:space="preserve"> (HE)</w:t>
            </w:r>
          </w:p>
        </w:tc>
      </w:tr>
      <w:tr w:rsidR="00E14AF1" w:rsidRPr="000113C4" w:rsidTr="007F37A3">
        <w:trPr>
          <w:trHeight w:val="537"/>
        </w:trPr>
        <w:tc>
          <w:tcPr>
            <w:tcW w:w="1060" w:type="dxa"/>
            <w:vMerge/>
            <w:tcBorders>
              <w:top w:val="nil"/>
              <w:left w:val="single" w:sz="8" w:space="0" w:color="auto"/>
              <w:bottom w:val="nil"/>
              <w:right w:val="single" w:sz="8" w:space="0" w:color="auto"/>
            </w:tcBorders>
            <w:vAlign w:val="center"/>
            <w:hideMark/>
          </w:tcPr>
          <w:p w:rsidR="00E14AF1" w:rsidRPr="000113C4" w:rsidRDefault="00E14AF1" w:rsidP="003C7A19">
            <w:pPr>
              <w:spacing w:line="276" w:lineRule="auto"/>
              <w:rPr>
                <w:rFonts w:ascii="Times New Roman" w:eastAsia="Times New Roman" w:hAnsi="Times New Roman" w:cs="Times New Roman"/>
                <w:color w:val="000000"/>
                <w:lang w:val="es-ES_tradnl"/>
              </w:rPr>
            </w:pPr>
          </w:p>
        </w:tc>
        <w:tc>
          <w:tcPr>
            <w:tcW w:w="4240" w:type="dxa"/>
            <w:gridSpan w:val="4"/>
            <w:vMerge/>
            <w:tcBorders>
              <w:top w:val="single" w:sz="8" w:space="0" w:color="auto"/>
              <w:left w:val="single" w:sz="8" w:space="0" w:color="auto"/>
              <w:bottom w:val="single" w:sz="8" w:space="0" w:color="000000"/>
              <w:right w:val="single" w:sz="8" w:space="0" w:color="000000"/>
            </w:tcBorders>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
        </w:tc>
        <w:tc>
          <w:tcPr>
            <w:tcW w:w="4240" w:type="dxa"/>
            <w:gridSpan w:val="4"/>
            <w:vMerge/>
            <w:tcBorders>
              <w:top w:val="single" w:sz="8" w:space="0" w:color="auto"/>
              <w:left w:val="single" w:sz="8" w:space="0" w:color="auto"/>
              <w:bottom w:val="single" w:sz="8" w:space="0" w:color="000000"/>
              <w:right w:val="single" w:sz="8" w:space="0" w:color="000000"/>
            </w:tcBorders>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
        </w:tc>
      </w:tr>
      <w:tr w:rsidR="00E14AF1" w:rsidRPr="000113C4" w:rsidTr="007F37A3">
        <w:trPr>
          <w:trHeight w:val="340"/>
        </w:trPr>
        <w:tc>
          <w:tcPr>
            <w:tcW w:w="1060" w:type="dxa"/>
            <w:tcBorders>
              <w:top w:val="nil"/>
              <w:left w:val="single" w:sz="8" w:space="0" w:color="auto"/>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both"/>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 </w:t>
            </w:r>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Low</w:t>
            </w:r>
            <w:proofErr w:type="spellEnd"/>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M</w:t>
            </w:r>
            <w:r w:rsidR="00DE249E">
              <w:rPr>
                <w:rFonts w:ascii="Times New Roman" w:eastAsia="Times New Roman" w:hAnsi="Times New Roman" w:cs="Times New Roman"/>
                <w:color w:val="000000"/>
                <w:lang w:val="es-ES_tradnl"/>
              </w:rPr>
              <w:t>e</w:t>
            </w:r>
            <w:r w:rsidRPr="000113C4">
              <w:rPr>
                <w:rFonts w:ascii="Times New Roman" w:eastAsia="Times New Roman" w:hAnsi="Times New Roman" w:cs="Times New Roman"/>
                <w:color w:val="000000"/>
                <w:lang w:val="es-ES_tradnl"/>
              </w:rPr>
              <w:t>d</w:t>
            </w:r>
            <w:proofErr w:type="spellEnd"/>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High</w:t>
            </w:r>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Total</w:t>
            </w:r>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Low</w:t>
            </w:r>
            <w:proofErr w:type="spellEnd"/>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M</w:t>
            </w:r>
            <w:r w:rsidR="00DE249E">
              <w:rPr>
                <w:rFonts w:ascii="Times New Roman" w:eastAsia="Times New Roman" w:hAnsi="Times New Roman" w:cs="Times New Roman"/>
                <w:color w:val="000000"/>
                <w:lang w:val="es-ES_tradnl"/>
              </w:rPr>
              <w:t>e</w:t>
            </w:r>
            <w:r w:rsidRPr="000113C4">
              <w:rPr>
                <w:rFonts w:ascii="Times New Roman" w:eastAsia="Times New Roman" w:hAnsi="Times New Roman" w:cs="Times New Roman"/>
                <w:color w:val="000000"/>
                <w:lang w:val="es-ES_tradnl"/>
              </w:rPr>
              <w:t>d</w:t>
            </w:r>
            <w:proofErr w:type="spellEnd"/>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High</w:t>
            </w:r>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Total</w:t>
            </w:r>
          </w:p>
        </w:tc>
      </w:tr>
      <w:tr w:rsidR="00E14AF1" w:rsidRPr="000113C4" w:rsidTr="007F37A3">
        <w:trPr>
          <w:trHeight w:val="340"/>
        </w:trPr>
        <w:tc>
          <w:tcPr>
            <w:tcW w:w="1060" w:type="dxa"/>
            <w:tcBorders>
              <w:top w:val="nil"/>
              <w:left w:val="single" w:sz="8" w:space="0" w:color="auto"/>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both"/>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Women</w:t>
            </w:r>
            <w:proofErr w:type="spellEnd"/>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44</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5</w:t>
            </w:r>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46</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3</w:t>
            </w:r>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46</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9</w:t>
            </w:r>
          </w:p>
        </w:tc>
        <w:tc>
          <w:tcPr>
            <w:tcW w:w="1060" w:type="dxa"/>
            <w:tcBorders>
              <w:top w:val="nil"/>
              <w:left w:val="nil"/>
              <w:bottom w:val="nil"/>
              <w:right w:val="single" w:sz="4" w:space="0" w:color="auto"/>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46</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4</w:t>
            </w:r>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19</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2</w:t>
            </w:r>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25</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8</w:t>
            </w:r>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33</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3</w:t>
            </w:r>
          </w:p>
        </w:tc>
        <w:tc>
          <w:tcPr>
            <w:tcW w:w="1060" w:type="dxa"/>
            <w:tcBorders>
              <w:top w:val="nil"/>
              <w:left w:val="nil"/>
              <w:bottom w:val="nil"/>
              <w:right w:val="single" w:sz="4" w:space="0" w:color="auto"/>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27</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2</w:t>
            </w:r>
          </w:p>
        </w:tc>
      </w:tr>
      <w:tr w:rsidR="00E14AF1" w:rsidRPr="000113C4" w:rsidTr="007F37A3">
        <w:trPr>
          <w:trHeight w:val="340"/>
        </w:trPr>
        <w:tc>
          <w:tcPr>
            <w:tcW w:w="1060" w:type="dxa"/>
            <w:tcBorders>
              <w:top w:val="nil"/>
              <w:left w:val="single" w:sz="8" w:space="0" w:color="auto"/>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both"/>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Men</w:t>
            </w:r>
            <w:proofErr w:type="spellEnd"/>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40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4</w:t>
            </w:r>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42</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5</w:t>
            </w:r>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44</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3</w:t>
            </w:r>
          </w:p>
        </w:tc>
        <w:tc>
          <w:tcPr>
            <w:tcW w:w="1060" w:type="dxa"/>
            <w:tcBorders>
              <w:top w:val="nil"/>
              <w:left w:val="nil"/>
              <w:bottom w:val="single" w:sz="8" w:space="0" w:color="auto"/>
              <w:right w:val="single" w:sz="4" w:space="0" w:color="auto"/>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43</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1</w:t>
            </w:r>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21</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2</w:t>
            </w:r>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27</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2</w:t>
            </w:r>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32</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6</w:t>
            </w:r>
          </w:p>
        </w:tc>
        <w:tc>
          <w:tcPr>
            <w:tcW w:w="1060" w:type="dxa"/>
            <w:tcBorders>
              <w:top w:val="nil"/>
              <w:left w:val="nil"/>
              <w:bottom w:val="single" w:sz="8" w:space="0" w:color="auto"/>
              <w:right w:val="single" w:sz="4" w:space="0" w:color="auto"/>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28</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8</w:t>
            </w:r>
          </w:p>
        </w:tc>
      </w:tr>
      <w:tr w:rsidR="00E14AF1" w:rsidRPr="000113C4" w:rsidTr="007F37A3">
        <w:trPr>
          <w:trHeight w:val="340"/>
        </w:trPr>
        <w:tc>
          <w:tcPr>
            <w:tcW w:w="1060" w:type="dxa"/>
            <w:tcBorders>
              <w:top w:val="nil"/>
              <w:left w:val="single" w:sz="8" w:space="0" w:color="auto"/>
              <w:bottom w:val="nil"/>
              <w:right w:val="single" w:sz="8" w:space="0" w:color="auto"/>
            </w:tcBorders>
            <w:shd w:val="clear" w:color="auto" w:fill="auto"/>
            <w:vAlign w:val="center"/>
            <w:hideMark/>
          </w:tcPr>
          <w:p w:rsidR="00E14AF1" w:rsidRPr="000113C4" w:rsidRDefault="00E14AF1" w:rsidP="003C7A19">
            <w:pPr>
              <w:spacing w:line="276" w:lineRule="auto"/>
              <w:jc w:val="both"/>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 </w:t>
            </w:r>
          </w:p>
        </w:tc>
        <w:tc>
          <w:tcPr>
            <w:tcW w:w="8480" w:type="dxa"/>
            <w:gridSpan w:val="8"/>
            <w:tcBorders>
              <w:top w:val="single" w:sz="8" w:space="0" w:color="auto"/>
              <w:left w:val="nil"/>
              <w:bottom w:val="single" w:sz="8" w:space="0" w:color="auto"/>
              <w:right w:val="single" w:sz="8" w:space="0" w:color="000000"/>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Health</w:t>
            </w:r>
            <w:proofErr w:type="spellEnd"/>
            <w:r w:rsidRPr="000113C4">
              <w:rPr>
                <w:rFonts w:ascii="Times New Roman" w:eastAsia="Times New Roman" w:hAnsi="Times New Roman" w:cs="Times New Roman"/>
                <w:color w:val="000000"/>
                <w:lang w:val="es-ES_tradnl"/>
              </w:rPr>
              <w:t xml:space="preserve"> </w:t>
            </w:r>
            <w:proofErr w:type="spellStart"/>
            <w:r w:rsidRPr="000113C4">
              <w:rPr>
                <w:rFonts w:ascii="Times New Roman" w:eastAsia="Times New Roman" w:hAnsi="Times New Roman" w:cs="Times New Roman"/>
                <w:color w:val="000000"/>
                <w:lang w:val="es-ES_tradnl"/>
              </w:rPr>
              <w:t>inequality</w:t>
            </w:r>
            <w:proofErr w:type="spellEnd"/>
            <w:r w:rsidRPr="000113C4">
              <w:rPr>
                <w:rFonts w:ascii="Times New Roman" w:eastAsia="Times New Roman" w:hAnsi="Times New Roman" w:cs="Times New Roman"/>
                <w:color w:val="000000"/>
                <w:lang w:val="es-ES_tradnl"/>
              </w:rPr>
              <w:t xml:space="preserve"> </w:t>
            </w:r>
            <w:proofErr w:type="spellStart"/>
            <w:r w:rsidRPr="000113C4">
              <w:rPr>
                <w:rFonts w:ascii="Times New Roman" w:eastAsia="Times New Roman" w:hAnsi="Times New Roman" w:cs="Times New Roman"/>
                <w:color w:val="000000"/>
                <w:lang w:val="es-ES_tradnl"/>
              </w:rPr>
              <w:t>indicators</w:t>
            </w:r>
            <w:proofErr w:type="spellEnd"/>
          </w:p>
        </w:tc>
      </w:tr>
      <w:tr w:rsidR="00E14AF1" w:rsidRPr="000113C4" w:rsidTr="007F37A3">
        <w:trPr>
          <w:trHeight w:val="690"/>
        </w:trPr>
        <w:tc>
          <w:tcPr>
            <w:tcW w:w="1060" w:type="dxa"/>
            <w:vMerge w:val="restart"/>
            <w:tcBorders>
              <w:top w:val="nil"/>
              <w:left w:val="single" w:sz="8" w:space="0" w:color="auto"/>
              <w:bottom w:val="nil"/>
              <w:right w:val="single" w:sz="8" w:space="0" w:color="auto"/>
            </w:tcBorders>
            <w:shd w:val="clear" w:color="auto" w:fill="auto"/>
            <w:vAlign w:val="center"/>
            <w:hideMark/>
          </w:tcPr>
          <w:p w:rsidR="00E14AF1" w:rsidRPr="000113C4" w:rsidRDefault="00E14AF1" w:rsidP="003C7A19">
            <w:pPr>
              <w:spacing w:line="276" w:lineRule="auto"/>
              <w:jc w:val="both"/>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 </w:t>
            </w:r>
          </w:p>
        </w:tc>
        <w:tc>
          <w:tcPr>
            <w:tcW w:w="4240"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Lifespan</w:t>
            </w:r>
            <w:proofErr w:type="spellEnd"/>
            <w:r w:rsidRPr="000113C4">
              <w:rPr>
                <w:rFonts w:ascii="Times New Roman" w:eastAsia="Times New Roman" w:hAnsi="Times New Roman" w:cs="Times New Roman"/>
                <w:color w:val="000000"/>
                <w:lang w:val="es-ES_tradnl"/>
              </w:rPr>
              <w:t xml:space="preserve"> </w:t>
            </w:r>
            <w:proofErr w:type="spellStart"/>
            <w:r w:rsidRPr="000113C4">
              <w:rPr>
                <w:rFonts w:ascii="Times New Roman" w:eastAsia="Times New Roman" w:hAnsi="Times New Roman" w:cs="Times New Roman"/>
                <w:color w:val="000000"/>
                <w:lang w:val="es-ES_tradnl"/>
              </w:rPr>
              <w:t>inequality</w:t>
            </w:r>
            <w:proofErr w:type="spellEnd"/>
            <w:r w:rsidRPr="000113C4">
              <w:rPr>
                <w:rFonts w:ascii="Times New Roman" w:eastAsia="Times New Roman" w:hAnsi="Times New Roman" w:cs="Times New Roman"/>
                <w:color w:val="000000"/>
                <w:lang w:val="es-ES_tradnl"/>
              </w:rPr>
              <w:t xml:space="preserve"> (LI) </w:t>
            </w:r>
            <w:proofErr w:type="spellStart"/>
            <w:r w:rsidRPr="000113C4">
              <w:rPr>
                <w:rFonts w:ascii="Times New Roman" w:eastAsia="Times New Roman" w:hAnsi="Times New Roman" w:cs="Times New Roman"/>
                <w:color w:val="000000"/>
                <w:lang w:val="es-ES_tradnl"/>
              </w:rPr>
              <w:t>Gini</w:t>
            </w:r>
            <w:proofErr w:type="spellEnd"/>
          </w:p>
        </w:tc>
        <w:tc>
          <w:tcPr>
            <w:tcW w:w="4240" w:type="dxa"/>
            <w:gridSpan w:val="4"/>
            <w:vMerge w:val="restart"/>
            <w:tcBorders>
              <w:top w:val="single" w:sz="8" w:space="0" w:color="auto"/>
              <w:left w:val="single" w:sz="8" w:space="0" w:color="auto"/>
              <w:bottom w:val="single" w:sz="8" w:space="0" w:color="000000"/>
              <w:right w:val="single" w:sz="8" w:space="0" w:color="000000"/>
            </w:tcBorders>
            <w:shd w:val="clear" w:color="000000" w:fill="D9D9D9"/>
            <w:vAlign w:val="center"/>
            <w:hideMark/>
          </w:tcPr>
          <w:p w:rsidR="00E14AF1" w:rsidRPr="002F0B8A" w:rsidRDefault="00E14AF1" w:rsidP="003C7A19">
            <w:pPr>
              <w:spacing w:line="276" w:lineRule="auto"/>
              <w:jc w:val="center"/>
              <w:rPr>
                <w:rFonts w:ascii="Times New Roman" w:eastAsia="Times New Roman" w:hAnsi="Times New Roman" w:cs="Times New Roman"/>
                <w:color w:val="000000"/>
              </w:rPr>
            </w:pPr>
            <w:r w:rsidRPr="002F0B8A">
              <w:rPr>
                <w:rFonts w:ascii="Times New Roman" w:eastAsia="Times New Roman" w:hAnsi="Times New Roman" w:cs="Times New Roman"/>
                <w:color w:val="000000"/>
              </w:rPr>
              <w:t>Healthy lifespan inequality (HLI) Gini</w:t>
            </w:r>
          </w:p>
        </w:tc>
      </w:tr>
      <w:tr w:rsidR="00E14AF1" w:rsidRPr="000113C4" w:rsidTr="007F37A3">
        <w:trPr>
          <w:trHeight w:val="537"/>
        </w:trPr>
        <w:tc>
          <w:tcPr>
            <w:tcW w:w="1060" w:type="dxa"/>
            <w:vMerge/>
            <w:tcBorders>
              <w:top w:val="nil"/>
              <w:left w:val="single" w:sz="8" w:space="0" w:color="auto"/>
              <w:bottom w:val="nil"/>
              <w:right w:val="single" w:sz="8" w:space="0" w:color="auto"/>
            </w:tcBorders>
            <w:vAlign w:val="center"/>
            <w:hideMark/>
          </w:tcPr>
          <w:p w:rsidR="00E14AF1" w:rsidRPr="002F0B8A" w:rsidRDefault="00E14AF1" w:rsidP="003C7A19">
            <w:pPr>
              <w:spacing w:line="276" w:lineRule="auto"/>
              <w:rPr>
                <w:rFonts w:ascii="Times New Roman" w:eastAsia="Times New Roman" w:hAnsi="Times New Roman" w:cs="Times New Roman"/>
                <w:color w:val="000000"/>
              </w:rPr>
            </w:pPr>
          </w:p>
        </w:tc>
        <w:tc>
          <w:tcPr>
            <w:tcW w:w="4240" w:type="dxa"/>
            <w:gridSpan w:val="4"/>
            <w:vMerge/>
            <w:tcBorders>
              <w:top w:val="single" w:sz="8" w:space="0" w:color="auto"/>
              <w:left w:val="single" w:sz="8" w:space="0" w:color="auto"/>
              <w:bottom w:val="single" w:sz="8" w:space="0" w:color="000000"/>
              <w:right w:val="single" w:sz="8" w:space="0" w:color="000000"/>
            </w:tcBorders>
            <w:vAlign w:val="center"/>
            <w:hideMark/>
          </w:tcPr>
          <w:p w:rsidR="00E14AF1" w:rsidRPr="002F0B8A" w:rsidRDefault="00E14AF1" w:rsidP="003C7A19">
            <w:pPr>
              <w:spacing w:line="276" w:lineRule="auto"/>
              <w:jc w:val="center"/>
              <w:rPr>
                <w:rFonts w:ascii="Times New Roman" w:eastAsia="Times New Roman" w:hAnsi="Times New Roman" w:cs="Times New Roman"/>
                <w:color w:val="000000"/>
              </w:rPr>
            </w:pPr>
          </w:p>
        </w:tc>
        <w:tc>
          <w:tcPr>
            <w:tcW w:w="4240" w:type="dxa"/>
            <w:gridSpan w:val="4"/>
            <w:vMerge/>
            <w:tcBorders>
              <w:top w:val="single" w:sz="8" w:space="0" w:color="auto"/>
              <w:left w:val="single" w:sz="8" w:space="0" w:color="auto"/>
              <w:bottom w:val="single" w:sz="8" w:space="0" w:color="000000"/>
              <w:right w:val="single" w:sz="8" w:space="0" w:color="000000"/>
            </w:tcBorders>
            <w:vAlign w:val="center"/>
            <w:hideMark/>
          </w:tcPr>
          <w:p w:rsidR="00E14AF1" w:rsidRPr="002F0B8A" w:rsidRDefault="00E14AF1" w:rsidP="003C7A19">
            <w:pPr>
              <w:spacing w:line="276" w:lineRule="auto"/>
              <w:jc w:val="center"/>
              <w:rPr>
                <w:rFonts w:ascii="Times New Roman" w:eastAsia="Times New Roman" w:hAnsi="Times New Roman" w:cs="Times New Roman"/>
                <w:color w:val="000000"/>
              </w:rPr>
            </w:pPr>
          </w:p>
        </w:tc>
      </w:tr>
      <w:tr w:rsidR="00E14AF1" w:rsidRPr="000113C4" w:rsidTr="007F37A3">
        <w:trPr>
          <w:trHeight w:val="340"/>
        </w:trPr>
        <w:tc>
          <w:tcPr>
            <w:tcW w:w="1060" w:type="dxa"/>
            <w:tcBorders>
              <w:top w:val="nil"/>
              <w:left w:val="single" w:sz="8" w:space="0" w:color="auto"/>
              <w:bottom w:val="single" w:sz="8" w:space="0" w:color="auto"/>
              <w:right w:val="single" w:sz="8" w:space="0" w:color="auto"/>
            </w:tcBorders>
            <w:shd w:val="clear" w:color="auto" w:fill="auto"/>
            <w:vAlign w:val="center"/>
            <w:hideMark/>
          </w:tcPr>
          <w:p w:rsidR="00E14AF1" w:rsidRPr="002F0B8A" w:rsidRDefault="00E14AF1" w:rsidP="003C7A19">
            <w:pPr>
              <w:spacing w:line="276" w:lineRule="auto"/>
              <w:jc w:val="both"/>
              <w:rPr>
                <w:rFonts w:ascii="Calibri" w:eastAsia="Times New Roman" w:hAnsi="Calibri" w:cs="Times New Roman"/>
                <w:color w:val="000000"/>
              </w:rPr>
            </w:pPr>
            <w:r w:rsidRPr="002F0B8A">
              <w:rPr>
                <w:rFonts w:ascii="Calibri" w:eastAsia="Times New Roman" w:hAnsi="Calibri" w:cs="Times New Roman"/>
                <w:color w:val="000000"/>
              </w:rPr>
              <w:t> </w:t>
            </w:r>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Low</w:t>
            </w:r>
            <w:proofErr w:type="spellEnd"/>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M</w:t>
            </w:r>
            <w:r w:rsidR="00DE249E">
              <w:rPr>
                <w:rFonts w:ascii="Times New Roman" w:eastAsia="Times New Roman" w:hAnsi="Times New Roman" w:cs="Times New Roman"/>
                <w:color w:val="000000"/>
                <w:lang w:val="es-ES_tradnl"/>
              </w:rPr>
              <w:t>e</w:t>
            </w:r>
            <w:r w:rsidRPr="000113C4">
              <w:rPr>
                <w:rFonts w:ascii="Times New Roman" w:eastAsia="Times New Roman" w:hAnsi="Times New Roman" w:cs="Times New Roman"/>
                <w:color w:val="000000"/>
                <w:lang w:val="es-ES_tradnl"/>
              </w:rPr>
              <w:t>d</w:t>
            </w:r>
            <w:proofErr w:type="spellEnd"/>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High</w:t>
            </w:r>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Total</w:t>
            </w:r>
          </w:p>
        </w:tc>
        <w:tc>
          <w:tcPr>
            <w:tcW w:w="1060" w:type="dxa"/>
            <w:tcBorders>
              <w:top w:val="nil"/>
              <w:left w:val="nil"/>
              <w:bottom w:val="single" w:sz="8" w:space="0" w:color="auto"/>
              <w:right w:val="single" w:sz="8" w:space="0" w:color="auto"/>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Low</w:t>
            </w:r>
            <w:proofErr w:type="spellEnd"/>
          </w:p>
        </w:tc>
        <w:tc>
          <w:tcPr>
            <w:tcW w:w="1060" w:type="dxa"/>
            <w:tcBorders>
              <w:top w:val="nil"/>
              <w:left w:val="nil"/>
              <w:bottom w:val="single" w:sz="8" w:space="0" w:color="auto"/>
              <w:right w:val="single" w:sz="8" w:space="0" w:color="auto"/>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M</w:t>
            </w:r>
            <w:r w:rsidR="00DE249E">
              <w:rPr>
                <w:rFonts w:ascii="Times New Roman" w:eastAsia="Times New Roman" w:hAnsi="Times New Roman" w:cs="Times New Roman"/>
                <w:color w:val="000000"/>
                <w:lang w:val="es-ES_tradnl"/>
              </w:rPr>
              <w:t>e</w:t>
            </w:r>
            <w:r w:rsidRPr="000113C4">
              <w:rPr>
                <w:rFonts w:ascii="Times New Roman" w:eastAsia="Times New Roman" w:hAnsi="Times New Roman" w:cs="Times New Roman"/>
                <w:color w:val="000000"/>
                <w:lang w:val="es-ES_tradnl"/>
              </w:rPr>
              <w:t>d</w:t>
            </w:r>
            <w:proofErr w:type="spellEnd"/>
          </w:p>
        </w:tc>
        <w:tc>
          <w:tcPr>
            <w:tcW w:w="1060" w:type="dxa"/>
            <w:tcBorders>
              <w:top w:val="nil"/>
              <w:left w:val="nil"/>
              <w:bottom w:val="single" w:sz="8" w:space="0" w:color="auto"/>
              <w:right w:val="single" w:sz="8" w:space="0" w:color="auto"/>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High</w:t>
            </w:r>
          </w:p>
        </w:tc>
        <w:tc>
          <w:tcPr>
            <w:tcW w:w="1060" w:type="dxa"/>
            <w:tcBorders>
              <w:top w:val="nil"/>
              <w:left w:val="nil"/>
              <w:bottom w:val="single" w:sz="8" w:space="0" w:color="auto"/>
              <w:right w:val="single" w:sz="8" w:space="0" w:color="auto"/>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Total</w:t>
            </w:r>
          </w:p>
        </w:tc>
      </w:tr>
      <w:tr w:rsidR="00E14AF1" w:rsidRPr="000113C4" w:rsidTr="007F37A3">
        <w:trPr>
          <w:trHeight w:val="340"/>
        </w:trPr>
        <w:tc>
          <w:tcPr>
            <w:tcW w:w="1060" w:type="dxa"/>
            <w:tcBorders>
              <w:top w:val="nil"/>
              <w:left w:val="single" w:sz="8" w:space="0" w:color="auto"/>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both"/>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Women</w:t>
            </w:r>
            <w:proofErr w:type="spellEnd"/>
          </w:p>
        </w:tc>
        <w:tc>
          <w:tcPr>
            <w:tcW w:w="1060" w:type="dxa"/>
            <w:tcBorders>
              <w:top w:val="nil"/>
              <w:left w:val="nil"/>
              <w:bottom w:val="nil"/>
              <w:right w:val="nil"/>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081</w:t>
            </w:r>
          </w:p>
        </w:tc>
        <w:tc>
          <w:tcPr>
            <w:tcW w:w="1060" w:type="dxa"/>
            <w:tcBorders>
              <w:top w:val="nil"/>
              <w:left w:val="nil"/>
              <w:bottom w:val="nil"/>
              <w:right w:val="nil"/>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075</w:t>
            </w:r>
          </w:p>
        </w:tc>
        <w:tc>
          <w:tcPr>
            <w:tcW w:w="1060" w:type="dxa"/>
            <w:tcBorders>
              <w:top w:val="nil"/>
              <w:left w:val="nil"/>
              <w:bottom w:val="nil"/>
              <w:right w:val="nil"/>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068</w:t>
            </w:r>
          </w:p>
        </w:tc>
        <w:tc>
          <w:tcPr>
            <w:tcW w:w="1060" w:type="dxa"/>
            <w:tcBorders>
              <w:top w:val="nil"/>
              <w:left w:val="nil"/>
              <w:bottom w:val="nil"/>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069</w:t>
            </w:r>
          </w:p>
        </w:tc>
        <w:tc>
          <w:tcPr>
            <w:tcW w:w="1060" w:type="dxa"/>
            <w:tcBorders>
              <w:top w:val="nil"/>
              <w:left w:val="nil"/>
              <w:bottom w:val="nil"/>
              <w:right w:val="nil"/>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131</w:t>
            </w:r>
          </w:p>
        </w:tc>
        <w:tc>
          <w:tcPr>
            <w:tcW w:w="1060" w:type="dxa"/>
            <w:tcBorders>
              <w:top w:val="nil"/>
              <w:left w:val="nil"/>
              <w:bottom w:val="nil"/>
              <w:right w:val="nil"/>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131</w:t>
            </w:r>
          </w:p>
        </w:tc>
        <w:tc>
          <w:tcPr>
            <w:tcW w:w="1060" w:type="dxa"/>
            <w:tcBorders>
              <w:top w:val="nil"/>
              <w:left w:val="nil"/>
              <w:bottom w:val="nil"/>
              <w:right w:val="nil"/>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125</w:t>
            </w:r>
          </w:p>
        </w:tc>
        <w:tc>
          <w:tcPr>
            <w:tcW w:w="1060" w:type="dxa"/>
            <w:tcBorders>
              <w:top w:val="nil"/>
              <w:left w:val="nil"/>
              <w:bottom w:val="nil"/>
              <w:right w:val="single" w:sz="8" w:space="0" w:color="auto"/>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126</w:t>
            </w:r>
          </w:p>
        </w:tc>
      </w:tr>
      <w:tr w:rsidR="00E14AF1" w:rsidRPr="000113C4" w:rsidTr="007F37A3">
        <w:trPr>
          <w:trHeight w:val="340"/>
        </w:trPr>
        <w:tc>
          <w:tcPr>
            <w:tcW w:w="1060" w:type="dxa"/>
            <w:tcBorders>
              <w:top w:val="nil"/>
              <w:left w:val="single" w:sz="8" w:space="0" w:color="auto"/>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both"/>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Men</w:t>
            </w:r>
            <w:proofErr w:type="spellEnd"/>
          </w:p>
        </w:tc>
        <w:tc>
          <w:tcPr>
            <w:tcW w:w="1060" w:type="dxa"/>
            <w:tcBorders>
              <w:top w:val="nil"/>
              <w:left w:val="nil"/>
              <w:bottom w:val="single" w:sz="8" w:space="0" w:color="auto"/>
              <w:right w:val="nil"/>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086</w:t>
            </w:r>
          </w:p>
        </w:tc>
        <w:tc>
          <w:tcPr>
            <w:tcW w:w="1060" w:type="dxa"/>
            <w:tcBorders>
              <w:top w:val="nil"/>
              <w:left w:val="nil"/>
              <w:bottom w:val="single" w:sz="8" w:space="0" w:color="auto"/>
              <w:right w:val="nil"/>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085</w:t>
            </w:r>
          </w:p>
        </w:tc>
        <w:tc>
          <w:tcPr>
            <w:tcW w:w="1060" w:type="dxa"/>
            <w:tcBorders>
              <w:top w:val="nil"/>
              <w:left w:val="nil"/>
              <w:bottom w:val="single" w:sz="8" w:space="0" w:color="auto"/>
              <w:right w:val="nil"/>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072</w:t>
            </w:r>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077</w:t>
            </w:r>
          </w:p>
        </w:tc>
        <w:tc>
          <w:tcPr>
            <w:tcW w:w="1060" w:type="dxa"/>
            <w:tcBorders>
              <w:top w:val="nil"/>
              <w:left w:val="nil"/>
              <w:bottom w:val="single" w:sz="8" w:space="0" w:color="auto"/>
              <w:right w:val="nil"/>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137</w:t>
            </w:r>
          </w:p>
        </w:tc>
        <w:tc>
          <w:tcPr>
            <w:tcW w:w="1060" w:type="dxa"/>
            <w:tcBorders>
              <w:top w:val="nil"/>
              <w:left w:val="nil"/>
              <w:bottom w:val="single" w:sz="8" w:space="0" w:color="auto"/>
              <w:right w:val="nil"/>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128</w:t>
            </w:r>
          </w:p>
        </w:tc>
        <w:tc>
          <w:tcPr>
            <w:tcW w:w="1060" w:type="dxa"/>
            <w:tcBorders>
              <w:top w:val="nil"/>
              <w:left w:val="nil"/>
              <w:bottom w:val="single" w:sz="8" w:space="0" w:color="auto"/>
              <w:right w:val="nil"/>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109</w:t>
            </w:r>
          </w:p>
        </w:tc>
        <w:tc>
          <w:tcPr>
            <w:tcW w:w="1060" w:type="dxa"/>
            <w:tcBorders>
              <w:top w:val="nil"/>
              <w:left w:val="nil"/>
              <w:bottom w:val="single" w:sz="8" w:space="0" w:color="auto"/>
              <w:right w:val="single" w:sz="8" w:space="0" w:color="auto"/>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121</w:t>
            </w:r>
          </w:p>
        </w:tc>
      </w:tr>
    </w:tbl>
    <w:p w:rsidR="00E14AF1" w:rsidRDefault="00E14AF1" w:rsidP="003C7A19">
      <w:pPr>
        <w:spacing w:after="240" w:line="600" w:lineRule="auto"/>
        <w:jc w:val="both"/>
        <w:rPr>
          <w:rFonts w:ascii="Times New Roman" w:hAnsi="Times New Roman" w:cs="Times New Roman"/>
        </w:rPr>
      </w:pPr>
      <w:r w:rsidRPr="00C50FDB">
        <w:rPr>
          <w:rFonts w:ascii="Times New Roman" w:hAnsi="Times New Roman" w:cs="Times New Roman"/>
          <w:b/>
        </w:rPr>
        <w:t xml:space="preserve">Table </w:t>
      </w:r>
      <w:r>
        <w:rPr>
          <w:rFonts w:ascii="Times New Roman" w:hAnsi="Times New Roman" w:cs="Times New Roman"/>
          <w:b/>
        </w:rPr>
        <w:t>S3</w:t>
      </w:r>
      <w:r w:rsidRPr="00C50FDB">
        <w:rPr>
          <w:rFonts w:ascii="Times New Roman" w:hAnsi="Times New Roman" w:cs="Times New Roman"/>
          <w:b/>
        </w:rPr>
        <w:t>.</w:t>
      </w:r>
      <w:r>
        <w:rPr>
          <w:rFonts w:ascii="Times New Roman" w:hAnsi="Times New Roman" w:cs="Times New Roman"/>
        </w:rPr>
        <w:t xml:space="preserve"> Life expectancy, healthy life expectancy, lifespan inequality and healthy lifespan inequality indicators for women and men aged 35-85 across education groups in Spain 2015. The disability measures </w:t>
      </w:r>
      <w:proofErr w:type="gramStart"/>
      <w:r>
        <w:rPr>
          <w:rFonts w:ascii="Times New Roman" w:hAnsi="Times New Roman" w:cs="Times New Roman"/>
        </w:rPr>
        <w:t>are based</w:t>
      </w:r>
      <w:proofErr w:type="gramEnd"/>
      <w:r>
        <w:rPr>
          <w:rFonts w:ascii="Times New Roman" w:hAnsi="Times New Roman" w:cs="Times New Roman"/>
        </w:rPr>
        <w:t xml:space="preserve"> on individuals’ self-perceived health and inequality is measured with the Gini coefficient. Shaded cells highlight the new HLI indicators proposed in this paper. Source: Authors’ calculations based on INE’s 2014-17 death files and the 2014 and 2017 </w:t>
      </w:r>
      <w:r w:rsidRPr="007B0D04">
        <w:rPr>
          <w:rFonts w:ascii="Times New Roman" w:hAnsi="Times New Roman" w:cs="Times New Roman"/>
        </w:rPr>
        <w:t>SNHS.</w:t>
      </w:r>
    </w:p>
    <w:p w:rsidR="00E14AF1" w:rsidRDefault="00E14AF1" w:rsidP="003C7A19">
      <w:pPr>
        <w:spacing w:after="240" w:line="600" w:lineRule="auto"/>
        <w:jc w:val="both"/>
        <w:rPr>
          <w:rFonts w:ascii="Times New Roman" w:hAnsi="Times New Roman" w:cs="Times New Roman"/>
        </w:rPr>
      </w:pPr>
      <w:r>
        <w:rPr>
          <w:rFonts w:ascii="Times New Roman" w:hAnsi="Times New Roman" w:cs="Times New Roman"/>
        </w:rPr>
        <w:lastRenderedPageBreak/>
        <w:t xml:space="preserve">As can be seen, the findings reported in the main paper and the ones reported in Table S3 essentially go in the same direction. </w:t>
      </w:r>
      <w:proofErr w:type="gramStart"/>
      <w:r>
        <w:rPr>
          <w:rFonts w:ascii="Times New Roman" w:hAnsi="Times New Roman" w:cs="Times New Roman"/>
        </w:rPr>
        <w:t>(</w:t>
      </w:r>
      <w:proofErr w:type="spellStart"/>
      <w:r>
        <w:rPr>
          <w:rFonts w:ascii="Times New Roman" w:hAnsi="Times New Roman" w:cs="Times New Roman"/>
        </w:rPr>
        <w:t>i</w:t>
      </w:r>
      <w:proofErr w:type="spellEnd"/>
      <w:r>
        <w:rPr>
          <w:rFonts w:ascii="Times New Roman" w:hAnsi="Times New Roman" w:cs="Times New Roman"/>
        </w:rPr>
        <w:t>) Differences in health expectancy across education groups are much larger than differences in life expectancy (always benefiting the highly educated), (ii) health expectancy indicators tend to be slightly better for men than for women, (iii) healthy lifespan inequality is much higher than lifespan inequality, (iv) healthy lifespan inequality decreases with educational attainment, and (v) the variability in age-at-disability onset tends to be slightly higher among women than among men.</w:t>
      </w:r>
      <w:proofErr w:type="gramEnd"/>
    </w:p>
    <w:p w:rsidR="00E14AF1" w:rsidRDefault="00E14AF1" w:rsidP="003C7A19">
      <w:pPr>
        <w:spacing w:after="240" w:line="600" w:lineRule="auto"/>
        <w:jc w:val="both"/>
        <w:rPr>
          <w:rFonts w:ascii="Times New Roman" w:hAnsi="Times New Roman" w:cs="Times New Roman"/>
        </w:rPr>
      </w:pPr>
      <w:r>
        <w:rPr>
          <w:rFonts w:ascii="Times New Roman" w:hAnsi="Times New Roman" w:cs="Times New Roman"/>
        </w:rPr>
        <w:t>The second measure for which we replicate the four health indicators is the capacity to go up and down a flight of 12 stairs uninterruptedly. Like the GALI, this measure is an indicator of disability or functional limitation</w:t>
      </w:r>
      <w:r w:rsidRPr="004C0393">
        <w:rPr>
          <w:rFonts w:ascii="Times New Roman" w:hAnsi="Times New Roman" w:cs="Times New Roman"/>
          <w:vertAlign w:val="superscript"/>
        </w:rPr>
        <w:t>3</w:t>
      </w:r>
      <w:r>
        <w:rPr>
          <w:rFonts w:ascii="Times New Roman" w:hAnsi="Times New Roman" w:cs="Times New Roman"/>
        </w:rPr>
        <w:t xml:space="preserve">.  Specifically, the respondent </w:t>
      </w:r>
      <w:proofErr w:type="gramStart"/>
      <w:r>
        <w:rPr>
          <w:rFonts w:ascii="Times New Roman" w:hAnsi="Times New Roman" w:cs="Times New Roman"/>
        </w:rPr>
        <w:t>is asked</w:t>
      </w:r>
      <w:proofErr w:type="gramEnd"/>
      <w:r>
        <w:rPr>
          <w:rFonts w:ascii="Times New Roman" w:hAnsi="Times New Roman" w:cs="Times New Roman"/>
        </w:rPr>
        <w:t xml:space="preserve"> if he or she has ‘difficulty to go up or down 12 stairs’. To calculate the health indicators the response category “no difficulty” was kept and “some </w:t>
      </w:r>
      <w:r w:rsidRPr="009D0EE0">
        <w:rPr>
          <w:rFonts w:ascii="Times New Roman" w:hAnsi="Times New Roman" w:cs="Times New Roman"/>
        </w:rPr>
        <w:t>difficulty</w:t>
      </w:r>
      <w:r>
        <w:rPr>
          <w:rFonts w:ascii="Times New Roman" w:hAnsi="Times New Roman" w:cs="Times New Roman"/>
        </w:rPr>
        <w:t>”, “severe d</w:t>
      </w:r>
      <w:r w:rsidRPr="009D0EE0">
        <w:rPr>
          <w:rFonts w:ascii="Times New Roman" w:hAnsi="Times New Roman" w:cs="Times New Roman"/>
        </w:rPr>
        <w:t>ifficulty</w:t>
      </w:r>
      <w:r>
        <w:rPr>
          <w:rFonts w:ascii="Times New Roman" w:hAnsi="Times New Roman" w:cs="Times New Roman"/>
        </w:rPr>
        <w:t>” and “</w:t>
      </w:r>
      <w:r w:rsidRPr="009D0EE0">
        <w:rPr>
          <w:rFonts w:ascii="Times New Roman" w:hAnsi="Times New Roman" w:cs="Times New Roman"/>
        </w:rPr>
        <w:t>I cannot do it by myself</w:t>
      </w:r>
      <w:r>
        <w:rPr>
          <w:rFonts w:ascii="Times New Roman" w:hAnsi="Times New Roman" w:cs="Times New Roman"/>
        </w:rPr>
        <w:t xml:space="preserve"> “ were collapsed into “with difficulty/can’t do it alone”. The results for the ‘climbing 12 stairs’ indicator are shown below.</w:t>
      </w:r>
    </w:p>
    <w:p w:rsidR="003C7A19" w:rsidRDefault="003C7A19" w:rsidP="003C7A19">
      <w:pPr>
        <w:spacing w:after="240" w:line="600" w:lineRule="auto"/>
        <w:jc w:val="both"/>
        <w:rPr>
          <w:rFonts w:ascii="Times New Roman" w:hAnsi="Times New Roman" w:cs="Times New Roman"/>
        </w:rPr>
      </w:pPr>
    </w:p>
    <w:p w:rsidR="003C7A19" w:rsidRDefault="003C7A19" w:rsidP="003C7A19">
      <w:pPr>
        <w:spacing w:after="240" w:line="600" w:lineRule="auto"/>
        <w:jc w:val="both"/>
        <w:rPr>
          <w:rFonts w:ascii="Times New Roman" w:hAnsi="Times New Roman" w:cs="Times New Roman"/>
        </w:rPr>
      </w:pPr>
    </w:p>
    <w:p w:rsidR="003C7A19" w:rsidRDefault="003C7A19" w:rsidP="003C7A19">
      <w:pPr>
        <w:spacing w:after="240" w:line="600" w:lineRule="auto"/>
        <w:jc w:val="both"/>
        <w:rPr>
          <w:rFonts w:ascii="Times New Roman" w:hAnsi="Times New Roman" w:cs="Times New Roman"/>
        </w:rPr>
      </w:pPr>
    </w:p>
    <w:p w:rsidR="003C7A19" w:rsidRDefault="003C7A19" w:rsidP="003C7A19">
      <w:pPr>
        <w:spacing w:after="240" w:line="600" w:lineRule="auto"/>
        <w:jc w:val="both"/>
        <w:rPr>
          <w:rFonts w:ascii="Times New Roman" w:hAnsi="Times New Roman" w:cs="Times New Roman"/>
        </w:rPr>
      </w:pPr>
    </w:p>
    <w:tbl>
      <w:tblPr>
        <w:tblW w:w="9540" w:type="dxa"/>
        <w:tblInd w:w="-577" w:type="dxa"/>
        <w:tblCellMar>
          <w:left w:w="70" w:type="dxa"/>
          <w:right w:w="70" w:type="dxa"/>
        </w:tblCellMar>
        <w:tblLook w:val="04A0" w:firstRow="1" w:lastRow="0" w:firstColumn="1" w:lastColumn="0" w:noHBand="0" w:noVBand="1"/>
      </w:tblPr>
      <w:tblGrid>
        <w:gridCol w:w="1060"/>
        <w:gridCol w:w="1060"/>
        <w:gridCol w:w="1060"/>
        <w:gridCol w:w="1060"/>
        <w:gridCol w:w="1060"/>
        <w:gridCol w:w="1060"/>
        <w:gridCol w:w="1060"/>
        <w:gridCol w:w="1060"/>
        <w:gridCol w:w="1060"/>
      </w:tblGrid>
      <w:tr w:rsidR="00E14AF1" w:rsidRPr="000113C4" w:rsidTr="007F37A3">
        <w:trPr>
          <w:trHeight w:val="340"/>
        </w:trPr>
        <w:tc>
          <w:tcPr>
            <w:tcW w:w="1060" w:type="dxa"/>
            <w:tcBorders>
              <w:top w:val="single" w:sz="8" w:space="0" w:color="auto"/>
              <w:left w:val="single" w:sz="8" w:space="0" w:color="auto"/>
              <w:bottom w:val="nil"/>
              <w:right w:val="single" w:sz="8" w:space="0" w:color="auto"/>
            </w:tcBorders>
            <w:shd w:val="clear" w:color="auto" w:fill="auto"/>
            <w:vAlign w:val="center"/>
            <w:hideMark/>
          </w:tcPr>
          <w:p w:rsidR="00E14AF1" w:rsidRPr="002F0B8A" w:rsidRDefault="00E14AF1" w:rsidP="003C7A19">
            <w:pPr>
              <w:spacing w:line="276" w:lineRule="auto"/>
              <w:jc w:val="both"/>
              <w:rPr>
                <w:rFonts w:ascii="Times New Roman" w:eastAsia="Times New Roman" w:hAnsi="Times New Roman" w:cs="Times New Roman"/>
                <w:color w:val="000000"/>
              </w:rPr>
            </w:pPr>
            <w:r w:rsidRPr="002F0B8A">
              <w:rPr>
                <w:rFonts w:ascii="Times New Roman" w:eastAsia="Times New Roman" w:hAnsi="Times New Roman" w:cs="Times New Roman"/>
                <w:color w:val="000000"/>
              </w:rPr>
              <w:lastRenderedPageBreak/>
              <w:t> </w:t>
            </w:r>
          </w:p>
        </w:tc>
        <w:tc>
          <w:tcPr>
            <w:tcW w:w="8480" w:type="dxa"/>
            <w:gridSpan w:val="8"/>
            <w:tcBorders>
              <w:top w:val="single" w:sz="8" w:space="0" w:color="auto"/>
              <w:left w:val="nil"/>
              <w:bottom w:val="single" w:sz="8" w:space="0" w:color="auto"/>
              <w:right w:val="single" w:sz="8" w:space="0" w:color="000000"/>
            </w:tcBorders>
            <w:shd w:val="clear" w:color="auto" w:fill="auto"/>
            <w:vAlign w:val="center"/>
            <w:hideMark/>
          </w:tcPr>
          <w:p w:rsidR="00E14AF1" w:rsidRPr="007B0D04" w:rsidRDefault="00E14AF1" w:rsidP="003C7A19">
            <w:pPr>
              <w:spacing w:line="276" w:lineRule="auto"/>
              <w:jc w:val="center"/>
              <w:rPr>
                <w:rFonts w:ascii="Times New Roman" w:eastAsia="Times New Roman" w:hAnsi="Times New Roman" w:cs="Times New Roman"/>
                <w:color w:val="000000"/>
              </w:rPr>
            </w:pPr>
            <w:r w:rsidRPr="007B0D04">
              <w:rPr>
                <w:rFonts w:ascii="Times New Roman" w:eastAsia="Times New Roman" w:hAnsi="Times New Roman" w:cs="Times New Roman"/>
                <w:color w:val="000000"/>
              </w:rPr>
              <w:t>Mean health indicators</w:t>
            </w:r>
          </w:p>
        </w:tc>
      </w:tr>
      <w:tr w:rsidR="00E14AF1" w:rsidRPr="000113C4" w:rsidTr="007F37A3">
        <w:trPr>
          <w:trHeight w:val="690"/>
        </w:trPr>
        <w:tc>
          <w:tcPr>
            <w:tcW w:w="1060" w:type="dxa"/>
            <w:vMerge w:val="restart"/>
            <w:tcBorders>
              <w:top w:val="nil"/>
              <w:left w:val="single" w:sz="8" w:space="0" w:color="auto"/>
              <w:bottom w:val="nil"/>
              <w:right w:val="single" w:sz="8" w:space="0" w:color="auto"/>
            </w:tcBorders>
            <w:shd w:val="clear" w:color="auto" w:fill="auto"/>
            <w:vAlign w:val="center"/>
            <w:hideMark/>
          </w:tcPr>
          <w:p w:rsidR="00E14AF1" w:rsidRPr="007B0D04" w:rsidRDefault="00E14AF1" w:rsidP="003C7A19">
            <w:pPr>
              <w:spacing w:line="276" w:lineRule="auto"/>
              <w:jc w:val="both"/>
              <w:rPr>
                <w:rFonts w:ascii="Times New Roman" w:eastAsia="Times New Roman" w:hAnsi="Times New Roman" w:cs="Times New Roman"/>
                <w:color w:val="000000"/>
              </w:rPr>
            </w:pPr>
            <w:r w:rsidRPr="007B0D04">
              <w:rPr>
                <w:rFonts w:ascii="Times New Roman" w:eastAsia="Times New Roman" w:hAnsi="Times New Roman" w:cs="Times New Roman"/>
                <w:color w:val="000000"/>
              </w:rPr>
              <w:t> </w:t>
            </w:r>
          </w:p>
        </w:tc>
        <w:tc>
          <w:tcPr>
            <w:tcW w:w="4240"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14AF1" w:rsidRPr="007B0D04" w:rsidRDefault="00E14AF1" w:rsidP="003C7A19">
            <w:pPr>
              <w:spacing w:line="276" w:lineRule="auto"/>
              <w:jc w:val="center"/>
              <w:rPr>
                <w:rFonts w:ascii="Times New Roman" w:eastAsia="Times New Roman" w:hAnsi="Times New Roman" w:cs="Times New Roman"/>
                <w:color w:val="000000"/>
              </w:rPr>
            </w:pPr>
            <w:r w:rsidRPr="007B0D04">
              <w:rPr>
                <w:rFonts w:ascii="Times New Roman" w:eastAsia="Times New Roman" w:hAnsi="Times New Roman" w:cs="Times New Roman"/>
                <w:color w:val="000000"/>
              </w:rPr>
              <w:t>Life expectancy (LE)</w:t>
            </w:r>
          </w:p>
        </w:tc>
        <w:tc>
          <w:tcPr>
            <w:tcW w:w="4240"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14AF1" w:rsidRPr="007B0D04" w:rsidRDefault="00E14AF1" w:rsidP="003C7A19">
            <w:pPr>
              <w:spacing w:line="276" w:lineRule="auto"/>
              <w:jc w:val="center"/>
              <w:rPr>
                <w:rFonts w:ascii="Times New Roman" w:eastAsia="Times New Roman" w:hAnsi="Times New Roman" w:cs="Times New Roman"/>
                <w:color w:val="000000"/>
              </w:rPr>
            </w:pPr>
            <w:r w:rsidRPr="007B0D04">
              <w:rPr>
                <w:rFonts w:ascii="Times New Roman" w:eastAsia="Times New Roman" w:hAnsi="Times New Roman" w:cs="Times New Roman"/>
                <w:color w:val="000000"/>
              </w:rPr>
              <w:t>Healthy life expectancy (HE)</w:t>
            </w:r>
          </w:p>
        </w:tc>
      </w:tr>
      <w:tr w:rsidR="00E14AF1" w:rsidRPr="000113C4" w:rsidTr="007F37A3">
        <w:trPr>
          <w:trHeight w:val="537"/>
        </w:trPr>
        <w:tc>
          <w:tcPr>
            <w:tcW w:w="1060" w:type="dxa"/>
            <w:vMerge/>
            <w:tcBorders>
              <w:top w:val="nil"/>
              <w:left w:val="single" w:sz="8" w:space="0" w:color="auto"/>
              <w:bottom w:val="nil"/>
              <w:right w:val="single" w:sz="8" w:space="0" w:color="auto"/>
            </w:tcBorders>
            <w:vAlign w:val="center"/>
            <w:hideMark/>
          </w:tcPr>
          <w:p w:rsidR="00E14AF1" w:rsidRPr="007B0D04" w:rsidRDefault="00E14AF1" w:rsidP="003C7A19">
            <w:pPr>
              <w:spacing w:line="276" w:lineRule="auto"/>
              <w:rPr>
                <w:rFonts w:ascii="Times New Roman" w:eastAsia="Times New Roman" w:hAnsi="Times New Roman" w:cs="Times New Roman"/>
                <w:color w:val="000000"/>
              </w:rPr>
            </w:pPr>
          </w:p>
        </w:tc>
        <w:tc>
          <w:tcPr>
            <w:tcW w:w="4240" w:type="dxa"/>
            <w:gridSpan w:val="4"/>
            <w:vMerge/>
            <w:tcBorders>
              <w:top w:val="single" w:sz="8" w:space="0" w:color="auto"/>
              <w:left w:val="single" w:sz="8" w:space="0" w:color="auto"/>
              <w:bottom w:val="single" w:sz="8" w:space="0" w:color="000000"/>
              <w:right w:val="single" w:sz="8" w:space="0" w:color="000000"/>
            </w:tcBorders>
            <w:vAlign w:val="center"/>
            <w:hideMark/>
          </w:tcPr>
          <w:p w:rsidR="00E14AF1" w:rsidRPr="007B0D04" w:rsidRDefault="00E14AF1" w:rsidP="003C7A19">
            <w:pPr>
              <w:spacing w:line="276" w:lineRule="auto"/>
              <w:jc w:val="center"/>
              <w:rPr>
                <w:rFonts w:ascii="Times New Roman" w:eastAsia="Times New Roman" w:hAnsi="Times New Roman" w:cs="Times New Roman"/>
                <w:color w:val="000000"/>
              </w:rPr>
            </w:pPr>
          </w:p>
        </w:tc>
        <w:tc>
          <w:tcPr>
            <w:tcW w:w="4240" w:type="dxa"/>
            <w:gridSpan w:val="4"/>
            <w:vMerge/>
            <w:tcBorders>
              <w:top w:val="single" w:sz="8" w:space="0" w:color="auto"/>
              <w:left w:val="single" w:sz="8" w:space="0" w:color="auto"/>
              <w:bottom w:val="single" w:sz="8" w:space="0" w:color="000000"/>
              <w:right w:val="single" w:sz="8" w:space="0" w:color="000000"/>
            </w:tcBorders>
            <w:vAlign w:val="center"/>
            <w:hideMark/>
          </w:tcPr>
          <w:p w:rsidR="00E14AF1" w:rsidRPr="007B0D04" w:rsidRDefault="00E14AF1" w:rsidP="003C7A19">
            <w:pPr>
              <w:spacing w:line="276" w:lineRule="auto"/>
              <w:jc w:val="center"/>
              <w:rPr>
                <w:rFonts w:ascii="Times New Roman" w:eastAsia="Times New Roman" w:hAnsi="Times New Roman" w:cs="Times New Roman"/>
                <w:color w:val="000000"/>
              </w:rPr>
            </w:pPr>
          </w:p>
        </w:tc>
      </w:tr>
      <w:tr w:rsidR="00E14AF1" w:rsidRPr="000113C4" w:rsidTr="007F37A3">
        <w:trPr>
          <w:trHeight w:val="340"/>
        </w:trPr>
        <w:tc>
          <w:tcPr>
            <w:tcW w:w="1060" w:type="dxa"/>
            <w:tcBorders>
              <w:top w:val="nil"/>
              <w:left w:val="single" w:sz="8" w:space="0" w:color="auto"/>
              <w:bottom w:val="single" w:sz="8" w:space="0" w:color="auto"/>
              <w:right w:val="single" w:sz="8" w:space="0" w:color="auto"/>
            </w:tcBorders>
            <w:shd w:val="clear" w:color="auto" w:fill="auto"/>
            <w:vAlign w:val="center"/>
            <w:hideMark/>
          </w:tcPr>
          <w:p w:rsidR="00E14AF1" w:rsidRPr="007B0D04" w:rsidRDefault="00E14AF1" w:rsidP="003C7A19">
            <w:pPr>
              <w:spacing w:line="276" w:lineRule="auto"/>
              <w:jc w:val="both"/>
              <w:rPr>
                <w:rFonts w:ascii="Times New Roman" w:eastAsia="Times New Roman" w:hAnsi="Times New Roman" w:cs="Times New Roman"/>
                <w:color w:val="000000"/>
              </w:rPr>
            </w:pPr>
            <w:r w:rsidRPr="007B0D04">
              <w:rPr>
                <w:rFonts w:ascii="Times New Roman" w:eastAsia="Times New Roman" w:hAnsi="Times New Roman" w:cs="Times New Roman"/>
                <w:color w:val="000000"/>
              </w:rPr>
              <w:t> </w:t>
            </w:r>
          </w:p>
        </w:tc>
        <w:tc>
          <w:tcPr>
            <w:tcW w:w="1060" w:type="dxa"/>
            <w:tcBorders>
              <w:top w:val="nil"/>
              <w:left w:val="nil"/>
              <w:bottom w:val="single" w:sz="8" w:space="0" w:color="auto"/>
              <w:right w:val="single" w:sz="8" w:space="0" w:color="auto"/>
            </w:tcBorders>
            <w:shd w:val="clear" w:color="auto" w:fill="auto"/>
            <w:vAlign w:val="center"/>
            <w:hideMark/>
          </w:tcPr>
          <w:p w:rsidR="00E14AF1" w:rsidRPr="007B0D04" w:rsidRDefault="00E14AF1" w:rsidP="003C7A19">
            <w:pPr>
              <w:spacing w:line="276" w:lineRule="auto"/>
              <w:jc w:val="center"/>
              <w:rPr>
                <w:rFonts w:ascii="Times New Roman" w:eastAsia="Times New Roman" w:hAnsi="Times New Roman" w:cs="Times New Roman"/>
                <w:color w:val="000000"/>
              </w:rPr>
            </w:pPr>
            <w:r w:rsidRPr="007B0D04">
              <w:rPr>
                <w:rFonts w:ascii="Times New Roman" w:eastAsia="Times New Roman" w:hAnsi="Times New Roman" w:cs="Times New Roman"/>
                <w:color w:val="000000"/>
              </w:rPr>
              <w:t>Low</w:t>
            </w:r>
          </w:p>
        </w:tc>
        <w:tc>
          <w:tcPr>
            <w:tcW w:w="1060" w:type="dxa"/>
            <w:tcBorders>
              <w:top w:val="nil"/>
              <w:left w:val="nil"/>
              <w:bottom w:val="single" w:sz="8" w:space="0" w:color="auto"/>
              <w:right w:val="single" w:sz="8" w:space="0" w:color="auto"/>
            </w:tcBorders>
            <w:shd w:val="clear" w:color="auto" w:fill="auto"/>
            <w:vAlign w:val="center"/>
            <w:hideMark/>
          </w:tcPr>
          <w:p w:rsidR="00E14AF1" w:rsidRPr="007B0D04" w:rsidRDefault="00E14AF1" w:rsidP="003C7A19">
            <w:pPr>
              <w:spacing w:line="276" w:lineRule="auto"/>
              <w:jc w:val="center"/>
              <w:rPr>
                <w:rFonts w:ascii="Times New Roman" w:eastAsia="Times New Roman" w:hAnsi="Times New Roman" w:cs="Times New Roman"/>
                <w:color w:val="000000"/>
              </w:rPr>
            </w:pPr>
            <w:r w:rsidRPr="007B0D04">
              <w:rPr>
                <w:rFonts w:ascii="Times New Roman" w:eastAsia="Times New Roman" w:hAnsi="Times New Roman" w:cs="Times New Roman"/>
                <w:color w:val="000000"/>
              </w:rPr>
              <w:t>M</w:t>
            </w:r>
            <w:r w:rsidR="00DE249E">
              <w:rPr>
                <w:rFonts w:ascii="Times New Roman" w:eastAsia="Times New Roman" w:hAnsi="Times New Roman" w:cs="Times New Roman"/>
                <w:color w:val="000000"/>
              </w:rPr>
              <w:t>e</w:t>
            </w:r>
            <w:r w:rsidRPr="007B0D04">
              <w:rPr>
                <w:rFonts w:ascii="Times New Roman" w:eastAsia="Times New Roman" w:hAnsi="Times New Roman" w:cs="Times New Roman"/>
                <w:color w:val="000000"/>
              </w:rPr>
              <w:t>d</w:t>
            </w:r>
          </w:p>
        </w:tc>
        <w:tc>
          <w:tcPr>
            <w:tcW w:w="1060" w:type="dxa"/>
            <w:tcBorders>
              <w:top w:val="nil"/>
              <w:left w:val="nil"/>
              <w:bottom w:val="single" w:sz="8" w:space="0" w:color="auto"/>
              <w:right w:val="single" w:sz="8" w:space="0" w:color="auto"/>
            </w:tcBorders>
            <w:shd w:val="clear" w:color="auto" w:fill="auto"/>
            <w:vAlign w:val="center"/>
            <w:hideMark/>
          </w:tcPr>
          <w:p w:rsidR="00E14AF1" w:rsidRPr="007B0D04" w:rsidRDefault="00E14AF1" w:rsidP="003C7A19">
            <w:pPr>
              <w:spacing w:line="276" w:lineRule="auto"/>
              <w:jc w:val="center"/>
              <w:rPr>
                <w:rFonts w:ascii="Times New Roman" w:eastAsia="Times New Roman" w:hAnsi="Times New Roman" w:cs="Times New Roman"/>
                <w:color w:val="000000"/>
              </w:rPr>
            </w:pPr>
            <w:r w:rsidRPr="007B0D04">
              <w:rPr>
                <w:rFonts w:ascii="Times New Roman" w:eastAsia="Times New Roman" w:hAnsi="Times New Roman" w:cs="Times New Roman"/>
                <w:color w:val="000000"/>
              </w:rPr>
              <w:t>High</w:t>
            </w:r>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7B0D04">
              <w:rPr>
                <w:rFonts w:ascii="Times New Roman" w:eastAsia="Times New Roman" w:hAnsi="Times New Roman" w:cs="Times New Roman"/>
                <w:color w:val="000000"/>
              </w:rPr>
              <w:t>Tot</w:t>
            </w:r>
            <w:r w:rsidRPr="000113C4">
              <w:rPr>
                <w:rFonts w:ascii="Times New Roman" w:eastAsia="Times New Roman" w:hAnsi="Times New Roman" w:cs="Times New Roman"/>
                <w:color w:val="000000"/>
                <w:lang w:val="es-ES_tradnl"/>
              </w:rPr>
              <w:t>al</w:t>
            </w:r>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Low</w:t>
            </w:r>
            <w:proofErr w:type="spellEnd"/>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M</w:t>
            </w:r>
            <w:r w:rsidR="00DE249E">
              <w:rPr>
                <w:rFonts w:ascii="Times New Roman" w:eastAsia="Times New Roman" w:hAnsi="Times New Roman" w:cs="Times New Roman"/>
                <w:color w:val="000000"/>
                <w:lang w:val="es-ES_tradnl"/>
              </w:rPr>
              <w:t>e</w:t>
            </w:r>
            <w:r w:rsidRPr="000113C4">
              <w:rPr>
                <w:rFonts w:ascii="Times New Roman" w:eastAsia="Times New Roman" w:hAnsi="Times New Roman" w:cs="Times New Roman"/>
                <w:color w:val="000000"/>
                <w:lang w:val="es-ES_tradnl"/>
              </w:rPr>
              <w:t>d</w:t>
            </w:r>
            <w:proofErr w:type="spellEnd"/>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High</w:t>
            </w:r>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Total</w:t>
            </w:r>
          </w:p>
        </w:tc>
      </w:tr>
      <w:tr w:rsidR="00E14AF1" w:rsidRPr="000113C4" w:rsidTr="007F37A3">
        <w:trPr>
          <w:trHeight w:val="340"/>
        </w:trPr>
        <w:tc>
          <w:tcPr>
            <w:tcW w:w="1060" w:type="dxa"/>
            <w:tcBorders>
              <w:top w:val="nil"/>
              <w:left w:val="single" w:sz="8" w:space="0" w:color="auto"/>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both"/>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Women</w:t>
            </w:r>
            <w:proofErr w:type="spellEnd"/>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44</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5</w:t>
            </w:r>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46</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3</w:t>
            </w:r>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46</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9</w:t>
            </w:r>
          </w:p>
        </w:tc>
        <w:tc>
          <w:tcPr>
            <w:tcW w:w="1060" w:type="dxa"/>
            <w:tcBorders>
              <w:top w:val="nil"/>
              <w:left w:val="nil"/>
              <w:bottom w:val="nil"/>
              <w:right w:val="single" w:sz="4" w:space="0" w:color="auto"/>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46</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4</w:t>
            </w:r>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27</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6</w:t>
            </w:r>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35</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1</w:t>
            </w:r>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38</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8</w:t>
            </w:r>
          </w:p>
        </w:tc>
        <w:tc>
          <w:tcPr>
            <w:tcW w:w="1060" w:type="dxa"/>
            <w:tcBorders>
              <w:top w:val="nil"/>
              <w:left w:val="nil"/>
              <w:bottom w:val="nil"/>
              <w:right w:val="single" w:sz="4" w:space="0" w:color="auto"/>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35</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0</w:t>
            </w:r>
          </w:p>
        </w:tc>
      </w:tr>
      <w:tr w:rsidR="00E14AF1" w:rsidRPr="000113C4" w:rsidTr="007F37A3">
        <w:trPr>
          <w:trHeight w:val="357"/>
        </w:trPr>
        <w:tc>
          <w:tcPr>
            <w:tcW w:w="1060" w:type="dxa"/>
            <w:tcBorders>
              <w:top w:val="nil"/>
              <w:left w:val="single" w:sz="8" w:space="0" w:color="auto"/>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both"/>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Men</w:t>
            </w:r>
            <w:proofErr w:type="spellEnd"/>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40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4</w:t>
            </w:r>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42</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5</w:t>
            </w:r>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44</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3</w:t>
            </w:r>
          </w:p>
        </w:tc>
        <w:tc>
          <w:tcPr>
            <w:tcW w:w="1060" w:type="dxa"/>
            <w:tcBorders>
              <w:top w:val="nil"/>
              <w:left w:val="nil"/>
              <w:bottom w:val="single" w:sz="8" w:space="0" w:color="auto"/>
              <w:right w:val="single" w:sz="4" w:space="0" w:color="auto"/>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43</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1</w:t>
            </w:r>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29</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8</w:t>
            </w:r>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35</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6</w:t>
            </w:r>
          </w:p>
        </w:tc>
        <w:tc>
          <w:tcPr>
            <w:tcW w:w="1060" w:type="dxa"/>
            <w:tcBorders>
              <w:top w:val="nil"/>
              <w:left w:val="nil"/>
              <w:bottom w:val="nil"/>
              <w:right w:val="nil"/>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38</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5</w:t>
            </w:r>
          </w:p>
        </w:tc>
        <w:tc>
          <w:tcPr>
            <w:tcW w:w="1060" w:type="dxa"/>
            <w:tcBorders>
              <w:top w:val="nil"/>
              <w:left w:val="nil"/>
              <w:bottom w:val="single" w:sz="8" w:space="0" w:color="auto"/>
              <w:right w:val="single" w:sz="4" w:space="0" w:color="auto"/>
            </w:tcBorders>
            <w:shd w:val="clear" w:color="auto" w:fill="auto"/>
            <w:noWrap/>
            <w:vAlign w:val="bottom"/>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36</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1</w:t>
            </w:r>
          </w:p>
        </w:tc>
      </w:tr>
      <w:tr w:rsidR="00E14AF1" w:rsidRPr="000113C4" w:rsidTr="007F37A3">
        <w:trPr>
          <w:trHeight w:val="340"/>
        </w:trPr>
        <w:tc>
          <w:tcPr>
            <w:tcW w:w="1060" w:type="dxa"/>
            <w:tcBorders>
              <w:top w:val="nil"/>
              <w:left w:val="single" w:sz="8" w:space="0" w:color="auto"/>
              <w:bottom w:val="nil"/>
              <w:right w:val="single" w:sz="8" w:space="0" w:color="auto"/>
            </w:tcBorders>
            <w:shd w:val="clear" w:color="auto" w:fill="auto"/>
            <w:vAlign w:val="center"/>
            <w:hideMark/>
          </w:tcPr>
          <w:p w:rsidR="00E14AF1" w:rsidRPr="000113C4" w:rsidRDefault="00E14AF1" w:rsidP="003C7A19">
            <w:pPr>
              <w:spacing w:line="276" w:lineRule="auto"/>
              <w:jc w:val="both"/>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 </w:t>
            </w:r>
          </w:p>
        </w:tc>
        <w:tc>
          <w:tcPr>
            <w:tcW w:w="8480" w:type="dxa"/>
            <w:gridSpan w:val="8"/>
            <w:tcBorders>
              <w:top w:val="single" w:sz="8" w:space="0" w:color="auto"/>
              <w:left w:val="nil"/>
              <w:bottom w:val="single" w:sz="8" w:space="0" w:color="auto"/>
              <w:right w:val="single" w:sz="8" w:space="0" w:color="000000"/>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Health</w:t>
            </w:r>
            <w:proofErr w:type="spellEnd"/>
            <w:r w:rsidRPr="000113C4">
              <w:rPr>
                <w:rFonts w:ascii="Times New Roman" w:eastAsia="Times New Roman" w:hAnsi="Times New Roman" w:cs="Times New Roman"/>
                <w:color w:val="000000"/>
                <w:lang w:val="es-ES_tradnl"/>
              </w:rPr>
              <w:t xml:space="preserve"> </w:t>
            </w:r>
            <w:proofErr w:type="spellStart"/>
            <w:r w:rsidRPr="000113C4">
              <w:rPr>
                <w:rFonts w:ascii="Times New Roman" w:eastAsia="Times New Roman" w:hAnsi="Times New Roman" w:cs="Times New Roman"/>
                <w:color w:val="000000"/>
                <w:lang w:val="es-ES_tradnl"/>
              </w:rPr>
              <w:t>inequality</w:t>
            </w:r>
            <w:proofErr w:type="spellEnd"/>
            <w:r w:rsidRPr="000113C4">
              <w:rPr>
                <w:rFonts w:ascii="Times New Roman" w:eastAsia="Times New Roman" w:hAnsi="Times New Roman" w:cs="Times New Roman"/>
                <w:color w:val="000000"/>
                <w:lang w:val="es-ES_tradnl"/>
              </w:rPr>
              <w:t xml:space="preserve"> </w:t>
            </w:r>
            <w:proofErr w:type="spellStart"/>
            <w:r w:rsidRPr="000113C4">
              <w:rPr>
                <w:rFonts w:ascii="Times New Roman" w:eastAsia="Times New Roman" w:hAnsi="Times New Roman" w:cs="Times New Roman"/>
                <w:color w:val="000000"/>
                <w:lang w:val="es-ES_tradnl"/>
              </w:rPr>
              <w:t>indicators</w:t>
            </w:r>
            <w:proofErr w:type="spellEnd"/>
          </w:p>
        </w:tc>
      </w:tr>
      <w:tr w:rsidR="00E14AF1" w:rsidRPr="000113C4" w:rsidTr="007F37A3">
        <w:trPr>
          <w:trHeight w:val="690"/>
        </w:trPr>
        <w:tc>
          <w:tcPr>
            <w:tcW w:w="1060" w:type="dxa"/>
            <w:vMerge w:val="restart"/>
            <w:tcBorders>
              <w:top w:val="nil"/>
              <w:left w:val="single" w:sz="8" w:space="0" w:color="auto"/>
              <w:bottom w:val="nil"/>
              <w:right w:val="single" w:sz="8" w:space="0" w:color="auto"/>
            </w:tcBorders>
            <w:shd w:val="clear" w:color="auto" w:fill="auto"/>
            <w:vAlign w:val="center"/>
            <w:hideMark/>
          </w:tcPr>
          <w:p w:rsidR="00E14AF1" w:rsidRPr="000113C4" w:rsidRDefault="00E14AF1" w:rsidP="003C7A19">
            <w:pPr>
              <w:spacing w:line="276" w:lineRule="auto"/>
              <w:jc w:val="both"/>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 </w:t>
            </w:r>
          </w:p>
        </w:tc>
        <w:tc>
          <w:tcPr>
            <w:tcW w:w="4240"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Lifespan</w:t>
            </w:r>
            <w:proofErr w:type="spellEnd"/>
            <w:r w:rsidRPr="000113C4">
              <w:rPr>
                <w:rFonts w:ascii="Times New Roman" w:eastAsia="Times New Roman" w:hAnsi="Times New Roman" w:cs="Times New Roman"/>
                <w:color w:val="000000"/>
                <w:lang w:val="es-ES_tradnl"/>
              </w:rPr>
              <w:t xml:space="preserve"> </w:t>
            </w:r>
            <w:proofErr w:type="spellStart"/>
            <w:r w:rsidRPr="000113C4">
              <w:rPr>
                <w:rFonts w:ascii="Times New Roman" w:eastAsia="Times New Roman" w:hAnsi="Times New Roman" w:cs="Times New Roman"/>
                <w:color w:val="000000"/>
                <w:lang w:val="es-ES_tradnl"/>
              </w:rPr>
              <w:t>inequality</w:t>
            </w:r>
            <w:proofErr w:type="spellEnd"/>
            <w:r w:rsidRPr="000113C4">
              <w:rPr>
                <w:rFonts w:ascii="Times New Roman" w:eastAsia="Times New Roman" w:hAnsi="Times New Roman" w:cs="Times New Roman"/>
                <w:color w:val="000000"/>
                <w:lang w:val="es-ES_tradnl"/>
              </w:rPr>
              <w:t xml:space="preserve"> (LI) </w:t>
            </w:r>
            <w:proofErr w:type="spellStart"/>
            <w:r w:rsidRPr="000113C4">
              <w:rPr>
                <w:rFonts w:ascii="Times New Roman" w:eastAsia="Times New Roman" w:hAnsi="Times New Roman" w:cs="Times New Roman"/>
                <w:color w:val="000000"/>
                <w:lang w:val="es-ES_tradnl"/>
              </w:rPr>
              <w:t>Gini</w:t>
            </w:r>
            <w:proofErr w:type="spellEnd"/>
          </w:p>
        </w:tc>
        <w:tc>
          <w:tcPr>
            <w:tcW w:w="4240" w:type="dxa"/>
            <w:gridSpan w:val="4"/>
            <w:vMerge w:val="restart"/>
            <w:tcBorders>
              <w:top w:val="single" w:sz="8" w:space="0" w:color="auto"/>
              <w:left w:val="single" w:sz="8" w:space="0" w:color="auto"/>
              <w:bottom w:val="single" w:sz="8" w:space="0" w:color="000000"/>
              <w:right w:val="single" w:sz="8" w:space="0" w:color="000000"/>
            </w:tcBorders>
            <w:shd w:val="clear" w:color="000000" w:fill="D9D9D9"/>
            <w:vAlign w:val="center"/>
            <w:hideMark/>
          </w:tcPr>
          <w:p w:rsidR="00E14AF1" w:rsidRPr="002F0B8A" w:rsidRDefault="00E14AF1" w:rsidP="003C7A19">
            <w:pPr>
              <w:spacing w:line="276" w:lineRule="auto"/>
              <w:jc w:val="center"/>
              <w:rPr>
                <w:rFonts w:ascii="Times New Roman" w:eastAsia="Times New Roman" w:hAnsi="Times New Roman" w:cs="Times New Roman"/>
                <w:color w:val="000000"/>
              </w:rPr>
            </w:pPr>
            <w:r w:rsidRPr="002F0B8A">
              <w:rPr>
                <w:rFonts w:ascii="Times New Roman" w:eastAsia="Times New Roman" w:hAnsi="Times New Roman" w:cs="Times New Roman"/>
                <w:color w:val="000000"/>
              </w:rPr>
              <w:t>Healthy lifespan inequality (HLI) Gini</w:t>
            </w:r>
          </w:p>
        </w:tc>
      </w:tr>
      <w:tr w:rsidR="00E14AF1" w:rsidRPr="000113C4" w:rsidTr="007F37A3">
        <w:trPr>
          <w:trHeight w:val="537"/>
        </w:trPr>
        <w:tc>
          <w:tcPr>
            <w:tcW w:w="1060" w:type="dxa"/>
            <w:vMerge/>
            <w:tcBorders>
              <w:top w:val="nil"/>
              <w:left w:val="single" w:sz="8" w:space="0" w:color="auto"/>
              <w:bottom w:val="nil"/>
              <w:right w:val="single" w:sz="8" w:space="0" w:color="auto"/>
            </w:tcBorders>
            <w:vAlign w:val="center"/>
            <w:hideMark/>
          </w:tcPr>
          <w:p w:rsidR="00E14AF1" w:rsidRPr="002F0B8A" w:rsidRDefault="00E14AF1" w:rsidP="003C7A19">
            <w:pPr>
              <w:spacing w:line="276" w:lineRule="auto"/>
              <w:rPr>
                <w:rFonts w:ascii="Times New Roman" w:eastAsia="Times New Roman" w:hAnsi="Times New Roman" w:cs="Times New Roman"/>
                <w:color w:val="000000"/>
              </w:rPr>
            </w:pPr>
          </w:p>
        </w:tc>
        <w:tc>
          <w:tcPr>
            <w:tcW w:w="4240" w:type="dxa"/>
            <w:gridSpan w:val="4"/>
            <w:vMerge/>
            <w:tcBorders>
              <w:top w:val="single" w:sz="8" w:space="0" w:color="auto"/>
              <w:left w:val="single" w:sz="8" w:space="0" w:color="auto"/>
              <w:bottom w:val="single" w:sz="8" w:space="0" w:color="000000"/>
              <w:right w:val="single" w:sz="8" w:space="0" w:color="000000"/>
            </w:tcBorders>
            <w:vAlign w:val="center"/>
            <w:hideMark/>
          </w:tcPr>
          <w:p w:rsidR="00E14AF1" w:rsidRPr="002F0B8A" w:rsidRDefault="00E14AF1" w:rsidP="003C7A19">
            <w:pPr>
              <w:spacing w:line="276" w:lineRule="auto"/>
              <w:jc w:val="center"/>
              <w:rPr>
                <w:rFonts w:ascii="Times New Roman" w:eastAsia="Times New Roman" w:hAnsi="Times New Roman" w:cs="Times New Roman"/>
                <w:color w:val="000000"/>
              </w:rPr>
            </w:pPr>
          </w:p>
        </w:tc>
        <w:tc>
          <w:tcPr>
            <w:tcW w:w="4240" w:type="dxa"/>
            <w:gridSpan w:val="4"/>
            <w:vMerge/>
            <w:tcBorders>
              <w:top w:val="single" w:sz="8" w:space="0" w:color="auto"/>
              <w:left w:val="single" w:sz="8" w:space="0" w:color="auto"/>
              <w:bottom w:val="single" w:sz="8" w:space="0" w:color="000000"/>
              <w:right w:val="single" w:sz="8" w:space="0" w:color="000000"/>
            </w:tcBorders>
            <w:vAlign w:val="center"/>
            <w:hideMark/>
          </w:tcPr>
          <w:p w:rsidR="00E14AF1" w:rsidRPr="002F0B8A" w:rsidRDefault="00E14AF1" w:rsidP="003C7A19">
            <w:pPr>
              <w:spacing w:line="276" w:lineRule="auto"/>
              <w:jc w:val="center"/>
              <w:rPr>
                <w:rFonts w:ascii="Times New Roman" w:eastAsia="Times New Roman" w:hAnsi="Times New Roman" w:cs="Times New Roman"/>
                <w:color w:val="000000"/>
              </w:rPr>
            </w:pPr>
          </w:p>
        </w:tc>
      </w:tr>
      <w:tr w:rsidR="00E14AF1" w:rsidRPr="000113C4" w:rsidTr="007F37A3">
        <w:trPr>
          <w:trHeight w:val="340"/>
        </w:trPr>
        <w:tc>
          <w:tcPr>
            <w:tcW w:w="1060" w:type="dxa"/>
            <w:tcBorders>
              <w:top w:val="nil"/>
              <w:left w:val="single" w:sz="8" w:space="0" w:color="auto"/>
              <w:bottom w:val="single" w:sz="8" w:space="0" w:color="auto"/>
              <w:right w:val="single" w:sz="8" w:space="0" w:color="auto"/>
            </w:tcBorders>
            <w:shd w:val="clear" w:color="auto" w:fill="auto"/>
            <w:vAlign w:val="center"/>
            <w:hideMark/>
          </w:tcPr>
          <w:p w:rsidR="00E14AF1" w:rsidRPr="002F0B8A" w:rsidRDefault="00E14AF1" w:rsidP="003C7A19">
            <w:pPr>
              <w:spacing w:line="276" w:lineRule="auto"/>
              <w:jc w:val="both"/>
              <w:rPr>
                <w:rFonts w:ascii="Calibri" w:eastAsia="Times New Roman" w:hAnsi="Calibri" w:cs="Times New Roman"/>
                <w:color w:val="000000"/>
              </w:rPr>
            </w:pPr>
            <w:r w:rsidRPr="002F0B8A">
              <w:rPr>
                <w:rFonts w:ascii="Calibri" w:eastAsia="Times New Roman" w:hAnsi="Calibri" w:cs="Times New Roman"/>
                <w:color w:val="000000"/>
              </w:rPr>
              <w:t> </w:t>
            </w:r>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Low</w:t>
            </w:r>
            <w:proofErr w:type="spellEnd"/>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M</w:t>
            </w:r>
            <w:r w:rsidR="00DE249E">
              <w:rPr>
                <w:rFonts w:ascii="Times New Roman" w:eastAsia="Times New Roman" w:hAnsi="Times New Roman" w:cs="Times New Roman"/>
                <w:color w:val="000000"/>
                <w:lang w:val="es-ES_tradnl"/>
              </w:rPr>
              <w:t>e</w:t>
            </w:r>
            <w:r w:rsidRPr="000113C4">
              <w:rPr>
                <w:rFonts w:ascii="Times New Roman" w:eastAsia="Times New Roman" w:hAnsi="Times New Roman" w:cs="Times New Roman"/>
                <w:color w:val="000000"/>
                <w:lang w:val="es-ES_tradnl"/>
              </w:rPr>
              <w:t>d</w:t>
            </w:r>
            <w:proofErr w:type="spellEnd"/>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High</w:t>
            </w:r>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Total</w:t>
            </w:r>
          </w:p>
        </w:tc>
        <w:tc>
          <w:tcPr>
            <w:tcW w:w="1060" w:type="dxa"/>
            <w:tcBorders>
              <w:top w:val="nil"/>
              <w:left w:val="nil"/>
              <w:bottom w:val="single" w:sz="8" w:space="0" w:color="auto"/>
              <w:right w:val="single" w:sz="8" w:space="0" w:color="auto"/>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Low</w:t>
            </w:r>
            <w:proofErr w:type="spellEnd"/>
          </w:p>
        </w:tc>
        <w:tc>
          <w:tcPr>
            <w:tcW w:w="1060" w:type="dxa"/>
            <w:tcBorders>
              <w:top w:val="nil"/>
              <w:left w:val="nil"/>
              <w:bottom w:val="single" w:sz="8" w:space="0" w:color="auto"/>
              <w:right w:val="single" w:sz="8" w:space="0" w:color="auto"/>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M</w:t>
            </w:r>
            <w:r w:rsidR="00DE249E">
              <w:rPr>
                <w:rFonts w:ascii="Times New Roman" w:eastAsia="Times New Roman" w:hAnsi="Times New Roman" w:cs="Times New Roman"/>
                <w:color w:val="000000"/>
                <w:lang w:val="es-ES_tradnl"/>
              </w:rPr>
              <w:t>e</w:t>
            </w:r>
            <w:r w:rsidRPr="000113C4">
              <w:rPr>
                <w:rFonts w:ascii="Times New Roman" w:eastAsia="Times New Roman" w:hAnsi="Times New Roman" w:cs="Times New Roman"/>
                <w:color w:val="000000"/>
                <w:lang w:val="es-ES_tradnl"/>
              </w:rPr>
              <w:t>d</w:t>
            </w:r>
            <w:proofErr w:type="spellEnd"/>
          </w:p>
        </w:tc>
        <w:tc>
          <w:tcPr>
            <w:tcW w:w="1060" w:type="dxa"/>
            <w:tcBorders>
              <w:top w:val="nil"/>
              <w:left w:val="nil"/>
              <w:bottom w:val="single" w:sz="8" w:space="0" w:color="auto"/>
              <w:right w:val="single" w:sz="8" w:space="0" w:color="auto"/>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High</w:t>
            </w:r>
          </w:p>
        </w:tc>
        <w:tc>
          <w:tcPr>
            <w:tcW w:w="1060" w:type="dxa"/>
            <w:tcBorders>
              <w:top w:val="nil"/>
              <w:left w:val="nil"/>
              <w:bottom w:val="single" w:sz="8" w:space="0" w:color="auto"/>
              <w:right w:val="single" w:sz="8" w:space="0" w:color="auto"/>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Total</w:t>
            </w:r>
          </w:p>
        </w:tc>
      </w:tr>
      <w:tr w:rsidR="00E14AF1" w:rsidRPr="000113C4" w:rsidTr="007F37A3">
        <w:trPr>
          <w:trHeight w:val="340"/>
        </w:trPr>
        <w:tc>
          <w:tcPr>
            <w:tcW w:w="1060" w:type="dxa"/>
            <w:tcBorders>
              <w:top w:val="nil"/>
              <w:left w:val="single" w:sz="8" w:space="0" w:color="auto"/>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both"/>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Women</w:t>
            </w:r>
            <w:proofErr w:type="spellEnd"/>
          </w:p>
        </w:tc>
        <w:tc>
          <w:tcPr>
            <w:tcW w:w="1060" w:type="dxa"/>
            <w:tcBorders>
              <w:top w:val="nil"/>
              <w:left w:val="nil"/>
              <w:bottom w:val="nil"/>
              <w:right w:val="nil"/>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081</w:t>
            </w:r>
          </w:p>
        </w:tc>
        <w:tc>
          <w:tcPr>
            <w:tcW w:w="1060" w:type="dxa"/>
            <w:tcBorders>
              <w:top w:val="nil"/>
              <w:left w:val="nil"/>
              <w:bottom w:val="nil"/>
              <w:right w:val="nil"/>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075</w:t>
            </w:r>
          </w:p>
        </w:tc>
        <w:tc>
          <w:tcPr>
            <w:tcW w:w="1060" w:type="dxa"/>
            <w:tcBorders>
              <w:top w:val="nil"/>
              <w:left w:val="nil"/>
              <w:bottom w:val="nil"/>
              <w:right w:val="nil"/>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068</w:t>
            </w:r>
          </w:p>
        </w:tc>
        <w:tc>
          <w:tcPr>
            <w:tcW w:w="1060" w:type="dxa"/>
            <w:tcBorders>
              <w:top w:val="nil"/>
              <w:left w:val="nil"/>
              <w:bottom w:val="nil"/>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069</w:t>
            </w:r>
          </w:p>
        </w:tc>
        <w:tc>
          <w:tcPr>
            <w:tcW w:w="1060" w:type="dxa"/>
            <w:tcBorders>
              <w:top w:val="nil"/>
              <w:left w:val="nil"/>
              <w:bottom w:val="nil"/>
              <w:right w:val="nil"/>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128</w:t>
            </w:r>
          </w:p>
        </w:tc>
        <w:tc>
          <w:tcPr>
            <w:tcW w:w="1060" w:type="dxa"/>
            <w:tcBorders>
              <w:top w:val="nil"/>
              <w:left w:val="nil"/>
              <w:bottom w:val="nil"/>
              <w:right w:val="nil"/>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107</w:t>
            </w:r>
          </w:p>
        </w:tc>
        <w:tc>
          <w:tcPr>
            <w:tcW w:w="1060" w:type="dxa"/>
            <w:tcBorders>
              <w:top w:val="nil"/>
              <w:left w:val="nil"/>
              <w:bottom w:val="nil"/>
              <w:right w:val="nil"/>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090</w:t>
            </w:r>
          </w:p>
        </w:tc>
        <w:tc>
          <w:tcPr>
            <w:tcW w:w="1060" w:type="dxa"/>
            <w:tcBorders>
              <w:top w:val="nil"/>
              <w:left w:val="nil"/>
              <w:bottom w:val="nil"/>
              <w:right w:val="single" w:sz="8" w:space="0" w:color="auto"/>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102</w:t>
            </w:r>
          </w:p>
        </w:tc>
      </w:tr>
      <w:tr w:rsidR="00E14AF1" w:rsidRPr="000113C4" w:rsidTr="007F37A3">
        <w:trPr>
          <w:trHeight w:val="340"/>
        </w:trPr>
        <w:tc>
          <w:tcPr>
            <w:tcW w:w="1060" w:type="dxa"/>
            <w:tcBorders>
              <w:top w:val="nil"/>
              <w:left w:val="single" w:sz="8" w:space="0" w:color="auto"/>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both"/>
              <w:rPr>
                <w:rFonts w:ascii="Times New Roman" w:eastAsia="Times New Roman" w:hAnsi="Times New Roman" w:cs="Times New Roman"/>
                <w:color w:val="000000"/>
                <w:lang w:val="es-ES_tradnl"/>
              </w:rPr>
            </w:pPr>
            <w:proofErr w:type="spellStart"/>
            <w:r w:rsidRPr="000113C4">
              <w:rPr>
                <w:rFonts w:ascii="Times New Roman" w:eastAsia="Times New Roman" w:hAnsi="Times New Roman" w:cs="Times New Roman"/>
                <w:color w:val="000000"/>
                <w:lang w:val="es-ES_tradnl"/>
              </w:rPr>
              <w:t>Men</w:t>
            </w:r>
            <w:proofErr w:type="spellEnd"/>
          </w:p>
        </w:tc>
        <w:tc>
          <w:tcPr>
            <w:tcW w:w="1060" w:type="dxa"/>
            <w:tcBorders>
              <w:top w:val="nil"/>
              <w:left w:val="nil"/>
              <w:bottom w:val="single" w:sz="8" w:space="0" w:color="auto"/>
              <w:right w:val="nil"/>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086</w:t>
            </w:r>
          </w:p>
        </w:tc>
        <w:tc>
          <w:tcPr>
            <w:tcW w:w="1060" w:type="dxa"/>
            <w:tcBorders>
              <w:top w:val="nil"/>
              <w:left w:val="nil"/>
              <w:bottom w:val="single" w:sz="8" w:space="0" w:color="auto"/>
              <w:right w:val="nil"/>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085</w:t>
            </w:r>
          </w:p>
        </w:tc>
        <w:tc>
          <w:tcPr>
            <w:tcW w:w="1060" w:type="dxa"/>
            <w:tcBorders>
              <w:top w:val="nil"/>
              <w:left w:val="nil"/>
              <w:bottom w:val="single" w:sz="8" w:space="0" w:color="auto"/>
              <w:right w:val="nil"/>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072</w:t>
            </w:r>
          </w:p>
        </w:tc>
        <w:tc>
          <w:tcPr>
            <w:tcW w:w="1060" w:type="dxa"/>
            <w:tcBorders>
              <w:top w:val="nil"/>
              <w:left w:val="nil"/>
              <w:bottom w:val="single" w:sz="8" w:space="0" w:color="auto"/>
              <w:right w:val="single" w:sz="8" w:space="0" w:color="auto"/>
            </w:tcBorders>
            <w:shd w:val="clear" w:color="auto" w:fill="auto"/>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077</w:t>
            </w:r>
          </w:p>
        </w:tc>
        <w:tc>
          <w:tcPr>
            <w:tcW w:w="1060" w:type="dxa"/>
            <w:tcBorders>
              <w:top w:val="nil"/>
              <w:left w:val="nil"/>
              <w:bottom w:val="single" w:sz="8" w:space="0" w:color="auto"/>
              <w:right w:val="nil"/>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113</w:t>
            </w:r>
          </w:p>
        </w:tc>
        <w:tc>
          <w:tcPr>
            <w:tcW w:w="1060" w:type="dxa"/>
            <w:tcBorders>
              <w:top w:val="nil"/>
              <w:left w:val="nil"/>
              <w:bottom w:val="single" w:sz="8" w:space="0" w:color="auto"/>
              <w:right w:val="nil"/>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105</w:t>
            </w:r>
          </w:p>
        </w:tc>
        <w:tc>
          <w:tcPr>
            <w:tcW w:w="1060" w:type="dxa"/>
            <w:tcBorders>
              <w:top w:val="nil"/>
              <w:left w:val="nil"/>
              <w:bottom w:val="single" w:sz="8" w:space="0" w:color="auto"/>
              <w:right w:val="nil"/>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086</w:t>
            </w:r>
          </w:p>
        </w:tc>
        <w:tc>
          <w:tcPr>
            <w:tcW w:w="1060" w:type="dxa"/>
            <w:tcBorders>
              <w:top w:val="nil"/>
              <w:left w:val="nil"/>
              <w:bottom w:val="single" w:sz="8" w:space="0" w:color="auto"/>
              <w:right w:val="single" w:sz="8" w:space="0" w:color="auto"/>
            </w:tcBorders>
            <w:shd w:val="clear" w:color="000000" w:fill="D9D9D9"/>
            <w:vAlign w:val="center"/>
            <w:hideMark/>
          </w:tcPr>
          <w:p w:rsidR="00E14AF1" w:rsidRPr="000113C4" w:rsidRDefault="00E14AF1" w:rsidP="003C7A19">
            <w:pPr>
              <w:spacing w:line="276" w:lineRule="auto"/>
              <w:jc w:val="center"/>
              <w:rPr>
                <w:rFonts w:ascii="Times New Roman" w:eastAsia="Times New Roman" w:hAnsi="Times New Roman" w:cs="Times New Roman"/>
                <w:color w:val="000000"/>
                <w:lang w:val="es-ES_tradnl"/>
              </w:rPr>
            </w:pPr>
            <w:r w:rsidRPr="000113C4">
              <w:rPr>
                <w:rFonts w:ascii="Times New Roman" w:eastAsia="Times New Roman" w:hAnsi="Times New Roman" w:cs="Times New Roman"/>
                <w:color w:val="000000"/>
                <w:lang w:val="es-ES_tradnl"/>
              </w:rPr>
              <w:t>0</w:t>
            </w:r>
            <w:r>
              <w:rPr>
                <w:rFonts w:ascii="Times New Roman" w:eastAsia="Times New Roman" w:hAnsi="Times New Roman" w:cs="Times New Roman"/>
                <w:color w:val="000000"/>
                <w:lang w:val="es-ES_tradnl"/>
              </w:rPr>
              <w:t>.</w:t>
            </w:r>
            <w:r w:rsidRPr="000113C4">
              <w:rPr>
                <w:rFonts w:ascii="Times New Roman" w:eastAsia="Times New Roman" w:hAnsi="Times New Roman" w:cs="Times New Roman"/>
                <w:color w:val="000000"/>
                <w:lang w:val="es-ES_tradnl"/>
              </w:rPr>
              <w:t>098</w:t>
            </w:r>
          </w:p>
        </w:tc>
      </w:tr>
    </w:tbl>
    <w:p w:rsidR="00E14AF1" w:rsidRDefault="00E14AF1" w:rsidP="003C7A19">
      <w:pPr>
        <w:spacing w:after="240" w:line="600" w:lineRule="auto"/>
        <w:jc w:val="both"/>
        <w:rPr>
          <w:rFonts w:ascii="Times New Roman" w:hAnsi="Times New Roman" w:cs="Times New Roman"/>
        </w:rPr>
      </w:pPr>
      <w:r w:rsidRPr="00C50FDB">
        <w:rPr>
          <w:rFonts w:ascii="Times New Roman" w:hAnsi="Times New Roman" w:cs="Times New Roman"/>
          <w:b/>
        </w:rPr>
        <w:t xml:space="preserve">Table </w:t>
      </w:r>
      <w:r>
        <w:rPr>
          <w:rFonts w:ascii="Times New Roman" w:hAnsi="Times New Roman" w:cs="Times New Roman"/>
          <w:b/>
        </w:rPr>
        <w:t>S4</w:t>
      </w:r>
      <w:r w:rsidRPr="00C50FDB">
        <w:rPr>
          <w:rFonts w:ascii="Times New Roman" w:hAnsi="Times New Roman" w:cs="Times New Roman"/>
          <w:b/>
        </w:rPr>
        <w:t>.</w:t>
      </w:r>
      <w:r>
        <w:rPr>
          <w:rFonts w:ascii="Times New Roman" w:hAnsi="Times New Roman" w:cs="Times New Roman"/>
        </w:rPr>
        <w:t xml:space="preserve"> Life expectancy, healthy life expectancy, lifespan inequality and healthy lifespan inequality indicators for women and men aged 35-85 across education groups in Spain 2015. The disability measures </w:t>
      </w:r>
      <w:proofErr w:type="gramStart"/>
      <w:r>
        <w:rPr>
          <w:rFonts w:ascii="Times New Roman" w:hAnsi="Times New Roman" w:cs="Times New Roman"/>
        </w:rPr>
        <w:t>are based</w:t>
      </w:r>
      <w:proofErr w:type="gramEnd"/>
      <w:r>
        <w:rPr>
          <w:rFonts w:ascii="Times New Roman" w:hAnsi="Times New Roman" w:cs="Times New Roman"/>
        </w:rPr>
        <w:t xml:space="preserve"> on individuals’ ability to climb 12 stairs without difficulty, and inequality is measured with the Gini coefficient. Shaded cells highlight the new HLI indicators proposed in this paper. Source: Authors’ calculations based on INE’s 2014-17 death files and the 2014 and 2017 </w:t>
      </w:r>
      <w:r w:rsidRPr="007B0D04">
        <w:rPr>
          <w:rFonts w:ascii="Times New Roman" w:hAnsi="Times New Roman" w:cs="Times New Roman"/>
        </w:rPr>
        <w:t>SNHS.</w:t>
      </w:r>
    </w:p>
    <w:p w:rsidR="00E14AF1" w:rsidRDefault="00E14AF1" w:rsidP="003C7A19">
      <w:pPr>
        <w:spacing w:after="240" w:line="600" w:lineRule="auto"/>
        <w:jc w:val="both"/>
        <w:rPr>
          <w:rFonts w:ascii="Times New Roman" w:hAnsi="Times New Roman" w:cs="Times New Roman"/>
        </w:rPr>
      </w:pPr>
      <w:r>
        <w:rPr>
          <w:rFonts w:ascii="Times New Roman" w:hAnsi="Times New Roman" w:cs="Times New Roman"/>
        </w:rPr>
        <w:t xml:space="preserve">Once again, the main findings of this paper </w:t>
      </w:r>
      <w:proofErr w:type="gramStart"/>
      <w:r>
        <w:rPr>
          <w:rFonts w:ascii="Times New Roman" w:hAnsi="Times New Roman" w:cs="Times New Roman"/>
        </w:rPr>
        <w:t>are reproduced</w:t>
      </w:r>
      <w:proofErr w:type="gramEnd"/>
      <w:r>
        <w:rPr>
          <w:rFonts w:ascii="Times New Roman" w:hAnsi="Times New Roman" w:cs="Times New Roman"/>
        </w:rPr>
        <w:t xml:space="preserve"> when using this alternative definition of physical limitation.</w:t>
      </w:r>
    </w:p>
    <w:p w:rsidR="00E14AF1" w:rsidRDefault="00E14AF1" w:rsidP="003C7A19">
      <w:pPr>
        <w:spacing w:after="240" w:line="600" w:lineRule="auto"/>
        <w:jc w:val="both"/>
        <w:rPr>
          <w:rFonts w:ascii="Times New Roman" w:hAnsi="Times New Roman" w:cs="Times New Roman"/>
        </w:rPr>
      </w:pPr>
    </w:p>
    <w:p w:rsidR="00E14AF1" w:rsidRPr="00B801F4" w:rsidRDefault="00E14AF1" w:rsidP="003C7A19">
      <w:pPr>
        <w:spacing w:after="240" w:line="600" w:lineRule="auto"/>
        <w:jc w:val="both"/>
        <w:rPr>
          <w:rFonts w:ascii="Times New Roman" w:hAnsi="Times New Roman" w:cs="Times New Roman"/>
          <w:b/>
        </w:rPr>
      </w:pPr>
      <w:r w:rsidRPr="00B801F4">
        <w:rPr>
          <w:rFonts w:ascii="Times New Roman" w:hAnsi="Times New Roman" w:cs="Times New Roman"/>
          <w:b/>
        </w:rPr>
        <w:t>References Supplementary Material</w:t>
      </w:r>
    </w:p>
    <w:p w:rsidR="00E14AF1" w:rsidRPr="00C555D5" w:rsidRDefault="00E14AF1" w:rsidP="003C7A19">
      <w:pPr>
        <w:pStyle w:val="Prrafodelista"/>
        <w:numPr>
          <w:ilvl w:val="0"/>
          <w:numId w:val="1"/>
        </w:numPr>
        <w:spacing w:after="240" w:line="600" w:lineRule="auto"/>
        <w:ind w:left="567" w:hanging="567"/>
        <w:jc w:val="both"/>
        <w:rPr>
          <w:rFonts w:ascii="Times New Roman" w:hAnsi="Times New Roman" w:cs="Times New Roman"/>
        </w:rPr>
      </w:pPr>
      <w:r w:rsidRPr="00C555D5">
        <w:rPr>
          <w:rFonts w:ascii="Times New Roman" w:hAnsi="Times New Roman" w:cs="Times New Roman"/>
          <w:lang w:val="nl-NL"/>
        </w:rPr>
        <w:lastRenderedPageBreak/>
        <w:t xml:space="preserve">Villar, A. Lectures on Inequality, Poverty and Welfare. </w:t>
      </w:r>
      <w:r w:rsidRPr="00C555D5">
        <w:rPr>
          <w:rFonts w:ascii="Times New Roman" w:hAnsi="Times New Roman" w:cs="Times New Roman"/>
          <w:i/>
          <w:lang w:val="nl-NL"/>
        </w:rPr>
        <w:t>Lecture Notes in Economics and Mathematical Systems</w:t>
      </w:r>
      <w:r w:rsidRPr="00C555D5">
        <w:rPr>
          <w:rFonts w:ascii="Times New Roman" w:hAnsi="Times New Roman" w:cs="Times New Roman"/>
          <w:lang w:val="nl-NL"/>
        </w:rPr>
        <w:t xml:space="preserve"> 685, Springer (2017).</w:t>
      </w:r>
    </w:p>
    <w:p w:rsidR="00E14AF1" w:rsidRPr="00C05CC0" w:rsidRDefault="00E14AF1" w:rsidP="003C7A19">
      <w:pPr>
        <w:pStyle w:val="Prrafodelista"/>
        <w:numPr>
          <w:ilvl w:val="0"/>
          <w:numId w:val="1"/>
        </w:numPr>
        <w:spacing w:after="240" w:line="600" w:lineRule="auto"/>
        <w:ind w:left="567" w:hanging="567"/>
        <w:jc w:val="both"/>
        <w:rPr>
          <w:rFonts w:ascii="Times New Roman" w:hAnsi="Times New Roman" w:cs="Times New Roman"/>
        </w:rPr>
      </w:pPr>
      <w:r>
        <w:rPr>
          <w:rFonts w:ascii="Times New Roman" w:hAnsi="Times New Roman" w:cs="Times New Roman"/>
          <w:lang w:val="nl-NL"/>
        </w:rPr>
        <w:t>C</w:t>
      </w:r>
      <w:r w:rsidRPr="00135C4E">
        <w:rPr>
          <w:rFonts w:ascii="Times New Roman" w:hAnsi="Times New Roman" w:cs="Times New Roman"/>
          <w:lang w:val="nl-NL"/>
        </w:rPr>
        <w:t xml:space="preserve">roezen S, Burdorf A, van Lenthe FJ. </w:t>
      </w:r>
      <w:proofErr w:type="gramStart"/>
      <w:r w:rsidRPr="00135C4E">
        <w:rPr>
          <w:rFonts w:ascii="Times New Roman" w:hAnsi="Times New Roman" w:cs="Times New Roman"/>
        </w:rPr>
        <w:t>Self-perceived health in older Europeans: Does the choice of survey matter?</w:t>
      </w:r>
      <w:proofErr w:type="gramEnd"/>
      <w:r w:rsidRPr="00135C4E">
        <w:rPr>
          <w:rFonts w:ascii="Times New Roman" w:hAnsi="Times New Roman" w:cs="Times New Roman"/>
        </w:rPr>
        <w:t xml:space="preserve"> </w:t>
      </w:r>
      <w:proofErr w:type="spellStart"/>
      <w:r w:rsidRPr="00C555D5">
        <w:rPr>
          <w:rFonts w:ascii="Times New Roman" w:hAnsi="Times New Roman" w:cs="Times New Roman"/>
          <w:i/>
        </w:rPr>
        <w:t>Eur</w:t>
      </w:r>
      <w:proofErr w:type="spellEnd"/>
      <w:r w:rsidRPr="00C555D5">
        <w:rPr>
          <w:rFonts w:ascii="Times New Roman" w:hAnsi="Times New Roman" w:cs="Times New Roman"/>
          <w:i/>
        </w:rPr>
        <w:t xml:space="preserve"> J </w:t>
      </w:r>
      <w:proofErr w:type="spellStart"/>
      <w:r w:rsidRPr="00C555D5">
        <w:rPr>
          <w:rFonts w:ascii="Times New Roman" w:hAnsi="Times New Roman" w:cs="Times New Roman"/>
          <w:i/>
        </w:rPr>
        <w:t>Publi</w:t>
      </w:r>
      <w:proofErr w:type="spellEnd"/>
      <w:r w:rsidRPr="007B0D04">
        <w:rPr>
          <w:rFonts w:ascii="Times New Roman" w:hAnsi="Times New Roman" w:cs="Times New Roman"/>
          <w:i/>
          <w:lang w:val="es-ES"/>
        </w:rPr>
        <w:t xml:space="preserve">c </w:t>
      </w:r>
      <w:proofErr w:type="spellStart"/>
      <w:r w:rsidRPr="007B0D04">
        <w:rPr>
          <w:rFonts w:ascii="Times New Roman" w:hAnsi="Times New Roman" w:cs="Times New Roman"/>
          <w:i/>
          <w:lang w:val="es-ES"/>
        </w:rPr>
        <w:t>Health</w:t>
      </w:r>
      <w:proofErr w:type="spellEnd"/>
      <w:r w:rsidRPr="007B0D04">
        <w:rPr>
          <w:rFonts w:ascii="Times New Roman" w:hAnsi="Times New Roman" w:cs="Times New Roman"/>
          <w:lang w:val="es-ES"/>
        </w:rPr>
        <w:t xml:space="preserve"> 2016; </w:t>
      </w:r>
      <w:r w:rsidRPr="007B0D04">
        <w:rPr>
          <w:rFonts w:ascii="Times New Roman" w:hAnsi="Times New Roman" w:cs="Times New Roman"/>
          <w:b/>
          <w:lang w:val="es-ES"/>
        </w:rPr>
        <w:t>26</w:t>
      </w:r>
      <w:r w:rsidRPr="007B0D04">
        <w:rPr>
          <w:rFonts w:ascii="Times New Roman" w:hAnsi="Times New Roman" w:cs="Times New Roman"/>
          <w:lang w:val="es-ES"/>
        </w:rPr>
        <w:t>(4): 686-92.</w:t>
      </w:r>
    </w:p>
    <w:p w:rsidR="00E14AF1" w:rsidRPr="007B0D04" w:rsidRDefault="00E14AF1" w:rsidP="003C7A19">
      <w:pPr>
        <w:pStyle w:val="Prrafodelista"/>
        <w:numPr>
          <w:ilvl w:val="0"/>
          <w:numId w:val="1"/>
        </w:numPr>
        <w:spacing w:after="240" w:line="600" w:lineRule="auto"/>
        <w:ind w:left="567" w:hanging="567"/>
        <w:jc w:val="both"/>
        <w:rPr>
          <w:rFonts w:ascii="Times New Roman" w:hAnsi="Times New Roman" w:cs="Times New Roman"/>
        </w:rPr>
      </w:pPr>
      <w:r w:rsidRPr="007B0D04">
        <w:rPr>
          <w:rFonts w:ascii="Times New Roman" w:hAnsi="Times New Roman" w:cs="Times New Roman"/>
          <w:lang w:val="es-ES"/>
        </w:rPr>
        <w:t xml:space="preserve">Latorre-Román PA, Laredo-Aguilera JA, García-Pinillos F, Soto-Hermoso VM, Carmona-Torres JM. </w:t>
      </w:r>
      <w:r w:rsidRPr="007B0D04">
        <w:rPr>
          <w:rFonts w:ascii="Times New Roman" w:hAnsi="Times New Roman" w:cs="Times New Roman"/>
        </w:rPr>
        <w:t xml:space="preserve">Physical activity, weight and functional limitations in elderly Spanish people: the National Health Survey (2009–2014). </w:t>
      </w:r>
      <w:r w:rsidRPr="007B0D04">
        <w:rPr>
          <w:rFonts w:ascii="Times New Roman" w:hAnsi="Times New Roman" w:cs="Times New Roman"/>
          <w:i/>
        </w:rPr>
        <w:t>The European Journal of Public Health</w:t>
      </w:r>
      <w:r w:rsidRPr="007B0D04">
        <w:rPr>
          <w:rFonts w:ascii="Times New Roman" w:hAnsi="Times New Roman" w:cs="Times New Roman"/>
        </w:rPr>
        <w:t xml:space="preserve"> 2018; </w:t>
      </w:r>
      <w:r w:rsidRPr="007B0D04">
        <w:rPr>
          <w:rFonts w:ascii="Times New Roman" w:hAnsi="Times New Roman" w:cs="Times New Roman"/>
          <w:b/>
        </w:rPr>
        <w:t>28</w:t>
      </w:r>
      <w:r w:rsidRPr="007B0D04">
        <w:rPr>
          <w:rFonts w:ascii="Times New Roman" w:hAnsi="Times New Roman" w:cs="Times New Roman"/>
        </w:rPr>
        <w:t>(4): 778-83.</w:t>
      </w:r>
    </w:p>
    <w:p w:rsidR="00B70677" w:rsidRDefault="003713A7" w:rsidP="003C7A19">
      <w:pPr>
        <w:spacing w:line="600" w:lineRule="auto"/>
      </w:pPr>
    </w:p>
    <w:sectPr w:rsidR="00B70677" w:rsidSect="009E1E94">
      <w:footerReference w:type="default" r:id="rId7"/>
      <w:pgSz w:w="11900" w:h="16840"/>
      <w:pgMar w:top="1417" w:right="1701" w:bottom="1417" w:left="1701" w:header="708" w:footer="708"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3A7" w:rsidRDefault="003713A7" w:rsidP="003C7A19">
      <w:r>
        <w:separator/>
      </w:r>
    </w:p>
  </w:endnote>
  <w:endnote w:type="continuationSeparator" w:id="0">
    <w:p w:rsidR="003713A7" w:rsidRDefault="003713A7" w:rsidP="003C7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2524314"/>
      <w:docPartObj>
        <w:docPartGallery w:val="Page Numbers (Bottom of Page)"/>
        <w:docPartUnique/>
      </w:docPartObj>
    </w:sdtPr>
    <w:sdtContent>
      <w:p w:rsidR="003C7A19" w:rsidRDefault="003C7A19">
        <w:pPr>
          <w:pStyle w:val="Piedepgina"/>
          <w:jc w:val="center"/>
        </w:pPr>
        <w:r>
          <w:fldChar w:fldCharType="begin"/>
        </w:r>
        <w:r>
          <w:instrText>PAGE   \* MERGEFORMAT</w:instrText>
        </w:r>
        <w:r>
          <w:fldChar w:fldCharType="separate"/>
        </w:r>
        <w:r w:rsidRPr="003C7A19">
          <w:rPr>
            <w:noProof/>
            <w:lang w:val="es-ES"/>
          </w:rPr>
          <w:t>2</w:t>
        </w:r>
        <w:r>
          <w:fldChar w:fldCharType="end"/>
        </w:r>
      </w:p>
    </w:sdtContent>
  </w:sdt>
  <w:p w:rsidR="003C7A19" w:rsidRDefault="003C7A1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3A7" w:rsidRDefault="003713A7" w:rsidP="003C7A19">
      <w:r>
        <w:separator/>
      </w:r>
    </w:p>
  </w:footnote>
  <w:footnote w:type="continuationSeparator" w:id="0">
    <w:p w:rsidR="003713A7" w:rsidRDefault="003713A7" w:rsidP="003C7A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7E0799"/>
    <w:multiLevelType w:val="hybridMultilevel"/>
    <w:tmpl w:val="CD5CDAB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AF1"/>
    <w:rsid w:val="00097A96"/>
    <w:rsid w:val="001579E9"/>
    <w:rsid w:val="003713A7"/>
    <w:rsid w:val="003C7A19"/>
    <w:rsid w:val="00641B68"/>
    <w:rsid w:val="0083303C"/>
    <w:rsid w:val="00894AF2"/>
    <w:rsid w:val="00A70BDF"/>
    <w:rsid w:val="00D61CF2"/>
    <w:rsid w:val="00DE249E"/>
    <w:rsid w:val="00E14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A71E1"/>
  <w15:chartTrackingRefBased/>
  <w15:docId w15:val="{413B8DD8-4B06-4761-B053-8FBD9488C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4AF1"/>
    <w:pPr>
      <w:spacing w:after="0" w:line="240" w:lineRule="auto"/>
    </w:pPr>
    <w:rPr>
      <w:rFonts w:eastAsiaTheme="minorEastAsia"/>
      <w:sz w:val="24"/>
      <w:szCs w:val="24"/>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14AF1"/>
    <w:pPr>
      <w:ind w:left="720"/>
      <w:contextualSpacing/>
    </w:pPr>
  </w:style>
  <w:style w:type="paragraph" w:styleId="Encabezado">
    <w:name w:val="header"/>
    <w:basedOn w:val="Normal"/>
    <w:link w:val="EncabezadoCar"/>
    <w:uiPriority w:val="99"/>
    <w:unhideWhenUsed/>
    <w:rsid w:val="003C7A19"/>
    <w:pPr>
      <w:tabs>
        <w:tab w:val="center" w:pos="4419"/>
        <w:tab w:val="right" w:pos="8838"/>
      </w:tabs>
    </w:pPr>
  </w:style>
  <w:style w:type="character" w:customStyle="1" w:styleId="EncabezadoCar">
    <w:name w:val="Encabezado Car"/>
    <w:basedOn w:val="Fuentedeprrafopredeter"/>
    <w:link w:val="Encabezado"/>
    <w:uiPriority w:val="99"/>
    <w:rsid w:val="003C7A19"/>
    <w:rPr>
      <w:rFonts w:eastAsiaTheme="minorEastAsia"/>
      <w:sz w:val="24"/>
      <w:szCs w:val="24"/>
      <w:lang w:eastAsia="zh-CN"/>
    </w:rPr>
  </w:style>
  <w:style w:type="paragraph" w:styleId="Piedepgina">
    <w:name w:val="footer"/>
    <w:basedOn w:val="Normal"/>
    <w:link w:val="PiedepginaCar"/>
    <w:uiPriority w:val="99"/>
    <w:unhideWhenUsed/>
    <w:rsid w:val="003C7A19"/>
    <w:pPr>
      <w:tabs>
        <w:tab w:val="center" w:pos="4419"/>
        <w:tab w:val="right" w:pos="8838"/>
      </w:tabs>
    </w:pPr>
  </w:style>
  <w:style w:type="character" w:customStyle="1" w:styleId="PiedepginaCar">
    <w:name w:val="Pie de página Car"/>
    <w:basedOn w:val="Fuentedeprrafopredeter"/>
    <w:link w:val="Piedepgina"/>
    <w:uiPriority w:val="99"/>
    <w:rsid w:val="003C7A19"/>
    <w:rPr>
      <w:rFonts w:eastAsiaTheme="minorEastAsia"/>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1024</Words>
  <Characters>5841</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I±aki Permanyer</dc:creator>
  <cp:keywords/>
  <dc:description/>
  <cp:lastModifiedBy>I±aki Permanyer</cp:lastModifiedBy>
  <cp:revision>3</cp:revision>
  <dcterms:created xsi:type="dcterms:W3CDTF">2020-03-03T11:20:00Z</dcterms:created>
  <dcterms:modified xsi:type="dcterms:W3CDTF">2020-03-03T12:39:00Z</dcterms:modified>
</cp:coreProperties>
</file>