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BC55E" w14:textId="26C4E71C" w:rsidR="00F32F75" w:rsidRDefault="00DB325D" w:rsidP="00F32F75">
      <w:pPr>
        <w:pStyle w:val="Titre"/>
        <w:jc w:val="center"/>
        <w:rPr>
          <w:sz w:val="40"/>
          <w:szCs w:val="40"/>
          <w:lang w:val="en-GB"/>
        </w:rPr>
      </w:pPr>
      <w:bookmarkStart w:id="0" w:name="_Hlk145533185"/>
      <w:r w:rsidRPr="00DB325D">
        <w:rPr>
          <w:sz w:val="40"/>
          <w:szCs w:val="40"/>
          <w:lang w:val="en-GB"/>
        </w:rPr>
        <w:t>An innovative visual approach to the simultaneous study of two dimensions of progress in longevity: An application to French and German regions</w:t>
      </w:r>
      <w:bookmarkStart w:id="1" w:name="_GoBack"/>
      <w:bookmarkEnd w:id="1"/>
    </w:p>
    <w:p w14:paraId="4BE1EC3D" w14:textId="77777777" w:rsidR="00F32F75" w:rsidRPr="00F32F75" w:rsidRDefault="00F32F75" w:rsidP="00F32F75">
      <w:pPr>
        <w:rPr>
          <w:lang w:val="en-GB"/>
        </w:rPr>
      </w:pPr>
    </w:p>
    <w:bookmarkEnd w:id="0"/>
    <w:p w14:paraId="5B46F4F1" w14:textId="60AA5480" w:rsidR="00F32F75" w:rsidRDefault="00F32F75" w:rsidP="00F32F75">
      <w:pPr>
        <w:pStyle w:val="Titre1"/>
        <w:spacing w:after="240"/>
        <w:jc w:val="both"/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  <w:t>Supplemental Material A</w:t>
      </w:r>
    </w:p>
    <w:p w14:paraId="4B63DF57" w14:textId="392B671C" w:rsidR="008902D0" w:rsidRDefault="000F0D50" w:rsidP="00427308">
      <w:pPr>
        <w:jc w:val="both"/>
        <w:rPr>
          <w:b/>
          <w:bCs/>
          <w:lang w:val="en-GB" w:eastAsia="fr-FR"/>
        </w:rPr>
      </w:pPr>
      <w:r w:rsidRPr="00461D27">
        <w:rPr>
          <w:b/>
          <w:bCs/>
          <w:lang w:val="en-GB" w:eastAsia="fr-FR"/>
        </w:rPr>
        <w:t xml:space="preserve">Links between </w:t>
      </w:r>
      <w:r w:rsidR="00DF052C" w:rsidRPr="00461D27">
        <w:rPr>
          <w:b/>
          <w:bCs/>
          <w:lang w:val="en-GB" w:eastAsia="fr-FR"/>
        </w:rPr>
        <w:t xml:space="preserve">national </w:t>
      </w:r>
      <w:r w:rsidR="00761194" w:rsidRPr="00461D27">
        <w:rPr>
          <w:b/>
          <w:bCs/>
          <w:lang w:val="en-GB" w:eastAsia="fr-FR"/>
        </w:rPr>
        <w:t>s</w:t>
      </w:r>
      <w:r w:rsidR="00DF052C" w:rsidRPr="00461D27">
        <w:rPr>
          <w:b/>
          <w:bCs/>
          <w:lang w:val="en-GB" w:eastAsia="fr-FR"/>
        </w:rPr>
        <w:t xml:space="preserve">tandardized </w:t>
      </w:r>
      <w:r w:rsidR="00761194" w:rsidRPr="00461D27">
        <w:rPr>
          <w:b/>
          <w:bCs/>
          <w:lang w:val="en-GB" w:eastAsia="fr-FR"/>
        </w:rPr>
        <w:t>d</w:t>
      </w:r>
      <w:r w:rsidR="00DF052C" w:rsidRPr="00461D27">
        <w:rPr>
          <w:b/>
          <w:bCs/>
          <w:lang w:val="en-GB" w:eastAsia="fr-FR"/>
        </w:rPr>
        <w:t xml:space="preserve">eath </w:t>
      </w:r>
      <w:r w:rsidR="00427308" w:rsidRPr="00461D27">
        <w:rPr>
          <w:b/>
          <w:bCs/>
          <w:lang w:val="en-GB" w:eastAsia="fr-FR"/>
        </w:rPr>
        <w:t>rate</w:t>
      </w:r>
      <m:oMath>
        <m:r>
          <m:rPr>
            <m:sty m:val="bi"/>
          </m:rPr>
          <w:rPr>
            <w:rFonts w:ascii="Cambria Math" w:hAnsi="Cambria Math"/>
            <w:lang w:val="en-GB" w:eastAsia="fr-FR"/>
          </w:rPr>
          <m:t>(SDR)</m:t>
        </m:r>
      </m:oMath>
      <w:r w:rsidR="00DF052C" w:rsidRPr="00461D27">
        <w:rPr>
          <w:b/>
          <w:bCs/>
          <w:lang w:val="en-GB" w:eastAsia="fr-FR"/>
        </w:rPr>
        <w:t>,</w:t>
      </w:r>
      <w:r w:rsidR="00112B0B" w:rsidRPr="00461D27">
        <w:rPr>
          <w:b/>
          <w:bCs/>
          <w:lang w:val="en-GB" w:eastAsia="fr-FR"/>
        </w:rPr>
        <w:t xml:space="preserve"> </w:t>
      </w:r>
      <w:r w:rsidR="00427308">
        <w:rPr>
          <w:b/>
          <w:bCs/>
          <w:lang w:val="en-GB" w:eastAsia="fr-FR"/>
        </w:rPr>
        <w:t>standard deviation of regional SDRs</w:t>
      </w:r>
      <w:r w:rsidR="00461D27" w:rsidRPr="00461D27">
        <w:rPr>
          <w:rFonts w:eastAsiaTheme="minorEastAsia"/>
          <w:b/>
          <w:bCs/>
          <w:lang w:val="en-GB" w:eastAsia="fr-FR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lang w:val="en-GB" w:eastAsia="fr-FR"/>
          </w:rPr>
          <m:t>(SD)</m:t>
        </m:r>
      </m:oMath>
      <w:r w:rsidR="00461D27" w:rsidRPr="00461D27">
        <w:rPr>
          <w:b/>
          <w:bCs/>
          <w:lang w:val="en-GB" w:eastAsia="fr-FR"/>
        </w:rPr>
        <w:t xml:space="preserve"> </w:t>
      </w:r>
      <w:r w:rsidR="00761194" w:rsidRPr="00461D27">
        <w:rPr>
          <w:b/>
          <w:bCs/>
          <w:lang w:val="en-GB" w:eastAsia="fr-FR"/>
        </w:rPr>
        <w:t xml:space="preserve">and coefficient of </w:t>
      </w:r>
      <w:r w:rsidR="00427308" w:rsidRPr="00461D27">
        <w:rPr>
          <w:b/>
          <w:bCs/>
          <w:lang w:val="en-GB" w:eastAsia="fr-FR"/>
        </w:rPr>
        <w:t>variation</w:t>
      </w:r>
      <w:r w:rsidR="00427308">
        <w:rPr>
          <w:b/>
          <w:bCs/>
          <w:lang w:val="en-GB" w:eastAsia="fr-FR"/>
        </w:rPr>
        <w:t xml:space="preserve"> of regional SDRs </w:t>
      </w:r>
      <m:oMath>
        <m:r>
          <m:rPr>
            <m:sty m:val="bi"/>
          </m:rPr>
          <w:rPr>
            <w:rFonts w:ascii="Cambria Math" w:eastAsiaTheme="minorEastAsia" w:hAnsi="Cambria Math"/>
            <w:lang w:val="en-GB" w:eastAsia="fr-FR"/>
          </w:rPr>
          <m:t>(CV)</m:t>
        </m:r>
      </m:oMath>
      <w:r w:rsidR="00461D27" w:rsidRPr="00461D27">
        <w:rPr>
          <w:b/>
          <w:bCs/>
          <w:lang w:val="en-GB" w:eastAsia="fr-FR"/>
        </w:rPr>
        <w:t>.</w:t>
      </w:r>
      <w:r w:rsidR="00DF052C" w:rsidRPr="00461D27">
        <w:rPr>
          <w:b/>
          <w:bCs/>
          <w:lang w:val="en-GB" w:eastAsia="fr-FR"/>
        </w:rPr>
        <w:t xml:space="preserve"> </w:t>
      </w:r>
    </w:p>
    <w:p w14:paraId="39403EDA" w14:textId="25FCABFA" w:rsidR="003477BF" w:rsidRDefault="00427308">
      <w:pPr>
        <w:rPr>
          <w:lang w:val="en-GB" w:eastAsia="fr-FR"/>
        </w:rPr>
      </w:pPr>
      <w:r>
        <w:rPr>
          <w:lang w:val="en-GB" w:eastAsia="fr-FR"/>
        </w:rPr>
        <w:t>Let</w:t>
      </w:r>
      <w:r w:rsidR="003477BF">
        <w:rPr>
          <w:lang w:val="en-GB" w:eastAsia="fr-FR"/>
        </w:rPr>
        <w:t xml:space="preserve"> index by</w:t>
      </w:r>
      <w:r w:rsidR="00490327">
        <w:rPr>
          <w:lang w:val="en-GB" w:eastAsia="fr-FR"/>
        </w:rPr>
        <w:t xml:space="preserve"> </w:t>
      </w:r>
      <m:oMath>
        <m:r>
          <w:rPr>
            <w:rFonts w:ascii="Cambria Math" w:hAnsi="Cambria Math"/>
            <w:lang w:val="en-GB" w:eastAsia="fr-FR"/>
          </w:rPr>
          <m:t>t</m:t>
        </m:r>
      </m:oMath>
      <w:r w:rsidR="00490327">
        <w:rPr>
          <w:rFonts w:eastAsiaTheme="minorEastAsia"/>
          <w:lang w:val="en-GB" w:eastAsia="fr-FR"/>
        </w:rPr>
        <w:t xml:space="preserve"> and </w:t>
      </w:r>
      <m:oMath>
        <m:r>
          <w:rPr>
            <w:rFonts w:ascii="Cambria Math" w:hAnsi="Cambria Math"/>
            <w:lang w:val="en-GB" w:eastAsia="fr-FR"/>
          </w:rPr>
          <m:t>t</m:t>
        </m:r>
        <m:r>
          <w:rPr>
            <w:rFonts w:ascii="Cambria Math" w:eastAsiaTheme="minorEastAsia" w:hAnsi="Cambria Math"/>
            <w:lang w:val="en-GB" w:eastAsia="fr-FR"/>
          </w:rPr>
          <m:t>+1</m:t>
        </m:r>
      </m:oMath>
      <w:r w:rsidR="003477BF">
        <w:rPr>
          <w:b/>
          <w:bCs/>
          <w:lang w:val="en-GB" w:eastAsia="fr-FR"/>
        </w:rPr>
        <w:t xml:space="preserve"> </w:t>
      </w:r>
      <w:r w:rsidR="003477BF">
        <w:rPr>
          <w:lang w:val="en-GB" w:eastAsia="fr-FR"/>
        </w:rPr>
        <w:t>the values in first and second periods.</w:t>
      </w:r>
      <w:r w:rsidR="00273B1D">
        <w:rPr>
          <w:lang w:val="en-GB" w:eastAsia="fr-FR"/>
        </w:rPr>
        <w:t xml:space="preserve"> We can write:</w:t>
      </w:r>
    </w:p>
    <w:p w14:paraId="589A96EC" w14:textId="012F1C8B" w:rsidR="006332BD" w:rsidRPr="006332BD" w:rsidRDefault="00DB325D">
      <w:pPr>
        <w:rPr>
          <w:rFonts w:eastAsiaTheme="minorEastAsia"/>
          <w:iCs/>
          <w:lang w:val="en-GB" w:eastAsia="fr-FR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CV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SD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e>
              </m:acc>
            </m:den>
          </m:f>
          <m:r>
            <m:rPr>
              <m:sty m:val="p"/>
            </m:rPr>
            <w:rPr>
              <w:rFonts w:ascii="Cambria Math" w:hAnsi="Cambria Math"/>
              <w:lang w:val="en-GB" w:eastAsia="fr-FR"/>
            </w:rPr>
            <m:t xml:space="preserve"> (1)</m:t>
          </m:r>
        </m:oMath>
      </m:oMathPara>
    </w:p>
    <w:p w14:paraId="54248E8D" w14:textId="1EA0EFDB" w:rsidR="006332BD" w:rsidRPr="00273B1D" w:rsidRDefault="00DB325D" w:rsidP="006332BD">
      <w:pPr>
        <w:rPr>
          <w:rFonts w:eastAsiaTheme="minorEastAsia"/>
          <w:iCs/>
          <w:lang w:val="en-GB" w:eastAsia="fr-FR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CV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GB"/>
                </w:rPr>
                <m:t>t+1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4"/>
                  <w:szCs w:val="24"/>
                  <w:lang w:val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SD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t+1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e>
              </m:acc>
            </m:den>
          </m:f>
          <m:r>
            <m:rPr>
              <m:sty m:val="p"/>
            </m:rPr>
            <w:rPr>
              <w:rFonts w:ascii="Cambria Math" w:hAnsi="Cambria Math"/>
              <w:lang w:val="en-GB" w:eastAsia="fr-FR"/>
            </w:rPr>
            <m:t xml:space="preserve"> </m:t>
          </m:r>
          <m:d>
            <m:dPr>
              <m:ctrlPr>
                <w:rPr>
                  <w:rFonts w:ascii="Cambria Math" w:hAnsi="Cambria Math"/>
                  <w:iCs/>
                  <w:lang w:val="en-GB" w:eastAsia="fr-F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lang w:val="en-GB" w:eastAsia="fr-FR"/>
                </w:rPr>
                <m:t>2</m:t>
              </m:r>
            </m:e>
          </m:d>
        </m:oMath>
      </m:oMathPara>
    </w:p>
    <w:p w14:paraId="6795BF69" w14:textId="23C8F595" w:rsidR="00273B1D" w:rsidRDefault="00273B1D" w:rsidP="006332BD">
      <w:pPr>
        <w:rPr>
          <w:rFonts w:eastAsiaTheme="minorEastAsia"/>
          <w:iCs/>
          <w:lang w:val="en-GB" w:eastAsia="fr-FR"/>
        </w:rPr>
      </w:pPr>
      <w:r>
        <w:rPr>
          <w:rFonts w:eastAsiaTheme="minorEastAsia"/>
          <w:iCs/>
          <w:lang w:val="en-GB" w:eastAsia="fr-FR"/>
        </w:rPr>
        <w:t xml:space="preserve">By combining </w:t>
      </w:r>
      <m:oMath>
        <m:d>
          <m:dPr>
            <m:ctrlPr>
              <w:rPr>
                <w:rFonts w:ascii="Cambria Math" w:hAnsi="Cambria Math"/>
                <w:iCs/>
                <w:lang w:val="en-GB" w:eastAsia="fr-F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1</m:t>
            </m:r>
          </m:e>
        </m:d>
      </m:oMath>
      <w:r>
        <w:rPr>
          <w:rFonts w:eastAsiaTheme="minorEastAsia"/>
          <w:iCs/>
          <w:lang w:val="en-GB" w:eastAsia="fr-FR"/>
        </w:rPr>
        <w:t xml:space="preserve"> and </w:t>
      </w:r>
      <m:oMath>
        <m:d>
          <m:dPr>
            <m:ctrlPr>
              <w:rPr>
                <w:rFonts w:ascii="Cambria Math" w:hAnsi="Cambria Math"/>
                <w:iCs/>
                <w:lang w:val="en-GB" w:eastAsia="fr-FR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lang w:val="en-GB" w:eastAsia="fr-FR"/>
              </w:rPr>
              <m:t>2</m:t>
            </m:r>
          </m:e>
        </m:d>
      </m:oMath>
      <w:r>
        <w:rPr>
          <w:rFonts w:eastAsiaTheme="minorEastAsia"/>
          <w:iCs/>
          <w:lang w:val="en-GB" w:eastAsia="fr-FR"/>
        </w:rPr>
        <w:t>, we obtain:</w:t>
      </w:r>
    </w:p>
    <w:p w14:paraId="02638A4B" w14:textId="71852F63" w:rsidR="00CE3E08" w:rsidRPr="00CE3E08" w:rsidRDefault="00DB325D" w:rsidP="006332BD">
      <w:pPr>
        <w:rPr>
          <w:rFonts w:eastAsiaTheme="minorEastAsia"/>
          <w:iCs/>
          <w:lang w:val="en-GB" w:eastAsia="fr-FR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t+1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lang w:val="en-GB" w:eastAsia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lang w:val="en-GB" w:eastAsia="fr-FR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 w:eastAsia="fr-FR"/>
                </w:rPr>
                <m:t>3</m:t>
              </m:r>
            </m:e>
          </m:d>
        </m:oMath>
      </m:oMathPara>
    </w:p>
    <w:p w14:paraId="1712E206" w14:textId="2B9BF884" w:rsidR="00BE44F3" w:rsidRDefault="00A838F2" w:rsidP="006332BD">
      <w:pPr>
        <w:rPr>
          <w:rFonts w:eastAsiaTheme="minorEastAsia"/>
          <w:iCs/>
          <w:lang w:val="en-GB" w:eastAsia="fr-FR"/>
        </w:rPr>
      </w:pPr>
      <w:r>
        <w:rPr>
          <w:rFonts w:eastAsiaTheme="minorEastAsia"/>
          <w:iCs/>
          <w:lang w:val="en-GB" w:eastAsia="fr-FR"/>
        </w:rPr>
        <w:t xml:space="preserve">We call </w:t>
      </w:r>
      <m:oMath>
        <m:r>
          <w:rPr>
            <w:rFonts w:ascii="Cambria Math" w:eastAsiaTheme="minorEastAsia" w:hAnsi="Cambria Math"/>
            <w:lang w:val="en-GB" w:eastAsia="fr-FR"/>
          </w:rPr>
          <m:t>∆x</m:t>
        </m:r>
      </m:oMath>
      <w:r>
        <w:rPr>
          <w:rFonts w:eastAsiaTheme="minorEastAsia"/>
          <w:iCs/>
          <w:lang w:val="en-GB" w:eastAsia="fr-FR"/>
        </w:rPr>
        <w:t xml:space="preserve"> the absolute variation of </w:t>
      </w:r>
      <m:oMath>
        <m:r>
          <w:rPr>
            <w:rFonts w:ascii="Cambria Math" w:eastAsiaTheme="minorEastAsia" w:hAnsi="Cambria Math"/>
            <w:lang w:val="en-GB" w:eastAsia="fr-FR"/>
          </w:rPr>
          <m:t>x</m:t>
        </m:r>
      </m:oMath>
      <w:r>
        <w:rPr>
          <w:rFonts w:eastAsiaTheme="minorEastAsia"/>
          <w:iCs/>
          <w:lang w:val="en-GB" w:eastAsia="fr-FR"/>
        </w:rPr>
        <w:t xml:space="preserve"> between </w:t>
      </w:r>
      <m:oMath>
        <m:r>
          <w:rPr>
            <w:rFonts w:ascii="Cambria Math" w:eastAsiaTheme="minorEastAsia" w:hAnsi="Cambria Math"/>
            <w:lang w:val="en-GB" w:eastAsia="fr-FR"/>
          </w:rPr>
          <m:t>t</m:t>
        </m:r>
      </m:oMath>
      <w:r>
        <w:rPr>
          <w:rFonts w:eastAsiaTheme="minorEastAsia"/>
          <w:iCs/>
          <w:lang w:val="en-GB" w:eastAsia="fr-FR"/>
        </w:rPr>
        <w:t xml:space="preserve"> and </w:t>
      </w:r>
      <m:oMath>
        <m:r>
          <w:rPr>
            <w:rFonts w:ascii="Cambria Math" w:eastAsiaTheme="minorEastAsia" w:hAnsi="Cambria Math"/>
            <w:lang w:val="en-GB" w:eastAsia="fr-FR"/>
          </w:rPr>
          <m:t>t+1</m:t>
        </m:r>
      </m:oMath>
      <w:r w:rsidR="00427308">
        <w:rPr>
          <w:rFonts w:eastAsiaTheme="minorEastAsia"/>
          <w:iCs/>
          <w:lang w:val="en-GB" w:eastAsia="fr-FR"/>
        </w:rPr>
        <w:t>. Using this notation in (3),</w:t>
      </w:r>
      <w:r>
        <w:rPr>
          <w:rFonts w:eastAsiaTheme="minorEastAsia"/>
          <w:iCs/>
          <w:lang w:val="en-GB" w:eastAsia="fr-FR"/>
        </w:rPr>
        <w:t xml:space="preserve"> we obtain:</w:t>
      </w:r>
    </w:p>
    <w:p w14:paraId="4B331C01" w14:textId="3504A6F2" w:rsidR="00A838F2" w:rsidRPr="003A53FA" w:rsidRDefault="00DB325D" w:rsidP="00A838F2">
      <w:pPr>
        <w:rPr>
          <w:rFonts w:eastAsiaTheme="minorEastAsia"/>
          <w:iCs/>
          <w:lang w:val="en-GB" w:eastAsia="fr-FR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+∆CV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+∆SD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+∆SDR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lang w:val="en-GB" w:eastAsia="fr-FR"/>
            </w:rPr>
            <m:t xml:space="preserve"> (4) </m:t>
          </m:r>
        </m:oMath>
      </m:oMathPara>
    </w:p>
    <w:p w14:paraId="117D75A8" w14:textId="39E4D3E3" w:rsidR="003A53FA" w:rsidRPr="00162A7C" w:rsidRDefault="00A14666" w:rsidP="003A53FA">
      <w:pPr>
        <w:rPr>
          <w:rFonts w:eastAsiaTheme="minorEastAsia"/>
          <w:iCs/>
          <w:lang w:val="en-GB" w:eastAsia="fr-FR"/>
        </w:rPr>
      </w:pPr>
      <m:oMathPara>
        <m:oMath>
          <m:r>
            <w:rPr>
              <w:rFonts w:ascii="Cambria Math" w:eastAsiaTheme="minorEastAsia" w:hAnsi="Cambria Math"/>
              <w:lang w:val="en-GB" w:eastAsia="fr-FR"/>
            </w:rPr>
            <m:t>1+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∆CV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GB" w:eastAsia="fr-FR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∆SD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num>
            <m:den>
              <m:r>
                <w:rPr>
                  <w:rFonts w:ascii="Cambria Math" w:eastAsiaTheme="minorEastAsia" w:hAnsi="Cambria Math"/>
                  <w:lang w:val="en-GB" w:eastAsia="fr-FR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∆SDR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den>
          </m:f>
          <m:r>
            <w:rPr>
              <w:rFonts w:ascii="Cambria Math" w:eastAsiaTheme="minorEastAsia" w:hAnsi="Cambria Math"/>
              <w:lang w:val="en-GB" w:eastAsia="fr-FR"/>
            </w:rPr>
            <m:t xml:space="preserve"> (5) </m:t>
          </m:r>
        </m:oMath>
      </m:oMathPara>
    </w:p>
    <w:p w14:paraId="08D3F142" w14:textId="358CAAFE" w:rsidR="00162A7C" w:rsidRDefault="00162A7C" w:rsidP="00A838F2">
      <w:pPr>
        <w:rPr>
          <w:rFonts w:eastAsiaTheme="minorEastAsia"/>
          <w:iCs/>
          <w:lang w:val="en-GB" w:eastAsia="fr-FR"/>
        </w:rPr>
      </w:pPr>
      <w:r>
        <w:rPr>
          <w:rFonts w:eastAsiaTheme="minorEastAsia"/>
          <w:iCs/>
          <w:lang w:val="en-GB" w:eastAsia="fr-FR"/>
        </w:rPr>
        <w:t xml:space="preserve">We transform </w:t>
      </w:r>
      <m:oMath>
        <m:r>
          <w:rPr>
            <w:rFonts w:ascii="Cambria Math" w:eastAsiaTheme="minorEastAsia" w:hAnsi="Cambria Math"/>
            <w:lang w:val="en-GB" w:eastAsia="fr-FR"/>
          </w:rPr>
          <m:t xml:space="preserve">(5) </m:t>
        </m:r>
      </m:oMath>
      <w:r w:rsidR="00CE3E08">
        <w:rPr>
          <w:rFonts w:eastAsiaTheme="minorEastAsia"/>
          <w:iCs/>
          <w:lang w:val="en-GB" w:eastAsia="fr-FR"/>
        </w:rPr>
        <w:t xml:space="preserve">using </w:t>
      </w:r>
      <w:r w:rsidR="008A3FFC" w:rsidRPr="008A3FFC">
        <w:rPr>
          <w:rFonts w:eastAsiaTheme="minorEastAsia"/>
          <w:iCs/>
          <w:lang w:val="en-GB" w:eastAsia="fr-FR"/>
        </w:rPr>
        <w:t>the natural logarithm and its mathematical properties</w:t>
      </w:r>
      <w:r w:rsidR="008A3FFC">
        <w:rPr>
          <w:rFonts w:eastAsiaTheme="minorEastAsia"/>
          <w:iCs/>
          <w:lang w:val="en-GB" w:eastAsia="fr-FR"/>
        </w:rPr>
        <w:t xml:space="preserve">: </w:t>
      </w:r>
    </w:p>
    <w:p w14:paraId="0A895A62" w14:textId="49DE0D9C" w:rsidR="003A53FA" w:rsidRPr="00C41D04" w:rsidRDefault="006B163F" w:rsidP="003A53FA">
      <w:pPr>
        <w:rPr>
          <w:rFonts w:eastAsiaTheme="minorEastAsia"/>
          <w:iCs/>
          <w:lang w:val="en-GB" w:eastAsia="fr-FR"/>
        </w:rPr>
      </w:pPr>
      <m:oMathPara>
        <m:oMath>
          <m:r>
            <w:rPr>
              <w:rFonts w:ascii="Cambria Math" w:eastAsiaTheme="minorEastAsia" w:hAnsi="Cambria Math"/>
              <w:lang w:val="en-GB" w:eastAsia="fr-FR"/>
            </w:rPr>
            <m:t>ln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 w:eastAsia="fr-FR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∆CV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CV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  <w:lang w:val="en-GB" w:eastAsia="fr-FR"/>
            </w:rPr>
            <m:t>=ln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GB" w:eastAsia="fr-FR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 w:eastAsia="fr-F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∆SD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SD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t</m:t>
                          </m:r>
                        </m:sub>
                      </m:sSub>
                    </m:den>
                  </m:f>
                </m:num>
                <m:den>
                  <m:r>
                    <w:rPr>
                      <w:rFonts w:ascii="Cambria Math" w:eastAsiaTheme="minorEastAsia" w:hAnsi="Cambria Math"/>
                      <w:lang w:val="en-GB" w:eastAsia="fr-FR"/>
                    </w:rPr>
                    <m:t>1+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GB" w:eastAsia="fr-FR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∆SDR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4"/>
                              <w:szCs w:val="24"/>
                              <w:lang w:val="en-GB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SDR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GB"/>
                            </w:rPr>
                            <m:t>t</m:t>
                          </m:r>
                        </m:sub>
                      </m:sSub>
                    </m:den>
                  </m:f>
                </m:den>
              </m:f>
            </m:e>
          </m:d>
          <m:r>
            <w:rPr>
              <w:rFonts w:ascii="Cambria Math" w:eastAsiaTheme="minorEastAsia" w:hAnsi="Cambria Math"/>
              <w:lang w:val="en-GB" w:eastAsia="fr-FR"/>
            </w:rPr>
            <m:t>=ln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 w:eastAsia="fr-FR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∆SD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  <w:lang w:val="en-GB" w:eastAsia="fr-FR"/>
            </w:rPr>
            <m:t>-ln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 w:eastAsia="fr-FR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en-GB" w:eastAsia="fr-FR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∆SDR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4"/>
                          <w:szCs w:val="24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SDR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t</m:t>
                      </m:r>
                    </m:sub>
                  </m:sSub>
                </m:den>
              </m:f>
            </m:e>
          </m:d>
          <m:r>
            <w:rPr>
              <w:rFonts w:ascii="Cambria Math" w:eastAsiaTheme="minorEastAsia" w:hAnsi="Cambria Math"/>
              <w:lang w:val="en-GB" w:eastAsia="fr-FR"/>
            </w:rPr>
            <m:t xml:space="preserve"> (5) </m:t>
          </m:r>
        </m:oMath>
      </m:oMathPara>
    </w:p>
    <w:p w14:paraId="0C2C9EC1" w14:textId="0A9FAE7D" w:rsidR="00C41D04" w:rsidRDefault="004F21FA" w:rsidP="003A53FA">
      <w:pPr>
        <w:rPr>
          <w:rFonts w:eastAsiaTheme="minorEastAsia"/>
          <w:iCs/>
          <w:lang w:val="en-GB" w:eastAsia="fr-FR"/>
        </w:rPr>
      </w:pPr>
      <w:r>
        <w:rPr>
          <w:rFonts w:eastAsiaTheme="minorEastAsia"/>
          <w:iCs/>
          <w:lang w:val="en-GB" w:eastAsia="fr-FR"/>
        </w:rPr>
        <w:t xml:space="preserve">When </w:t>
      </w:r>
      <m:oMath>
        <m:r>
          <w:rPr>
            <w:rFonts w:ascii="Cambria Math" w:eastAsiaTheme="minorEastAsia" w:hAnsi="Cambria Math"/>
            <w:lang w:val="en-GB" w:eastAsia="fr-FR"/>
          </w:rPr>
          <m:t>x</m:t>
        </m:r>
      </m:oMath>
      <w:r w:rsidR="00427308">
        <w:rPr>
          <w:rFonts w:eastAsiaTheme="minorEastAsia"/>
          <w:iCs/>
          <w:lang w:val="en-GB" w:eastAsia="fr-FR"/>
        </w:rPr>
        <w:t xml:space="preserve"> is small, </w:t>
      </w:r>
      <m:oMath>
        <m:r>
          <w:rPr>
            <w:rFonts w:ascii="Cambria Math" w:eastAsiaTheme="minorEastAsia" w:hAnsi="Cambria Math"/>
            <w:lang w:val="en-GB" w:eastAsia="fr-FR"/>
          </w:rPr>
          <m:t>ln</m:t>
        </m:r>
        <m:d>
          <m:dPr>
            <m:ctrlPr>
              <w:rPr>
                <w:rFonts w:ascii="Cambria Math" w:eastAsiaTheme="minorEastAsia" w:hAnsi="Cambria Math"/>
                <w:i/>
                <w:iCs/>
                <w:lang w:val="en-GB" w:eastAsia="fr-FR"/>
              </w:rPr>
            </m:ctrlPr>
          </m:dPr>
          <m:e>
            <m:r>
              <w:rPr>
                <w:rFonts w:ascii="Cambria Math" w:eastAsiaTheme="minorEastAsia" w:hAnsi="Cambria Math"/>
                <w:lang w:val="en-GB" w:eastAsia="fr-FR"/>
              </w:rPr>
              <m:t>1+x</m:t>
            </m:r>
          </m:e>
        </m:d>
        <m:r>
          <w:rPr>
            <w:rFonts w:ascii="Cambria Math" w:eastAsiaTheme="minorEastAsia" w:hAnsi="Cambria Math"/>
            <w:lang w:val="en-GB" w:eastAsia="fr-FR"/>
          </w:rPr>
          <m:t>≈x</m:t>
        </m:r>
      </m:oMath>
      <w:r>
        <w:rPr>
          <w:rFonts w:eastAsiaTheme="minorEastAsia"/>
          <w:iCs/>
          <w:lang w:val="en-GB" w:eastAsia="fr-FR"/>
        </w:rPr>
        <w:t xml:space="preserve">. </w:t>
      </w:r>
      <w:r w:rsidR="005E15C5">
        <w:rPr>
          <w:rFonts w:eastAsiaTheme="minorEastAsia"/>
          <w:iCs/>
          <w:lang w:val="en-GB" w:eastAsia="fr-FR"/>
        </w:rPr>
        <w:t xml:space="preserve">Using this approximation in </w:t>
      </w:r>
      <m:oMath>
        <m:r>
          <w:rPr>
            <w:rFonts w:ascii="Cambria Math" w:eastAsiaTheme="minorEastAsia" w:hAnsi="Cambria Math"/>
            <w:lang w:val="en-GB" w:eastAsia="fr-FR"/>
          </w:rPr>
          <m:t>(5)</m:t>
        </m:r>
      </m:oMath>
      <w:r w:rsidR="005E15C5">
        <w:rPr>
          <w:rFonts w:eastAsiaTheme="minorEastAsia"/>
          <w:iCs/>
          <w:lang w:val="en-GB" w:eastAsia="fr-FR"/>
        </w:rPr>
        <w:t>, we finally obtain:</w:t>
      </w:r>
    </w:p>
    <w:p w14:paraId="54959BDD" w14:textId="2AF5996C" w:rsidR="003A53FA" w:rsidRPr="00427308" w:rsidRDefault="00DB325D" w:rsidP="00A838F2">
      <w:pPr>
        <w:rPr>
          <w:rFonts w:eastAsiaTheme="minorEastAsia"/>
          <w:iCs/>
          <w:lang w:val="en-GB" w:eastAsia="fr-FR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∆CV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CV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>≈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∆SD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SD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∆SDR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4"/>
                      <w:szCs w:val="24"/>
                      <w:lang w:val="en-GB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SDR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t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GB" w:eastAsia="fr-FR"/>
            </w:rPr>
            <m:t xml:space="preserve"> 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GB" w:eastAsia="fr-FR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 w:eastAsia="fr-FR"/>
                </w:rPr>
                <m:t>6</m:t>
              </m:r>
            </m:e>
          </m:d>
        </m:oMath>
      </m:oMathPara>
    </w:p>
    <w:p w14:paraId="2B0B9DED" w14:textId="0FDE3F54" w:rsidR="00427308" w:rsidRPr="00BE44F3" w:rsidRDefault="002A689D" w:rsidP="00A838F2">
      <w:pPr>
        <w:rPr>
          <w:rFonts w:eastAsiaTheme="minorEastAsia"/>
          <w:iCs/>
          <w:lang w:val="en-GB" w:eastAsia="fr-FR"/>
        </w:rPr>
      </w:pPr>
      <w:r>
        <w:rPr>
          <w:rFonts w:eastAsiaTheme="minorEastAsia"/>
          <w:iCs/>
          <w:lang w:val="en-GB" w:eastAsia="fr-FR"/>
        </w:rPr>
        <w:t>In few words, the relative</w:t>
      </w:r>
      <w:r w:rsidR="00427308">
        <w:rPr>
          <w:rFonts w:eastAsiaTheme="minorEastAsia"/>
          <w:iCs/>
          <w:lang w:val="en-GB" w:eastAsia="fr-FR"/>
        </w:rPr>
        <w:t xml:space="preserve"> variation of CV is equal to the difference between the relative variation of SD minus the relative variation of SDR.</w:t>
      </w:r>
    </w:p>
    <w:p w14:paraId="5BB9F5D2" w14:textId="4FA06DA1" w:rsidR="006D7FD5" w:rsidRPr="006332BD" w:rsidRDefault="006D7FD5">
      <w:pPr>
        <w:rPr>
          <w:rFonts w:eastAsiaTheme="minorEastAsia"/>
          <w:b/>
          <w:bCs/>
          <w:lang w:val="en-GB" w:eastAsia="fr-FR"/>
        </w:rPr>
      </w:pPr>
      <w:r>
        <w:rPr>
          <w:b/>
          <w:bCs/>
          <w:lang w:val="en-GB" w:eastAsia="fr-FR"/>
        </w:rPr>
        <w:br w:type="page"/>
      </w:r>
    </w:p>
    <w:p w14:paraId="2C132826" w14:textId="2B7005AD" w:rsidR="006D7FD5" w:rsidRDefault="006D7FD5" w:rsidP="008902D0">
      <w:pPr>
        <w:rPr>
          <w:b/>
          <w:bCs/>
          <w:lang w:val="en-GB" w:eastAsia="fr-FR"/>
        </w:rPr>
      </w:pPr>
      <w:r>
        <w:rPr>
          <w:b/>
          <w:bCs/>
          <w:lang w:val="en-GB" w:eastAsia="fr-FR"/>
        </w:rPr>
        <w:lastRenderedPageBreak/>
        <w:t>Additional figures</w:t>
      </w:r>
    </w:p>
    <w:p w14:paraId="7836380C" w14:textId="77777777" w:rsidR="00F92CFA" w:rsidRDefault="00F92CFA" w:rsidP="00F92CFA">
      <w:pPr>
        <w:spacing w:after="0" w:line="276" w:lineRule="auto"/>
        <w:jc w:val="both"/>
        <w:rPr>
          <w:bCs/>
          <w:sz w:val="20"/>
          <w:szCs w:val="20"/>
          <w:lang w:val="en-GB"/>
        </w:rPr>
      </w:pPr>
      <w:r>
        <w:rPr>
          <w:bCs/>
          <w:noProof/>
          <w:sz w:val="20"/>
          <w:szCs w:val="20"/>
          <w:lang w:eastAsia="fr-FR"/>
        </w:rPr>
        <w:drawing>
          <wp:inline distT="0" distB="0" distL="0" distR="0" wp14:anchorId="2C2F29A7" wp14:editId="285DC403">
            <wp:extent cx="5753100" cy="5753100"/>
            <wp:effectExtent l="0" t="0" r="0" b="0"/>
            <wp:docPr id="291535747" name="Image 1" descr="Une image contenant texte, capture d’écran, diagramme,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35747" name="Image 1" descr="Une image contenant texte, capture d’écran, diagramme,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12768" w14:textId="0AC35422" w:rsidR="00F92CFA" w:rsidRDefault="00F92CFA" w:rsidP="00F92CFA">
      <w:pPr>
        <w:spacing w:after="0" w:line="276" w:lineRule="auto"/>
        <w:jc w:val="both"/>
        <w:rPr>
          <w:bCs/>
          <w:sz w:val="20"/>
          <w:szCs w:val="20"/>
          <w:lang w:val="en-GB"/>
        </w:rPr>
      </w:pPr>
      <w:r w:rsidRPr="0017014E">
        <w:rPr>
          <w:b/>
          <w:noProof/>
          <w:sz w:val="24"/>
          <w:szCs w:val="24"/>
          <w:lang w:val="en-GB" w:eastAsia="fr-FR"/>
        </w:rPr>
        <w:t xml:space="preserve">Figure </w:t>
      </w:r>
      <w:r>
        <w:rPr>
          <w:b/>
          <w:noProof/>
          <w:sz w:val="24"/>
          <w:szCs w:val="24"/>
          <w:lang w:val="en-GB" w:eastAsia="fr-FR"/>
        </w:rPr>
        <w:t>A1</w:t>
      </w:r>
      <w:r w:rsidRPr="0017014E">
        <w:rPr>
          <w:b/>
          <w:noProof/>
          <w:sz w:val="24"/>
          <w:szCs w:val="24"/>
          <w:lang w:val="en-GB" w:eastAsia="fr-FR"/>
        </w:rPr>
        <w:t> :</w:t>
      </w:r>
      <w:r w:rsidRPr="0017014E">
        <w:rPr>
          <w:bCs/>
          <w:noProof/>
          <w:sz w:val="24"/>
          <w:szCs w:val="24"/>
          <w:lang w:val="en-GB" w:eastAsia="fr-FR"/>
        </w:rPr>
        <w:t xml:space="preserve"> </w:t>
      </w:r>
      <w:r w:rsidRPr="00AB556E">
        <w:rPr>
          <w:bCs/>
          <w:sz w:val="24"/>
          <w:szCs w:val="24"/>
          <w:lang w:val="en-US"/>
        </w:rPr>
        <w:t xml:space="preserve">Pathways of national </w:t>
      </w:r>
      <w:r>
        <w:rPr>
          <w:bCs/>
          <w:sz w:val="24"/>
          <w:szCs w:val="24"/>
          <w:lang w:val="en-US"/>
        </w:rPr>
        <w:t>life expectancy at birth</w:t>
      </w:r>
      <w:r w:rsidRPr="00AB556E">
        <w:rPr>
          <w:bCs/>
          <w:sz w:val="24"/>
          <w:szCs w:val="24"/>
          <w:lang w:val="en-US"/>
        </w:rPr>
        <w:t xml:space="preserve"> (</w:t>
      </w:r>
      <w:r>
        <w:rPr>
          <w:bCs/>
          <w:sz w:val="24"/>
          <w:szCs w:val="24"/>
          <w:lang w:val="en-US"/>
        </w:rPr>
        <w:t>e0</w:t>
      </w:r>
      <w:r w:rsidRPr="00AB556E">
        <w:rPr>
          <w:bCs/>
          <w:sz w:val="24"/>
          <w:szCs w:val="24"/>
          <w:lang w:val="en-US"/>
        </w:rPr>
        <w:t>) and regional inequalities in France (1970–2019) and Germany (199</w:t>
      </w:r>
      <w:r>
        <w:rPr>
          <w:bCs/>
          <w:sz w:val="24"/>
          <w:szCs w:val="24"/>
          <w:lang w:val="en-US"/>
        </w:rPr>
        <w:t>5</w:t>
      </w:r>
      <w:r w:rsidRPr="00AB556E">
        <w:rPr>
          <w:bCs/>
          <w:sz w:val="24"/>
          <w:szCs w:val="24"/>
          <w:lang w:val="en-US"/>
        </w:rPr>
        <w:t>–2019).</w:t>
      </w:r>
      <w:r w:rsidRPr="005A3C3C">
        <w:rPr>
          <w:bCs/>
          <w:sz w:val="20"/>
          <w:szCs w:val="20"/>
          <w:lang w:val="en-GB"/>
        </w:rPr>
        <w:t xml:space="preserve"> </w:t>
      </w:r>
    </w:p>
    <w:p w14:paraId="5421B525" w14:textId="77777777" w:rsidR="00F92CFA" w:rsidRDefault="00F92CFA" w:rsidP="00F92CFA">
      <w:pPr>
        <w:spacing w:after="0" w:line="276" w:lineRule="auto"/>
        <w:jc w:val="both"/>
        <w:rPr>
          <w:bCs/>
          <w:sz w:val="20"/>
          <w:szCs w:val="20"/>
          <w:lang w:val="en-GB"/>
        </w:rPr>
      </w:pPr>
      <w:r>
        <w:rPr>
          <w:bCs/>
          <w:sz w:val="20"/>
          <w:szCs w:val="20"/>
          <w:lang w:val="en-GB"/>
        </w:rPr>
        <w:t xml:space="preserve">Note: </w:t>
      </w:r>
      <w:r w:rsidRPr="00FF2701">
        <w:rPr>
          <w:bCs/>
          <w:sz w:val="20"/>
          <w:szCs w:val="20"/>
          <w:lang w:val="en-GB"/>
        </w:rPr>
        <w:t xml:space="preserve">Societal progress in mortality </w:t>
      </w:r>
      <w:r>
        <w:rPr>
          <w:bCs/>
          <w:sz w:val="20"/>
          <w:szCs w:val="20"/>
          <w:lang w:val="en-GB"/>
        </w:rPr>
        <w:t>occurs</w:t>
      </w:r>
      <w:r w:rsidRPr="00FF2701">
        <w:rPr>
          <w:bCs/>
          <w:sz w:val="20"/>
          <w:szCs w:val="20"/>
          <w:lang w:val="en-GB"/>
        </w:rPr>
        <w:t xml:space="preserve"> </w:t>
      </w:r>
      <w:r>
        <w:rPr>
          <w:bCs/>
          <w:sz w:val="20"/>
          <w:szCs w:val="20"/>
          <w:lang w:val="en-GB"/>
        </w:rPr>
        <w:t>when</w:t>
      </w:r>
      <w:r w:rsidRPr="00FF2701">
        <w:rPr>
          <w:bCs/>
          <w:sz w:val="20"/>
          <w:szCs w:val="20"/>
          <w:lang w:val="en-GB"/>
        </w:rPr>
        <w:t xml:space="preserve"> the pathway moves downwards and to the </w:t>
      </w:r>
      <w:r>
        <w:rPr>
          <w:bCs/>
          <w:sz w:val="20"/>
          <w:szCs w:val="20"/>
          <w:lang w:val="en-GB"/>
        </w:rPr>
        <w:t>right.</w:t>
      </w:r>
    </w:p>
    <w:p w14:paraId="5F7720E7" w14:textId="77777777" w:rsidR="00F92CFA" w:rsidRPr="00461D27" w:rsidRDefault="00F92CFA" w:rsidP="008902D0">
      <w:pPr>
        <w:rPr>
          <w:b/>
          <w:bCs/>
          <w:lang w:val="en-GB" w:eastAsia="fr-FR"/>
        </w:rPr>
      </w:pPr>
    </w:p>
    <w:p w14:paraId="4C2FB16B" w14:textId="6945A3A1" w:rsidR="00F32F75" w:rsidRPr="005716E9" w:rsidRDefault="005716E9" w:rsidP="00F32F75">
      <w:pPr>
        <w:spacing w:line="276" w:lineRule="auto"/>
        <w:jc w:val="both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fr-FR"/>
        </w:rPr>
        <w:lastRenderedPageBreak/>
        <w:drawing>
          <wp:inline distT="0" distB="0" distL="0" distR="0" wp14:anchorId="52EA6FE3" wp14:editId="2B154004">
            <wp:extent cx="5753100" cy="5753100"/>
            <wp:effectExtent l="0" t="0" r="0" b="0"/>
            <wp:docPr id="10507990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130F" w14:textId="687609FA" w:rsidR="005A3C3C" w:rsidRDefault="00F32F75" w:rsidP="005A3C3C">
      <w:pPr>
        <w:spacing w:after="0" w:line="276" w:lineRule="auto"/>
        <w:jc w:val="both"/>
        <w:rPr>
          <w:bCs/>
          <w:sz w:val="20"/>
          <w:szCs w:val="20"/>
          <w:lang w:val="en-GB"/>
        </w:rPr>
      </w:pPr>
      <w:r w:rsidRPr="0017014E">
        <w:rPr>
          <w:b/>
          <w:noProof/>
          <w:sz w:val="24"/>
          <w:szCs w:val="24"/>
          <w:lang w:val="en-GB" w:eastAsia="fr-FR"/>
        </w:rPr>
        <w:t xml:space="preserve">Figure </w:t>
      </w:r>
      <w:r>
        <w:rPr>
          <w:b/>
          <w:noProof/>
          <w:sz w:val="24"/>
          <w:szCs w:val="24"/>
          <w:lang w:val="en-GB" w:eastAsia="fr-FR"/>
        </w:rPr>
        <w:t>A</w:t>
      </w:r>
      <w:r w:rsidR="00504BE6">
        <w:rPr>
          <w:b/>
          <w:noProof/>
          <w:sz w:val="24"/>
          <w:szCs w:val="24"/>
          <w:lang w:val="en-GB" w:eastAsia="fr-FR"/>
        </w:rPr>
        <w:t>2</w:t>
      </w:r>
      <w:r w:rsidRPr="0017014E">
        <w:rPr>
          <w:b/>
          <w:noProof/>
          <w:sz w:val="24"/>
          <w:szCs w:val="24"/>
          <w:lang w:val="en-GB" w:eastAsia="fr-FR"/>
        </w:rPr>
        <w:t> :</w:t>
      </w:r>
      <w:r w:rsidRPr="0017014E">
        <w:rPr>
          <w:bCs/>
          <w:noProof/>
          <w:sz w:val="24"/>
          <w:szCs w:val="24"/>
          <w:lang w:val="en-GB" w:eastAsia="fr-FR"/>
        </w:rPr>
        <w:t xml:space="preserve"> </w:t>
      </w:r>
      <w:r w:rsidRPr="0017014E">
        <w:rPr>
          <w:bCs/>
          <w:sz w:val="24"/>
          <w:szCs w:val="24"/>
          <w:lang w:val="en-GB"/>
        </w:rPr>
        <w:t>Pathways</w:t>
      </w:r>
      <w:r>
        <w:rPr>
          <w:bCs/>
          <w:sz w:val="24"/>
          <w:szCs w:val="24"/>
          <w:lang w:val="en-GB"/>
        </w:rPr>
        <w:t xml:space="preserve"> of overall </w:t>
      </w:r>
      <w:r w:rsidRPr="0017014E">
        <w:rPr>
          <w:bCs/>
          <w:sz w:val="24"/>
          <w:szCs w:val="24"/>
          <w:lang w:val="en-GB"/>
        </w:rPr>
        <w:t>SDRs and regional inequalities in western, eastern and total Germany, 1992</w:t>
      </w:r>
      <w:r>
        <w:rPr>
          <w:bCs/>
          <w:sz w:val="24"/>
          <w:szCs w:val="24"/>
          <w:lang w:val="en-GB"/>
        </w:rPr>
        <w:t>–</w:t>
      </w:r>
      <w:r w:rsidRPr="0017014E">
        <w:rPr>
          <w:bCs/>
          <w:sz w:val="24"/>
          <w:szCs w:val="24"/>
          <w:lang w:val="en-GB"/>
        </w:rPr>
        <w:t>2020.</w:t>
      </w:r>
      <w:r w:rsidR="005A3C3C" w:rsidRPr="005A3C3C">
        <w:rPr>
          <w:bCs/>
          <w:sz w:val="20"/>
          <w:szCs w:val="20"/>
          <w:lang w:val="en-GB"/>
        </w:rPr>
        <w:t xml:space="preserve"> </w:t>
      </w:r>
    </w:p>
    <w:p w14:paraId="1682293C" w14:textId="1B441945" w:rsidR="00AF0AC7" w:rsidRDefault="005A3C3C" w:rsidP="00504BE6">
      <w:pPr>
        <w:spacing w:after="0" w:line="276" w:lineRule="auto"/>
        <w:jc w:val="both"/>
        <w:rPr>
          <w:bCs/>
          <w:sz w:val="20"/>
          <w:szCs w:val="20"/>
          <w:lang w:val="en-GB"/>
        </w:rPr>
      </w:pPr>
      <w:r>
        <w:rPr>
          <w:bCs/>
          <w:sz w:val="20"/>
          <w:szCs w:val="20"/>
          <w:lang w:val="en-GB"/>
        </w:rPr>
        <w:t xml:space="preserve">Note: </w:t>
      </w:r>
      <w:r w:rsidRPr="00FF2701">
        <w:rPr>
          <w:bCs/>
          <w:sz w:val="20"/>
          <w:szCs w:val="20"/>
          <w:lang w:val="en-GB"/>
        </w:rPr>
        <w:t xml:space="preserve">Societal progress in mortality </w:t>
      </w:r>
      <w:r>
        <w:rPr>
          <w:bCs/>
          <w:sz w:val="20"/>
          <w:szCs w:val="20"/>
          <w:lang w:val="en-GB"/>
        </w:rPr>
        <w:t>occurs</w:t>
      </w:r>
      <w:r w:rsidRPr="00FF2701">
        <w:rPr>
          <w:bCs/>
          <w:sz w:val="20"/>
          <w:szCs w:val="20"/>
          <w:lang w:val="en-GB"/>
        </w:rPr>
        <w:t xml:space="preserve"> </w:t>
      </w:r>
      <w:r>
        <w:rPr>
          <w:bCs/>
          <w:sz w:val="20"/>
          <w:szCs w:val="20"/>
          <w:lang w:val="en-GB"/>
        </w:rPr>
        <w:t>when</w:t>
      </w:r>
      <w:r w:rsidRPr="00FF2701">
        <w:rPr>
          <w:bCs/>
          <w:sz w:val="20"/>
          <w:szCs w:val="20"/>
          <w:lang w:val="en-GB"/>
        </w:rPr>
        <w:t xml:space="preserve"> the pathway moves downwards and to the left</w:t>
      </w:r>
      <w:r>
        <w:rPr>
          <w:bCs/>
          <w:sz w:val="20"/>
          <w:szCs w:val="20"/>
          <w:lang w:val="en-GB"/>
        </w:rPr>
        <w:t>.</w:t>
      </w:r>
    </w:p>
    <w:p w14:paraId="5CB636FA" w14:textId="18CA61B6" w:rsidR="00F32F75" w:rsidRPr="0017014E" w:rsidRDefault="00F32F75" w:rsidP="00F32F75">
      <w:pPr>
        <w:spacing w:line="276" w:lineRule="auto"/>
        <w:jc w:val="both"/>
        <w:rPr>
          <w:bCs/>
          <w:sz w:val="24"/>
          <w:szCs w:val="24"/>
          <w:lang w:val="en-GB"/>
        </w:rPr>
      </w:pPr>
    </w:p>
    <w:p w14:paraId="5567FE3E" w14:textId="77777777" w:rsidR="00F32F75" w:rsidRDefault="00F32F75" w:rsidP="00F32F75">
      <w:pPr>
        <w:rPr>
          <w:lang w:val="en-GB" w:eastAsia="fr-FR"/>
        </w:rPr>
      </w:pPr>
      <w:r>
        <w:rPr>
          <w:lang w:val="en-GB" w:eastAsia="fr-FR"/>
        </w:rPr>
        <w:br w:type="page"/>
      </w:r>
    </w:p>
    <w:p w14:paraId="1191802B" w14:textId="7CF9E7BF" w:rsidR="00F32F75" w:rsidRPr="00EB3711" w:rsidRDefault="00F32F75" w:rsidP="00F32F75">
      <w:pPr>
        <w:pStyle w:val="Titre1"/>
        <w:spacing w:after="240"/>
        <w:jc w:val="both"/>
        <w:rPr>
          <w:rFonts w:asciiTheme="minorHAnsi" w:hAnsiTheme="minorHAnsi" w:cstheme="minorHAnsi"/>
          <w:b/>
          <w:color w:val="auto"/>
          <w:lang w:val="en-GB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  <w:lang w:val="en-GB"/>
        </w:rPr>
        <w:lastRenderedPageBreak/>
        <w:t>Supplemental Material B</w:t>
      </w:r>
    </w:p>
    <w:p w14:paraId="15EEBDD3" w14:textId="77777777" w:rsidR="00F32F75" w:rsidRPr="00A92AED" w:rsidRDefault="00F32F75" w:rsidP="00F32F75">
      <w:pPr>
        <w:spacing w:before="240" w:after="240"/>
        <w:jc w:val="both"/>
        <w:rPr>
          <w:lang w:val="en-GB"/>
        </w:rPr>
      </w:pPr>
      <w:r>
        <w:rPr>
          <w:lang w:val="en-GB"/>
        </w:rPr>
        <w:t xml:space="preserve">Data and R code to replicate our figures are available at: </w:t>
      </w:r>
    </w:p>
    <w:p w14:paraId="02F51715" w14:textId="77777777" w:rsidR="00F32F75" w:rsidRDefault="00DB325D" w:rsidP="00F32F75">
      <w:pPr>
        <w:spacing w:before="240" w:after="240"/>
        <w:jc w:val="both"/>
        <w:rPr>
          <w:rStyle w:val="Lienhypertexte"/>
          <w:lang w:val="en-GB"/>
        </w:rPr>
      </w:pPr>
      <w:hyperlink r:id="rId7" w:history="1">
        <w:r w:rsidR="00F32F75" w:rsidRPr="00DA59BA">
          <w:rPr>
            <w:rStyle w:val="Lienhypertexte"/>
            <w:lang w:val="en-GB"/>
          </w:rPr>
          <w:t>https://osf.io/h68wz/?view_only=47353f6f4b2e41cab3c761246e59d615</w:t>
        </w:r>
      </w:hyperlink>
    </w:p>
    <w:p w14:paraId="0F83226D" w14:textId="77777777" w:rsidR="00F32F75" w:rsidRDefault="00F32F75" w:rsidP="00F32F75">
      <w:pPr>
        <w:spacing w:before="240" w:after="240"/>
        <w:jc w:val="both"/>
        <w:rPr>
          <w:lang w:val="en-GB"/>
        </w:rPr>
      </w:pPr>
      <w:r>
        <w:rPr>
          <w:lang w:val="en-GB"/>
        </w:rPr>
        <w:t>Please read first “Online Supplementary Appendix.pdf”.</w:t>
      </w:r>
    </w:p>
    <w:p w14:paraId="34CC6001" w14:textId="77777777" w:rsidR="00F32F75" w:rsidRPr="00690655" w:rsidRDefault="00F32F75" w:rsidP="00F32F75">
      <w:pPr>
        <w:jc w:val="both"/>
        <w:rPr>
          <w:lang w:val="en-GB"/>
        </w:rPr>
      </w:pPr>
    </w:p>
    <w:p w14:paraId="23E6DDA6" w14:textId="77777777" w:rsidR="004C7B00" w:rsidRPr="00F32F75" w:rsidRDefault="004C7B00">
      <w:pPr>
        <w:rPr>
          <w:lang w:val="en-GB"/>
        </w:rPr>
      </w:pPr>
    </w:p>
    <w:sectPr w:rsidR="004C7B00" w:rsidRPr="00F32F75" w:rsidSect="00CB6AE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75"/>
    <w:rsid w:val="000F0D50"/>
    <w:rsid w:val="00112B0B"/>
    <w:rsid w:val="00135CDE"/>
    <w:rsid w:val="00162A7C"/>
    <w:rsid w:val="00273B1D"/>
    <w:rsid w:val="002A689D"/>
    <w:rsid w:val="002B3AB2"/>
    <w:rsid w:val="002F12F4"/>
    <w:rsid w:val="003477BF"/>
    <w:rsid w:val="003872BC"/>
    <w:rsid w:val="003A53FA"/>
    <w:rsid w:val="00427308"/>
    <w:rsid w:val="00461D27"/>
    <w:rsid w:val="00490327"/>
    <w:rsid w:val="004C7B00"/>
    <w:rsid w:val="004F21FA"/>
    <w:rsid w:val="00504BE6"/>
    <w:rsid w:val="005716E9"/>
    <w:rsid w:val="005A3C3C"/>
    <w:rsid w:val="005E15C5"/>
    <w:rsid w:val="006332BD"/>
    <w:rsid w:val="00650DBC"/>
    <w:rsid w:val="006742A1"/>
    <w:rsid w:val="006B163F"/>
    <w:rsid w:val="006D7FD5"/>
    <w:rsid w:val="006E7B51"/>
    <w:rsid w:val="00761194"/>
    <w:rsid w:val="007A47EB"/>
    <w:rsid w:val="007B386A"/>
    <w:rsid w:val="007C6318"/>
    <w:rsid w:val="008902D0"/>
    <w:rsid w:val="008A3FFC"/>
    <w:rsid w:val="00A14666"/>
    <w:rsid w:val="00A838F2"/>
    <w:rsid w:val="00AC4164"/>
    <w:rsid w:val="00AF0AC7"/>
    <w:rsid w:val="00AF46B5"/>
    <w:rsid w:val="00B00997"/>
    <w:rsid w:val="00BE44F3"/>
    <w:rsid w:val="00C41D04"/>
    <w:rsid w:val="00C51129"/>
    <w:rsid w:val="00CB6AE8"/>
    <w:rsid w:val="00CE3E08"/>
    <w:rsid w:val="00D17BFD"/>
    <w:rsid w:val="00D64DE9"/>
    <w:rsid w:val="00D834CB"/>
    <w:rsid w:val="00DA5457"/>
    <w:rsid w:val="00DB325D"/>
    <w:rsid w:val="00DF052C"/>
    <w:rsid w:val="00E86E94"/>
    <w:rsid w:val="00F32F75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0EF67"/>
  <w15:chartTrackingRefBased/>
  <w15:docId w15:val="{D1579EE7-D787-482B-8CA7-2102061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F75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32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2F7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F32F75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F32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2F7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112B0B"/>
    <w:rPr>
      <w:color w:val="666666"/>
    </w:rPr>
  </w:style>
  <w:style w:type="paragraph" w:styleId="Lgende">
    <w:name w:val="caption"/>
    <w:basedOn w:val="Normal"/>
    <w:next w:val="Normal"/>
    <w:uiPriority w:val="35"/>
    <w:unhideWhenUsed/>
    <w:qFormat/>
    <w:rsid w:val="00AC416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sf.io/h68wz/?view_only=47353f6f4b2e41cab3c761246e59d61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7487599-C95A-4AEC-88A3-5CD1F7AB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291</Words>
  <Characters>1795</Characters>
  <Application>Microsoft Office Word</Application>
  <DocSecurity>0</DocSecurity>
  <Lines>47</Lines>
  <Paragraphs>34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Bonnet</dc:creator>
  <cp:keywords/>
  <dc:description/>
  <cp:lastModifiedBy>ined</cp:lastModifiedBy>
  <cp:revision>49</cp:revision>
  <dcterms:created xsi:type="dcterms:W3CDTF">2023-09-13T20:37:00Z</dcterms:created>
  <dcterms:modified xsi:type="dcterms:W3CDTF">2024-04-08T05:22:00Z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8e273a965979e92c9ae39f5c30b46c275a64d55561b572b7908c22eb27f6e22e</vt:lpwstr>
  </property>
</Properties>
</file>