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12509">
      <w:pPr>
        <w:jc w:val="center"/>
        <w:rPr>
          <w:rFonts w:hint="default" w:ascii="Times New Roman" w:hAnsi="Times New Roman" w:cs="Times New Roman"/>
          <w:sz w:val="32"/>
          <w:szCs w:val="40"/>
        </w:rPr>
      </w:pPr>
      <w:r>
        <w:rPr>
          <w:rFonts w:hint="default" w:ascii="Times New Roman" w:hAnsi="Times New Roman" w:cs="Times New Roman"/>
          <w:sz w:val="32"/>
          <w:szCs w:val="40"/>
        </w:rPr>
        <w:t>Additional file 1</w:t>
      </w:r>
      <w:bookmarkStart w:id="0" w:name="_GoBack"/>
      <w:r>
        <w:rPr>
          <w:rFonts w:hint="eastAsia" w:ascii="Times New Roman" w:hAnsi="Times New Roman" w:cs="Times New Roman"/>
          <w:sz w:val="32"/>
          <w:szCs w:val="40"/>
          <w:lang w:val="en-US" w:eastAsia="zh-CN"/>
        </w:rPr>
        <w:t xml:space="preserve"> </w:t>
      </w:r>
      <w:bookmarkEnd w:id="0"/>
      <w:r>
        <w:rPr>
          <w:rFonts w:hint="eastAsia" w:ascii="Times New Roman" w:hAnsi="Times New Roman" w:cs="Times New Roman"/>
          <w:sz w:val="32"/>
          <w:szCs w:val="40"/>
          <w:lang w:val="en-US" w:eastAsia="zh-CN"/>
        </w:rPr>
        <w:t>A Description of study design</w:t>
      </w:r>
    </w:p>
    <w:p w14:paraId="47C8896D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28B07638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This study was part of a series of research projects on integrated chronic disease management by our research team. Here is the brief:</w:t>
      </w:r>
    </w:p>
    <w:p w14:paraId="2AAB7E37">
      <w:pPr>
        <w:rPr>
          <w:rFonts w:hint="eastAsia" w:ascii="Times New Roman" w:hAnsi="Times New Roman" w:cs="Times New Roman"/>
          <w:lang w:val="en-US" w:eastAsia="zh-CN"/>
        </w:rPr>
      </w:pPr>
    </w:p>
    <w:p w14:paraId="67C659AA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1.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Research framework of the entire project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15"/>
        <w:gridCol w:w="2120"/>
        <w:gridCol w:w="4276"/>
      </w:tblGrid>
      <w:tr w14:paraId="13CF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5AA0CB61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Dimension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26E3D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Indicator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67E25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Chronic Disease Prevention-Treatment Integration</w:t>
            </w:r>
          </w:p>
        </w:tc>
      </w:tr>
      <w:tr w14:paraId="70FA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2E17EBD5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Proactive Policy Environment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C2FA4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Strengthening Partnerships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70820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Multi-sectoral Collaboration: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Collaboration between specialists from higher-level medical institutions and primary care (technical guidance), linkage mechanisms (two-way referrals/consultation channels).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Guidance and training from public health institutions (e.g., CDC) to hospitals.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Coordination with medical insurance bureaus on chronic disease medication supply (e.g., hypertension/diabetes) at primary level.</w:t>
            </w:r>
          </w:p>
        </w:tc>
      </w:tr>
      <w:tr w14:paraId="250F1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38B9F4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142F6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Integrated Policies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53C88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 Effective multi-faceted leadership and advocacy.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 Leadership groups; formation of primary-level hypertension/diabetes management units (e.g., family doctor teams with physicians/nurses/public health personnel).</w:t>
            </w:r>
          </w:p>
        </w:tc>
      </w:tr>
      <w:tr w14:paraId="1F16F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F19478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18AEE9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Providing Leadership &amp; Advocacy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46173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5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(Covered under Integrated Policies)</w:t>
            </w:r>
          </w:p>
        </w:tc>
      </w:tr>
      <w:tr w14:paraId="7514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05DDF16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D59F3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Public-Private Partnerships (PPP)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1BF6E9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 EPHSP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funding allocation/utilization (chronic disease management): adequacy/timeliness/alignment with operational needs.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 Use of basic medical insurance funds for health management.</w:t>
            </w:r>
          </w:p>
        </w:tc>
      </w:tr>
      <w:tr w14:paraId="73517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4EFE2B26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C0818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Developing &amp; Mobilizing Human Resources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1DAC2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 Training (policy &amp; skills) for public health physicians, GPs, chronic disease specialists, health managers, nurses, pharmacists.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 Mobility/exchange between medical and public health personnel.</w:t>
            </w:r>
          </w:p>
        </w:tc>
      </w:tr>
      <w:tr w14:paraId="4623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17CBFF7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Community-Healthcare Division &amp; Collaboration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4861B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Community Awareness Raising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EE850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Integrated prevention-treatment health education for chronic disease patients.</w:t>
            </w:r>
          </w:p>
        </w:tc>
      </w:tr>
      <w:tr w14:paraId="04F2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7BE842B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3D217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Community Resource Mobilization &amp; Coordination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37EF7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Resource coordination for chronic disease management: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Advocacy campaign implementation.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Fitness facility construction.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Accessible health screening points.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4. Healthy diet/smoking ban initiatives.</w:t>
            </w:r>
          </w:p>
        </w:tc>
      </w:tr>
      <w:tr w14:paraId="5AD9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5C5A16F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17F6E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Healthcare Promoting Continuity &amp; Coordination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BB79C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GP system development.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Chronic disease referral platforms.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Proactive/home-based services by primary institutions.</w:t>
            </w:r>
          </w:p>
        </w:tc>
      </w:tr>
      <w:tr w14:paraId="26251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72C46AA3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84F01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Healthcare Driving Quality Improvement via Leadership &amp; Incentives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91380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Quality-centered performance evaluation systems via IT / Integration of hypertension/diabetes guidelines with IT.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Clinical guideline implementation.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Regional medical-CDC integrated management via Medical Alliances/Consortia.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4. Institution incentives: Linked salary distribution (core hospitals ↔ primary branches); Village clinic funding.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5. Staff incentives (e.g., Yuhuan, Taizhou: Linking outpatient insurance costs with family doctor-contracted services).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6. Patient incentives (e.g., Changsha County: Contracted team discounts for major tests).</w:t>
            </w:r>
          </w:p>
        </w:tc>
      </w:tr>
      <w:tr w14:paraId="0157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32E9F3A9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B8161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Healthcare Organizing &amp; Training Service Teams (Service Models)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E6040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Family doctor studios/teams.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GP training.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CDC technical guidance/training to primary institutions.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4. Joint CDC-medical personnel training.</w:t>
            </w:r>
          </w:p>
        </w:tc>
      </w:tr>
      <w:tr w14:paraId="4DD8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33AE822F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D9462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Healthcare Utilizing Information Systems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02B7A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I. System &amp; Platform Development: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Institutional/regional IT systems/platforms.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Drug monitoring platforms for rational medication use (dynamic monitoring/tiered management).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II. Information Sharing: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Regional health information platforms (medical ↔ CDC).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Linkage: Regional health IT ↔ National "Two Diseases" quality control system.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IT interoperability (primary ↔ higher-level ↔ CDC): Shared information/remote services/appointment booking/test result sharing.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4. Progress in primary-level "Two Diseases" pilot sites.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5. EHR ↔ Outpatient HIS integration (e.g., Yuhuan, Taizhou).</w:t>
            </w:r>
          </w:p>
        </w:tc>
      </w:tr>
      <w:tr w14:paraId="79E47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44FEF752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F3F551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Healthcare Supporting Self-Management &amp; Prevention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40C3B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Self-management support models.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Patient apps for disease management; Health guidance during visits/follow-ups + Personal EHR access.</w:t>
            </w:r>
          </w:p>
        </w:tc>
      </w:tr>
      <w:tr w14:paraId="7A13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961930C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Patient &amp; Family Self-Management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08DE30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Patients &amp; Families (Tripartite Interaction)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CF37F1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Informed about disease course/complications/management strategies; Skills for healthy behavior change/maintenance.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Family support for medication adherence/regular check-ups/proactive consultation (medication adherence scales).</w:t>
            </w:r>
          </w:p>
        </w:tc>
      </w:tr>
      <w:tr w14:paraId="6B96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D018466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9F4E51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Healthcare Service Team (Tripartite Interaction)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CBAAF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Primary institutions/CDC/general hospitals assume responsibilities per expertise/capacity.</w:t>
            </w:r>
          </w:p>
        </w:tc>
      </w:tr>
      <w:tr w14:paraId="1324F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EFE6A70">
            <w:pP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EC6AB0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Community Partners (Tripartite Interaction)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5C8A3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15"/>
                <w:szCs w:val="15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1. Sub-district offices.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2. Health volunteers.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15"/>
                <w:szCs w:val="15"/>
                <w:lang w:val="en-US" w:eastAsia="zh-CN" w:bidi="ar"/>
              </w:rPr>
              <w:t>3. Community organizations (e.g., chronic disease self-management groups).</w:t>
            </w:r>
          </w:p>
        </w:tc>
      </w:tr>
    </w:tbl>
    <w:p w14:paraId="372127F4">
      <w:pPr>
        <w:rPr>
          <w:rFonts w:hint="default" w:ascii="Times New Roman" w:hAnsi="Times New Roman" w:cs="Times New Roman"/>
          <w:lang w:val="en-US" w:eastAsia="zh-CN"/>
        </w:rPr>
      </w:pPr>
    </w:p>
    <w:p w14:paraId="4ED8E0A8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</w:rPr>
        <w:t>Data Source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of this study</w:t>
      </w:r>
    </w:p>
    <w:p w14:paraId="32F2A8BE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Local health authorities extract anonymized data from the hypertension management modules of personal health records. Ethical approval should be obtained, and a secrecy agreement should be signed.</w:t>
      </w:r>
    </w:p>
    <w:p w14:paraId="090D7E2A">
      <w:pPr>
        <w:rPr>
          <w:rFonts w:hint="default" w:ascii="Times New Roman" w:hAnsi="Times New Roman" w:cs="Times New Roman"/>
        </w:rPr>
      </w:pPr>
    </w:p>
    <w:p w14:paraId="034A1795">
      <w:pPr>
        <w:rPr>
          <w:rFonts w:hint="eastAsia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3.Interest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v</w:t>
      </w:r>
      <w:r>
        <w:rPr>
          <w:rFonts w:hint="default" w:ascii="Times New Roman" w:hAnsi="Times New Roman" w:cs="Times New Roman"/>
          <w:b/>
          <w:bCs/>
        </w:rPr>
        <w:t>ariables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of this study</w:t>
      </w:r>
    </w:p>
    <w:p w14:paraId="4BC11C0B">
      <w:pPr>
        <w:numPr>
          <w:ilvl w:val="0"/>
          <w:numId w:val="0"/>
        </w:numPr>
        <w:ind w:leftChars="0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Follow-up regularity</w:t>
      </w:r>
      <w:r>
        <w:rPr>
          <w:rFonts w:hint="eastAsia" w:ascii="Times New Roman" w:hAnsi="Times New Roman" w:cs="Times New Roman"/>
          <w:lang w:val="en-US" w:eastAsia="zh-CN"/>
        </w:rPr>
        <w:t>: the actual numbers compared with the mandatory numbers, reflecting the obeying of the Standards and the Guidelines.</w:t>
      </w:r>
    </w:p>
    <w:p w14:paraId="4016B8DE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Follow-up </w:t>
      </w:r>
      <w:r>
        <w:rPr>
          <w:rFonts w:hint="eastAsia" w:ascii="Times New Roman" w:hAnsi="Times New Roman" w:cs="Times New Roman"/>
          <w:lang w:val="en-US" w:eastAsia="zh-CN"/>
        </w:rPr>
        <w:t>intervals: the time span from visit-to-visit.</w:t>
      </w:r>
    </w:p>
    <w:p w14:paraId="75244229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Type of follow-up: whether it is face-to-face.</w:t>
      </w:r>
    </w:p>
    <w:p w14:paraId="7ED45C6C">
      <w:pPr>
        <w:rPr>
          <w:rFonts w:hint="eastAsia" w:ascii="Times New Roman" w:hAnsi="Times New Roman" w:cs="Times New Roman"/>
          <w:lang w:val="en-US" w:eastAsia="zh-CN"/>
        </w:rPr>
      </w:pPr>
    </w:p>
    <w:p w14:paraId="6A80471A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>4.</w:t>
      </w:r>
      <w:r>
        <w:rPr>
          <w:rFonts w:hint="default" w:ascii="Times New Roman" w:hAnsi="Times New Roman" w:cs="Times New Roman"/>
          <w:b/>
          <w:bCs/>
        </w:rPr>
        <w:t xml:space="preserve">Sampling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of this study</w:t>
      </w:r>
    </w:p>
    <w:p w14:paraId="3737993E">
      <w:pPr>
        <w:numPr>
          <w:ilvl w:val="0"/>
          <w:numId w:val="0"/>
        </w:numPr>
        <w:rPr>
          <w:rFonts w:hint="eastAsia" w:ascii="Times New Roman" w:hAnsi="Times New Roman" w:cs="Times New Roman" w:eastAsiaTheme="minorEastAsia"/>
          <w:kern w:val="2"/>
          <w:sz w:val="21"/>
          <w:szCs w:val="24"/>
          <w:u w:val="none"/>
          <w:shd w:val="clear" w:fill="E6F0FF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  <w:t xml:space="preserve">Each stage of the sampling involves a systematic selection process to ensure representativeness. At the Province level, </w:t>
      </w:r>
      <w:r>
        <w:rPr>
          <w:rFonts w:hint="eastAsia" w:ascii="Times New Roman" w:hAnsi="Times New Roman" w:cs="Times New Roman"/>
          <w:kern w:val="2"/>
          <w:sz w:val="21"/>
          <w:szCs w:val="24"/>
          <w:lang w:val="en-US" w:eastAsia="zh-CN" w:bidi="ar-SA"/>
        </w:rPr>
        <w:t>Hunan and Hubei provinces were selected for preliminary investigation due to their high prevalence of hypertension and similar economy in the central region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  <w:t xml:space="preserve">. Subsequently, within each selected province, counties are chosen using a random sampling technique. This process is then repeated at the Township level, where specific townships are selected from the sampled counties. Finally, patients </w:t>
      </w:r>
      <w:r>
        <w:rPr>
          <w:rFonts w:hint="eastAsia" w:ascii="Times New Roman" w:hAnsi="Times New Roman" w:cs="Times New Roman"/>
          <w:kern w:val="2"/>
          <w:sz w:val="21"/>
          <w:szCs w:val="24"/>
          <w:lang w:val="en-US" w:eastAsia="zh-CN" w:bidi="ar-SA"/>
        </w:rPr>
        <w:t xml:space="preserve">under management are 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  <w:t>recruited from the sampled townships to form the final study population.</w:t>
      </w:r>
    </w:p>
    <w:p w14:paraId="5C19C391">
      <w:pPr>
        <w:rPr>
          <w:rFonts w:hint="default" w:ascii="Times New Roman" w:hAnsi="Times New Roman" w:cs="Times New Roman"/>
        </w:rPr>
      </w:pPr>
    </w:p>
    <w:p w14:paraId="20550B03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4"/>
          <w:lang w:val="en-US" w:eastAsia="zh-CN" w:bidi="ar-SA"/>
        </w:rPr>
        <w:t>5.</w:t>
      </w:r>
      <w:r>
        <w:rPr>
          <w:rFonts w:hint="default" w:ascii="Times New Roman" w:hAnsi="Times New Roman" w:cs="Times New Roman"/>
          <w:b/>
          <w:bCs/>
        </w:rPr>
        <w:t>Ethical ID</w:t>
      </w:r>
    </w:p>
    <w:p w14:paraId="34B5E48F">
      <w:pPr>
        <w:numPr>
          <w:ilvl w:val="0"/>
          <w:numId w:val="0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IORG0003571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50C27"/>
    <w:rsid w:val="05972365"/>
    <w:rsid w:val="0AEA5AA1"/>
    <w:rsid w:val="0EE7435D"/>
    <w:rsid w:val="1CD44D03"/>
    <w:rsid w:val="212705E9"/>
    <w:rsid w:val="26E02D22"/>
    <w:rsid w:val="2A9A6FAE"/>
    <w:rsid w:val="2BF23BD2"/>
    <w:rsid w:val="2D822236"/>
    <w:rsid w:val="336E3E55"/>
    <w:rsid w:val="341C1B03"/>
    <w:rsid w:val="418E4F3A"/>
    <w:rsid w:val="47C50C27"/>
    <w:rsid w:val="482E1A5D"/>
    <w:rsid w:val="4A4A408E"/>
    <w:rsid w:val="4E510488"/>
    <w:rsid w:val="523C2680"/>
    <w:rsid w:val="56046C28"/>
    <w:rsid w:val="68CF66EC"/>
    <w:rsid w:val="6A6318DB"/>
    <w:rsid w:val="70F761F8"/>
    <w:rsid w:val="792E3438"/>
    <w:rsid w:val="7DD8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674</Words>
  <Characters>4871</Characters>
  <Lines>0</Lines>
  <Paragraphs>0</Paragraphs>
  <TotalTime>8</TotalTime>
  <ScaleCrop>false</ScaleCrop>
  <LinksUpToDate>false</LinksUpToDate>
  <CharactersWithSpaces>5464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2025-07-11T05:27:00Z</dcterms:created>
  <dc:creator>陈芳菲</dc:creator>
  <cp:lastModifiedBy>陈芳菲</cp:lastModifiedBy>
  <dcterms:modified xsi:type="dcterms:W3CDTF">2025-07-15T22:32:56Z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09BB3F2A390A411E81D00BBC98680E1A_11</vt:lpwstr>
  </property>
  <property fmtid="{D5CDD505-2E9C-101B-9397-08002B2CF9AE}" pid="4" name="KSOTemplateDocerSaveRecord">
    <vt:lpwstr>eyJoZGlkIjoiZjY1YmNmZjY0OTcyNWNhYzc5ODkyYTgzZjYxM2E1OGMiLCJ1c2VySWQiOiIxNTE5MTMwNTU3In0=</vt:lpwstr>
  </property>
</Properties>
</file>