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173" w:rsidRDefault="00F74173" w:rsidP="00F74173">
      <w:r>
        <w:t>Supplementary Material S.1 Danish CVD hospital contacts by typ</w:t>
      </w:r>
      <w:r>
        <w:t>e</w:t>
      </w:r>
    </w:p>
    <w:p w:rsidR="00F74173" w:rsidRDefault="00F74173" w:rsidP="00F74173"/>
    <w:p w:rsidR="00F74173" w:rsidRDefault="00F74173" w:rsidP="00F74173">
      <w:r>
        <w:t>Table S1. Distribution of first CVD contacts by type of hospital contact, sex, and period.</w:t>
      </w:r>
    </w:p>
    <w:p w:rsidR="00F74173" w:rsidRDefault="00F74173" w:rsidP="00F741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F74173" w:rsidTr="00F74173">
        <w:tc>
          <w:tcPr>
            <w:tcW w:w="1848" w:type="dxa"/>
          </w:tcPr>
          <w:p w:rsidR="00F74173" w:rsidRDefault="00F74173" w:rsidP="00F74173">
            <w:r>
              <w:t>Period</w:t>
            </w:r>
          </w:p>
        </w:tc>
        <w:tc>
          <w:tcPr>
            <w:tcW w:w="1848" w:type="dxa"/>
          </w:tcPr>
          <w:p w:rsidR="00F74173" w:rsidRDefault="00F74173" w:rsidP="00F74173">
            <w:r>
              <w:t>Sex</w:t>
            </w:r>
          </w:p>
        </w:tc>
        <w:tc>
          <w:tcPr>
            <w:tcW w:w="1848" w:type="dxa"/>
          </w:tcPr>
          <w:p w:rsidR="00F74173" w:rsidRDefault="00F74173" w:rsidP="00F74173">
            <w:r>
              <w:t>Inpatient</w:t>
            </w:r>
          </w:p>
        </w:tc>
        <w:tc>
          <w:tcPr>
            <w:tcW w:w="1849" w:type="dxa"/>
          </w:tcPr>
          <w:p w:rsidR="00F74173" w:rsidRDefault="00F74173" w:rsidP="00F74173">
            <w:r>
              <w:t>Outpatient</w:t>
            </w:r>
          </w:p>
        </w:tc>
        <w:tc>
          <w:tcPr>
            <w:tcW w:w="1849" w:type="dxa"/>
          </w:tcPr>
          <w:p w:rsidR="00F74173" w:rsidRDefault="00F74173" w:rsidP="00F74173">
            <w:r>
              <w:t>Emergency</w:t>
            </w:r>
          </w:p>
        </w:tc>
      </w:tr>
      <w:tr w:rsidR="00F74173" w:rsidTr="00F74173">
        <w:tc>
          <w:tcPr>
            <w:tcW w:w="1848" w:type="dxa"/>
            <w:vMerge w:val="restart"/>
          </w:tcPr>
          <w:p w:rsidR="00F74173" w:rsidRDefault="00F74173" w:rsidP="00F74173">
            <w:r>
              <w:t>2005–2009</w:t>
            </w:r>
          </w:p>
        </w:tc>
        <w:tc>
          <w:tcPr>
            <w:tcW w:w="1848" w:type="dxa"/>
          </w:tcPr>
          <w:p w:rsidR="00F74173" w:rsidRDefault="00F74173" w:rsidP="00F74173">
            <w:r>
              <w:t>Men</w:t>
            </w:r>
          </w:p>
        </w:tc>
        <w:tc>
          <w:tcPr>
            <w:tcW w:w="1848" w:type="dxa"/>
          </w:tcPr>
          <w:p w:rsidR="00F74173" w:rsidRDefault="00F74173" w:rsidP="00F74173">
            <w:r>
              <w:t>58.9%</w:t>
            </w:r>
          </w:p>
        </w:tc>
        <w:tc>
          <w:tcPr>
            <w:tcW w:w="1849" w:type="dxa"/>
          </w:tcPr>
          <w:p w:rsidR="00F74173" w:rsidRDefault="00F74173" w:rsidP="00F74173">
            <w:r>
              <w:t>33.3%</w:t>
            </w:r>
          </w:p>
        </w:tc>
        <w:tc>
          <w:tcPr>
            <w:tcW w:w="1849" w:type="dxa"/>
          </w:tcPr>
          <w:p w:rsidR="00F74173" w:rsidRDefault="00F74173" w:rsidP="00F74173">
            <w:r>
              <w:t>7.8%</w:t>
            </w:r>
          </w:p>
        </w:tc>
      </w:tr>
      <w:tr w:rsidR="00F74173" w:rsidTr="00F74173">
        <w:tc>
          <w:tcPr>
            <w:tcW w:w="1848" w:type="dxa"/>
            <w:vMerge/>
          </w:tcPr>
          <w:p w:rsidR="00F74173" w:rsidRDefault="00F74173" w:rsidP="00F74173"/>
        </w:tc>
        <w:tc>
          <w:tcPr>
            <w:tcW w:w="1848" w:type="dxa"/>
          </w:tcPr>
          <w:p w:rsidR="00F74173" w:rsidRDefault="00F74173" w:rsidP="00F74173">
            <w:r>
              <w:t>Women</w:t>
            </w:r>
          </w:p>
        </w:tc>
        <w:tc>
          <w:tcPr>
            <w:tcW w:w="1848" w:type="dxa"/>
          </w:tcPr>
          <w:p w:rsidR="00F74173" w:rsidRDefault="00F74173" w:rsidP="00F74173">
            <w:r>
              <w:t>57.8%</w:t>
            </w:r>
          </w:p>
        </w:tc>
        <w:tc>
          <w:tcPr>
            <w:tcW w:w="1849" w:type="dxa"/>
          </w:tcPr>
          <w:p w:rsidR="00F74173" w:rsidRDefault="00F74173" w:rsidP="00F74173">
            <w:r>
              <w:t>33.2%</w:t>
            </w:r>
          </w:p>
        </w:tc>
        <w:tc>
          <w:tcPr>
            <w:tcW w:w="1849" w:type="dxa"/>
          </w:tcPr>
          <w:p w:rsidR="00F74173" w:rsidRDefault="00F74173" w:rsidP="00F74173">
            <w:r>
              <w:t>9.0%</w:t>
            </w:r>
          </w:p>
        </w:tc>
      </w:tr>
      <w:tr w:rsidR="00F74173" w:rsidTr="00F74173">
        <w:tc>
          <w:tcPr>
            <w:tcW w:w="1848" w:type="dxa"/>
            <w:vMerge w:val="restart"/>
          </w:tcPr>
          <w:p w:rsidR="00F74173" w:rsidRDefault="00F74173" w:rsidP="00F74173">
            <w:r>
              <w:t>2010–2014</w:t>
            </w:r>
          </w:p>
        </w:tc>
        <w:tc>
          <w:tcPr>
            <w:tcW w:w="1848" w:type="dxa"/>
          </w:tcPr>
          <w:p w:rsidR="00F74173" w:rsidRDefault="00F74173" w:rsidP="001B1646">
            <w:r>
              <w:t>Men</w:t>
            </w:r>
          </w:p>
        </w:tc>
        <w:tc>
          <w:tcPr>
            <w:tcW w:w="1848" w:type="dxa"/>
          </w:tcPr>
          <w:p w:rsidR="00F74173" w:rsidRDefault="00F74173" w:rsidP="00F74173">
            <w:r>
              <w:t>53.8%</w:t>
            </w:r>
          </w:p>
        </w:tc>
        <w:tc>
          <w:tcPr>
            <w:tcW w:w="1849" w:type="dxa"/>
          </w:tcPr>
          <w:p w:rsidR="00F74173" w:rsidRDefault="00F74173" w:rsidP="00F74173">
            <w:r>
              <w:t>37.0%</w:t>
            </w:r>
          </w:p>
        </w:tc>
        <w:tc>
          <w:tcPr>
            <w:tcW w:w="1849" w:type="dxa"/>
          </w:tcPr>
          <w:p w:rsidR="00F74173" w:rsidRDefault="00F74173" w:rsidP="00F74173">
            <w:r>
              <w:t>7.2%</w:t>
            </w:r>
          </w:p>
        </w:tc>
      </w:tr>
      <w:tr w:rsidR="00F74173" w:rsidTr="00F74173">
        <w:tc>
          <w:tcPr>
            <w:tcW w:w="1848" w:type="dxa"/>
            <w:vMerge/>
          </w:tcPr>
          <w:p w:rsidR="00F74173" w:rsidRDefault="00F74173" w:rsidP="00F74173"/>
        </w:tc>
        <w:tc>
          <w:tcPr>
            <w:tcW w:w="1848" w:type="dxa"/>
          </w:tcPr>
          <w:p w:rsidR="00F74173" w:rsidRDefault="00F74173" w:rsidP="001B1646">
            <w:r>
              <w:t>Women</w:t>
            </w:r>
          </w:p>
        </w:tc>
        <w:tc>
          <w:tcPr>
            <w:tcW w:w="1848" w:type="dxa"/>
          </w:tcPr>
          <w:p w:rsidR="00F74173" w:rsidRDefault="00F74173" w:rsidP="00F74173">
            <w:r>
              <w:t>53.1%</w:t>
            </w:r>
          </w:p>
        </w:tc>
        <w:tc>
          <w:tcPr>
            <w:tcW w:w="1849" w:type="dxa"/>
          </w:tcPr>
          <w:p w:rsidR="00F74173" w:rsidRDefault="00F74173" w:rsidP="00F74173">
            <w:r>
              <w:t>36.9%</w:t>
            </w:r>
          </w:p>
        </w:tc>
        <w:tc>
          <w:tcPr>
            <w:tcW w:w="1849" w:type="dxa"/>
          </w:tcPr>
          <w:p w:rsidR="00F74173" w:rsidRDefault="00F74173" w:rsidP="00F74173">
            <w:r>
              <w:t>8.1%</w:t>
            </w:r>
          </w:p>
        </w:tc>
      </w:tr>
      <w:tr w:rsidR="00F74173" w:rsidTr="00F74173">
        <w:tc>
          <w:tcPr>
            <w:tcW w:w="1848" w:type="dxa"/>
            <w:vMerge w:val="restart"/>
          </w:tcPr>
          <w:p w:rsidR="00F74173" w:rsidRDefault="00F74173" w:rsidP="00F74173">
            <w:r>
              <w:t>2015–2018</w:t>
            </w:r>
          </w:p>
        </w:tc>
        <w:tc>
          <w:tcPr>
            <w:tcW w:w="1848" w:type="dxa"/>
          </w:tcPr>
          <w:p w:rsidR="00F74173" w:rsidRDefault="00F74173" w:rsidP="001B1646">
            <w:r>
              <w:t>Men</w:t>
            </w:r>
          </w:p>
        </w:tc>
        <w:tc>
          <w:tcPr>
            <w:tcW w:w="1848" w:type="dxa"/>
          </w:tcPr>
          <w:p w:rsidR="00F74173" w:rsidRDefault="00F74173" w:rsidP="00F74173">
            <w:r>
              <w:t>52.4%</w:t>
            </w:r>
          </w:p>
        </w:tc>
        <w:tc>
          <w:tcPr>
            <w:tcW w:w="1849" w:type="dxa"/>
          </w:tcPr>
          <w:p w:rsidR="00F74173" w:rsidRDefault="00F74173" w:rsidP="00F74173">
            <w:r>
              <w:t>39.8%</w:t>
            </w:r>
          </w:p>
        </w:tc>
        <w:tc>
          <w:tcPr>
            <w:tcW w:w="1849" w:type="dxa"/>
          </w:tcPr>
          <w:p w:rsidR="00F74173" w:rsidRDefault="00F74173" w:rsidP="00F74173">
            <w:r>
              <w:t>6.0%</w:t>
            </w:r>
          </w:p>
        </w:tc>
      </w:tr>
      <w:tr w:rsidR="00F74173" w:rsidTr="00F74173">
        <w:tc>
          <w:tcPr>
            <w:tcW w:w="1848" w:type="dxa"/>
            <w:vMerge/>
          </w:tcPr>
          <w:p w:rsidR="00F74173" w:rsidRDefault="00F74173" w:rsidP="00F74173"/>
        </w:tc>
        <w:tc>
          <w:tcPr>
            <w:tcW w:w="1848" w:type="dxa"/>
          </w:tcPr>
          <w:p w:rsidR="00F74173" w:rsidRDefault="00F74173" w:rsidP="001B1646">
            <w:r>
              <w:t>Women</w:t>
            </w:r>
          </w:p>
        </w:tc>
        <w:tc>
          <w:tcPr>
            <w:tcW w:w="1848" w:type="dxa"/>
          </w:tcPr>
          <w:p w:rsidR="00F74173" w:rsidRDefault="00F74173" w:rsidP="00F74173">
            <w:r>
              <w:t>52.5%</w:t>
            </w:r>
          </w:p>
        </w:tc>
        <w:tc>
          <w:tcPr>
            <w:tcW w:w="1849" w:type="dxa"/>
          </w:tcPr>
          <w:p w:rsidR="00F74173" w:rsidRDefault="00F74173" w:rsidP="00F74173">
            <w:r>
              <w:t>38.6%</w:t>
            </w:r>
          </w:p>
        </w:tc>
        <w:tc>
          <w:tcPr>
            <w:tcW w:w="1849" w:type="dxa"/>
          </w:tcPr>
          <w:p w:rsidR="00F74173" w:rsidRDefault="00F74173" w:rsidP="00F74173">
            <w:r>
              <w:t>7.3%</w:t>
            </w:r>
            <w:bookmarkStart w:id="0" w:name="_GoBack"/>
            <w:bookmarkEnd w:id="0"/>
          </w:p>
        </w:tc>
      </w:tr>
    </w:tbl>
    <w:p w:rsidR="00F74173" w:rsidRDefault="00F74173" w:rsidP="00F74173"/>
    <w:sectPr w:rsidR="00F741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73"/>
    <w:rsid w:val="00D03A50"/>
    <w:rsid w:val="00F7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1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1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741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1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1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741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Vindhiyasri Mohanraj (Integra)</dc:creator>
  <cp:lastModifiedBy>Vindhiyasri Mohanraj (Integra)</cp:lastModifiedBy>
  <cp:revision>1</cp:revision>
  <dcterms:created xsi:type="dcterms:W3CDTF">2026-09-11T12:31:00Z</dcterms:created>
  <dcterms:modified xsi:type="dcterms:W3CDTF">2026-09-11T12:39:00Z</dcterms:modified>
</cp:coreProperties>
</file>