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3BD" w:rsidRDefault="00B830C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731510" cy="7583805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슬라이드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BD" w:rsidRDefault="00AE73BD" w:rsidP="00B830C8">
      <w:pPr>
        <w:pStyle w:val="a3"/>
        <w:spacing w:before="0" w:beforeAutospacing="0" w:after="160" w:afterAutospacing="0" w:line="480" w:lineRule="auto"/>
        <w:jc w:val="both"/>
        <w:textAlignment w:val="baseline"/>
        <w:rPr>
          <w:rFonts w:ascii="Times New Roman" w:hAnsi="Times New Roman" w:cs="Times New Roman"/>
        </w:rPr>
      </w:pPr>
      <w:r w:rsidRPr="004C6407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Pr="004C6407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4C6407">
        <w:rPr>
          <w:rFonts w:ascii="Times New Roman" w:hAnsi="Times New Roman" w:cs="Times New Roman"/>
        </w:rPr>
        <w:t>The</w:t>
      </w:r>
      <w:proofErr w:type="gramEnd"/>
      <w:r w:rsidRPr="004C6407">
        <w:rPr>
          <w:rFonts w:ascii="Times New Roman" w:hAnsi="Times New Roman" w:cs="Times New Roman"/>
        </w:rPr>
        <w:t xml:space="preserve"> </w:t>
      </w:r>
      <w:proofErr w:type="spellStart"/>
      <w:r w:rsidRPr="004C6407">
        <w:rPr>
          <w:rFonts w:ascii="Times New Roman" w:hAnsi="Times New Roman" w:cs="Times New Roman"/>
        </w:rPr>
        <w:t>Ras</w:t>
      </w:r>
      <w:proofErr w:type="spellEnd"/>
      <w:r w:rsidRPr="004C6407">
        <w:rPr>
          <w:rFonts w:ascii="Times New Roman" w:hAnsi="Times New Roman" w:cs="Times New Roman"/>
        </w:rPr>
        <w:t xml:space="preserve"> protein level is increased in Lgr5</w:t>
      </w:r>
      <w:r w:rsidRPr="004C6407">
        <w:rPr>
          <w:rFonts w:ascii="Times New Roman" w:hAnsi="Times New Roman" w:cs="Times New Roman"/>
          <w:vertAlign w:val="superscript"/>
        </w:rPr>
        <w:t>+</w:t>
      </w:r>
      <w:r w:rsidRPr="004C6407">
        <w:rPr>
          <w:rFonts w:ascii="Times New Roman" w:hAnsi="Times New Roman" w:cs="Times New Roman"/>
        </w:rPr>
        <w:t xml:space="preserve"> stem cells </w:t>
      </w:r>
      <w:r w:rsidR="004241D6">
        <w:rPr>
          <w:rFonts w:ascii="Times New Roman" w:hAnsi="Times New Roman" w:cs="Times New Roman"/>
        </w:rPr>
        <w:t xml:space="preserve">in the murine small intestine. </w:t>
      </w:r>
      <w:r w:rsidRPr="007B658E">
        <w:rPr>
          <w:rFonts w:ascii="Times New Roman" w:hAnsi="Times New Roman" w:cs="Times New Roman"/>
          <w:b/>
        </w:rPr>
        <w:t>A-B</w:t>
      </w:r>
      <w:r w:rsidRPr="004C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Confocal immunofluorescence of </w:t>
      </w:r>
      <w:r w:rsidRPr="007B658E">
        <w:rPr>
          <w:rFonts w:ascii="Times New Roman" w:hAnsi="Times New Roman" w:cs="Times New Roman"/>
          <w:b/>
        </w:rPr>
        <w:t>A</w:t>
      </w:r>
      <w:r w:rsidRPr="004C6407">
        <w:rPr>
          <w:rFonts w:ascii="Times New Roman" w:hAnsi="Times New Roman" w:cs="Times New Roman"/>
        </w:rPr>
        <w:t xml:space="preserve"> </w:t>
      </w:r>
      <w:proofErr w:type="spellStart"/>
      <w:r w:rsidRPr="004C6407">
        <w:rPr>
          <w:rFonts w:ascii="Times New Roman" w:hAnsi="Times New Roman" w:cs="Times New Roman"/>
        </w:rPr>
        <w:t>Ras</w:t>
      </w:r>
      <w:proofErr w:type="spellEnd"/>
      <w:r w:rsidRPr="004C6407">
        <w:rPr>
          <w:rFonts w:ascii="Times New Roman" w:hAnsi="Times New Roman" w:cs="Times New Roman"/>
        </w:rPr>
        <w:t xml:space="preserve"> (green) and</w:t>
      </w:r>
      <w:r>
        <w:rPr>
          <w:rFonts w:ascii="Times New Roman" w:hAnsi="Times New Roman" w:cs="Times New Roman"/>
        </w:rPr>
        <w:t xml:space="preserve"> </w:t>
      </w:r>
      <w:r w:rsidRPr="007B658E">
        <w:rPr>
          <w:rFonts w:ascii="Times New Roman" w:hAnsi="Times New Roman" w:cs="Times New Roman"/>
          <w:b/>
        </w:rPr>
        <w:t>B</w:t>
      </w:r>
      <w:r w:rsidRPr="004C6407">
        <w:rPr>
          <w:rFonts w:ascii="Times New Roman" w:hAnsi="Times New Roman" w:cs="Times New Roman"/>
        </w:rPr>
        <w:t xml:space="preserve"> Lgr5-GFP (green) in </w:t>
      </w:r>
      <w:r w:rsidRPr="004C6407">
        <w:rPr>
          <w:rFonts w:ascii="Times New Roman" w:hAnsi="Times New Roman" w:cs="Times New Roman"/>
          <w:i/>
          <w:iCs/>
        </w:rPr>
        <w:t xml:space="preserve">Lgr5- EGFP </w:t>
      </w:r>
      <w:r w:rsidRPr="004C6407">
        <w:rPr>
          <w:rFonts w:ascii="Times New Roman" w:hAnsi="Times New Roman" w:cs="Times New Roman"/>
        </w:rPr>
        <w:t>mouse intestinal sections. Lgr5</w:t>
      </w:r>
      <w:r w:rsidRPr="004C6407">
        <w:rPr>
          <w:rFonts w:ascii="Times New Roman" w:hAnsi="Times New Roman" w:cs="Times New Roman"/>
          <w:vertAlign w:val="superscript"/>
        </w:rPr>
        <w:t>+</w:t>
      </w:r>
      <w:r w:rsidRPr="004C6407">
        <w:rPr>
          <w:rFonts w:ascii="Times New Roman" w:hAnsi="Times New Roman" w:cs="Times New Roman"/>
        </w:rPr>
        <w:t xml:space="preserve"> ISCs indicated by arrows. Scale bars represent 20 </w:t>
      </w:r>
      <w:proofErr w:type="spellStart"/>
      <w:r w:rsidRPr="004C6407">
        <w:rPr>
          <w:rFonts w:ascii="Times New Roman" w:hAnsi="Times New Roman" w:cs="Times New Roman"/>
        </w:rPr>
        <w:t>μm</w:t>
      </w:r>
      <w:proofErr w:type="spellEnd"/>
      <w:r w:rsidRPr="004C6407">
        <w:rPr>
          <w:rFonts w:ascii="Times New Roman" w:hAnsi="Times New Roman" w:cs="Times New Roman"/>
        </w:rPr>
        <w:t>.</w:t>
      </w:r>
    </w:p>
    <w:p w:rsidR="00AE73BD" w:rsidRDefault="00AE73BD">
      <w:r>
        <w:rPr>
          <w:noProof/>
        </w:rPr>
        <w:lastRenderedPageBreak/>
        <w:drawing>
          <wp:inline distT="0" distB="0" distL="0" distR="0">
            <wp:extent cx="5731510" cy="758380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슬라이드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3BD" w:rsidRDefault="00AE73BD" w:rsidP="00B830C8">
      <w:pPr>
        <w:pStyle w:val="a3"/>
        <w:spacing w:before="0" w:beforeAutospacing="0" w:after="160" w:afterAutospacing="0" w:line="480" w:lineRule="auto"/>
        <w:jc w:val="both"/>
        <w:textAlignment w:val="baseline"/>
        <w:rPr>
          <w:rFonts w:ascii="Times New Roman" w:hAnsi="Times New Roman" w:cs="Times New Roman"/>
        </w:rPr>
      </w:pPr>
      <w:r w:rsidRPr="004C640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4C6407">
        <w:rPr>
          <w:rFonts w:ascii="Times New Roman" w:hAnsi="Times New Roman" w:cs="Times New Roman"/>
          <w:b/>
          <w:bCs/>
        </w:rPr>
        <w:t xml:space="preserve"> </w:t>
      </w:r>
      <w:r w:rsidRPr="004C6407">
        <w:rPr>
          <w:rFonts w:ascii="Times New Roman" w:hAnsi="Times New Roman" w:cs="Times New Roman"/>
        </w:rPr>
        <w:t xml:space="preserve">Loss of Wdr76 </w:t>
      </w:r>
      <w:r>
        <w:rPr>
          <w:rFonts w:ascii="Times New Roman" w:hAnsi="Times New Roman" w:cs="Times New Roman"/>
        </w:rPr>
        <w:t>affects lineage</w:t>
      </w:r>
      <w:r w:rsidRPr="004C6407">
        <w:rPr>
          <w:rFonts w:ascii="Times New Roman" w:hAnsi="Times New Roman" w:cs="Times New Roman"/>
        </w:rPr>
        <w:t xml:space="preserve"> differentiation in the murine small intestine. </w:t>
      </w:r>
      <w:r w:rsidRPr="007B658E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 Quantification of the length of small intestinal crypts.</w:t>
      </w:r>
      <w:r w:rsidRPr="004C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 measurements or counts are based on at least 10 crypts per 5 fields of view. *** p&lt;0.001.</w:t>
      </w:r>
      <w:r w:rsidRPr="004C64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B</w:t>
      </w:r>
      <w:r w:rsidRPr="007B658E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C</w:t>
      </w:r>
      <w:r w:rsidRPr="004C6407">
        <w:rPr>
          <w:rFonts w:ascii="Times New Roman" w:hAnsi="Times New Roman" w:cs="Times New Roman"/>
        </w:rPr>
        <w:t xml:space="preserve"> Comparative confocal </w:t>
      </w:r>
      <w:r w:rsidRPr="004C6407">
        <w:rPr>
          <w:rFonts w:ascii="Times New Roman" w:hAnsi="Times New Roman" w:cs="Times New Roman"/>
        </w:rPr>
        <w:lastRenderedPageBreak/>
        <w:t>immunofluorescence analysis of lineage differentiation into goblet cells (mucin2</w:t>
      </w:r>
      <w:r>
        <w:rPr>
          <w:rFonts w:ascii="Times New Roman" w:hAnsi="Times New Roman" w:cs="Times New Roman"/>
        </w:rPr>
        <w:t>, red</w:t>
      </w:r>
      <w:r w:rsidRPr="004C640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Paneth cell (lysozyme, red) </w:t>
      </w:r>
      <w:r w:rsidRPr="004C6407">
        <w:rPr>
          <w:rFonts w:ascii="Times New Roman" w:hAnsi="Times New Roman" w:cs="Times New Roman"/>
        </w:rPr>
        <w:t xml:space="preserve">in intestinal sections of </w:t>
      </w:r>
      <w:r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</w:t>
      </w:r>
      <w:r w:rsidRPr="004C6407">
        <w:rPr>
          <w:rFonts w:ascii="Times New Roman" w:hAnsi="Times New Roman" w:cs="Times New Roman"/>
          <w:i/>
          <w:iCs/>
        </w:rPr>
        <w:t>Wdr76</w:t>
      </w:r>
      <w:r w:rsidRPr="004C6407">
        <w:rPr>
          <w:rFonts w:ascii="Times New Roman" w:hAnsi="Times New Roman" w:cs="Times New Roman"/>
          <w:i/>
          <w:iCs/>
          <w:vertAlign w:val="superscript"/>
        </w:rPr>
        <w:t>+/+</w:t>
      </w:r>
      <w:r w:rsidRPr="004C6407">
        <w:rPr>
          <w:rFonts w:ascii="Times New Roman" w:hAnsi="Times New Roman" w:cs="Times New Roman"/>
        </w:rPr>
        <w:t xml:space="preserve"> and </w:t>
      </w:r>
      <w:r w:rsidRPr="004C6407">
        <w:rPr>
          <w:rFonts w:ascii="Times New Roman" w:hAnsi="Times New Roman" w:cs="Times New Roman"/>
          <w:i/>
          <w:iCs/>
        </w:rPr>
        <w:t>Wdr76</w:t>
      </w:r>
      <w:r w:rsidRPr="004C6407">
        <w:rPr>
          <w:rFonts w:ascii="Times New Roman" w:hAnsi="Times New Roman" w:cs="Times New Roman"/>
          <w:i/>
          <w:iCs/>
          <w:vertAlign w:val="superscript"/>
        </w:rPr>
        <w:t>-/-</w:t>
      </w:r>
      <w:r w:rsidRPr="004C6407">
        <w:rPr>
          <w:rFonts w:ascii="Times New Roman" w:hAnsi="Times New Roman" w:cs="Times New Roman"/>
          <w:vertAlign w:val="superscript"/>
        </w:rPr>
        <w:t xml:space="preserve"> </w:t>
      </w:r>
      <w:r w:rsidRPr="004C6407">
        <w:rPr>
          <w:rFonts w:ascii="Times New Roman" w:hAnsi="Times New Roman" w:cs="Times New Roman"/>
        </w:rPr>
        <w:t>mice</w:t>
      </w:r>
      <w:r>
        <w:rPr>
          <w:rFonts w:ascii="Times New Roman" w:hAnsi="Times New Roman" w:cs="Times New Roman"/>
        </w:rPr>
        <w:t xml:space="preserve"> and </w:t>
      </w:r>
      <w:r w:rsidRPr="006C7AFC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</w:t>
      </w:r>
      <w:r w:rsidRPr="004C6407">
        <w:rPr>
          <w:rFonts w:ascii="Times New Roman" w:hAnsi="Times New Roman" w:cs="Times New Roman"/>
          <w:i/>
          <w:iCs/>
        </w:rPr>
        <w:t>Wdr76</w:t>
      </w:r>
      <w:r w:rsidRPr="004C6407">
        <w:rPr>
          <w:rFonts w:ascii="Times New Roman" w:hAnsi="Times New Roman" w:cs="Times New Roman"/>
          <w:i/>
          <w:iCs/>
          <w:vertAlign w:val="superscript"/>
        </w:rPr>
        <w:t>+/+</w:t>
      </w:r>
      <w:r w:rsidRPr="004C6407">
        <w:rPr>
          <w:rFonts w:ascii="Times New Roman" w:hAnsi="Times New Roman" w:cs="Times New Roman"/>
        </w:rPr>
        <w:t xml:space="preserve">; </w:t>
      </w:r>
      <w:r w:rsidRPr="004C6407">
        <w:rPr>
          <w:rFonts w:ascii="Times New Roman" w:hAnsi="Times New Roman" w:cs="Times New Roman"/>
          <w:i/>
          <w:iCs/>
        </w:rPr>
        <w:t>Apc</w:t>
      </w:r>
      <w:r w:rsidRPr="004C6407">
        <w:rPr>
          <w:rFonts w:ascii="Times New Roman" w:hAnsi="Times New Roman" w:cs="Times New Roman"/>
          <w:i/>
          <w:iCs/>
          <w:vertAlign w:val="superscript"/>
        </w:rPr>
        <w:t xml:space="preserve">Min/+ </w:t>
      </w:r>
      <w:r w:rsidRPr="004C6407">
        <w:rPr>
          <w:rFonts w:ascii="Times New Roman" w:hAnsi="Times New Roman" w:cs="Times New Roman"/>
        </w:rPr>
        <w:t xml:space="preserve">and </w:t>
      </w:r>
      <w:r w:rsidRPr="004C6407">
        <w:rPr>
          <w:rFonts w:ascii="Times New Roman" w:hAnsi="Times New Roman" w:cs="Times New Roman"/>
          <w:i/>
          <w:iCs/>
        </w:rPr>
        <w:t>Wdr76</w:t>
      </w:r>
      <w:r w:rsidRPr="004C6407">
        <w:rPr>
          <w:rFonts w:ascii="Times New Roman" w:hAnsi="Times New Roman" w:cs="Times New Roman"/>
          <w:i/>
          <w:iCs/>
          <w:vertAlign w:val="superscript"/>
        </w:rPr>
        <w:t>-/-</w:t>
      </w:r>
      <w:r w:rsidRPr="004C6407">
        <w:rPr>
          <w:rFonts w:ascii="Times New Roman" w:hAnsi="Times New Roman" w:cs="Times New Roman"/>
        </w:rPr>
        <w:t xml:space="preserve">; </w:t>
      </w:r>
      <w:r w:rsidRPr="004C6407">
        <w:rPr>
          <w:rFonts w:ascii="Times New Roman" w:hAnsi="Times New Roman" w:cs="Times New Roman"/>
          <w:i/>
          <w:iCs/>
        </w:rPr>
        <w:t>Apc</w:t>
      </w:r>
      <w:r w:rsidRPr="004C6407">
        <w:rPr>
          <w:rFonts w:ascii="Times New Roman" w:hAnsi="Times New Roman" w:cs="Times New Roman"/>
          <w:i/>
          <w:iCs/>
          <w:vertAlign w:val="superscript"/>
        </w:rPr>
        <w:t xml:space="preserve">Min/+ </w:t>
      </w:r>
      <w:r w:rsidRPr="004C6407">
        <w:rPr>
          <w:rFonts w:ascii="Times New Roman" w:hAnsi="Times New Roman" w:cs="Times New Roman"/>
        </w:rPr>
        <w:t xml:space="preserve">mice. Boxes indicate the enlarged areas. </w:t>
      </w:r>
      <w:r w:rsidRPr="006C7AFC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Cr</w:t>
      </w:r>
      <w:r w:rsidRPr="004C6407">
        <w:rPr>
          <w:rFonts w:ascii="Times New Roman" w:hAnsi="Times New Roman" w:cs="Times New Roman"/>
        </w:rPr>
        <w:t xml:space="preserve">ypts </w:t>
      </w:r>
      <w:r>
        <w:rPr>
          <w:rFonts w:ascii="Times New Roman" w:hAnsi="Times New Roman" w:cs="Times New Roman"/>
        </w:rPr>
        <w:t xml:space="preserve">and </w:t>
      </w:r>
      <w:r w:rsidRPr="006C7AFC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tumors </w:t>
      </w:r>
      <w:r w:rsidRPr="004C6407">
        <w:rPr>
          <w:rFonts w:ascii="Times New Roman" w:hAnsi="Times New Roman" w:cs="Times New Roman"/>
        </w:rPr>
        <w:t xml:space="preserve">are indicated by dotted lines. Scale bars represent 20 </w:t>
      </w:r>
      <w:proofErr w:type="spellStart"/>
      <w:r w:rsidRPr="004C6407">
        <w:rPr>
          <w:rFonts w:ascii="Times New Roman" w:hAnsi="Times New Roman" w:cs="Times New Roman"/>
        </w:rPr>
        <w:t>μm</w:t>
      </w:r>
      <w:proofErr w:type="spellEnd"/>
      <w:r w:rsidRPr="004C6407">
        <w:rPr>
          <w:rFonts w:ascii="Times New Roman" w:hAnsi="Times New Roman" w:cs="Times New Roman"/>
        </w:rPr>
        <w:t>.</w:t>
      </w:r>
    </w:p>
    <w:p w:rsidR="00AE73BD" w:rsidRPr="00AE73BD" w:rsidRDefault="00AE73BD" w:rsidP="00B830C8">
      <w:pPr>
        <w:wordWrap/>
        <w:spacing w:line="480" w:lineRule="auto"/>
        <w:rPr>
          <w:rFonts w:hint="eastAsia"/>
        </w:rPr>
      </w:pPr>
    </w:p>
    <w:p w:rsidR="00AE73BD" w:rsidRDefault="00AE73BD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</w:pPr>
    </w:p>
    <w:p w:rsidR="009669B5" w:rsidRDefault="009669B5" w:rsidP="00B830C8">
      <w:pPr>
        <w:wordWrap/>
        <w:spacing w:line="480" w:lineRule="auto"/>
        <w:rPr>
          <w:rFonts w:hint="eastAsia"/>
        </w:rPr>
      </w:pPr>
    </w:p>
    <w:p w:rsidR="009669B5" w:rsidRDefault="009669B5">
      <w:r>
        <w:rPr>
          <w:noProof/>
        </w:rPr>
        <w:lastRenderedPageBreak/>
        <w:drawing>
          <wp:inline distT="0" distB="0" distL="0" distR="0">
            <wp:extent cx="5731510" cy="758380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슬라이드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9B5" w:rsidRPr="004C6407" w:rsidRDefault="009669B5" w:rsidP="00B830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4C64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6407">
        <w:rPr>
          <w:rFonts w:ascii="Times New Roman" w:hAnsi="Times New Roman" w:cs="Times New Roman"/>
          <w:sz w:val="24"/>
          <w:szCs w:val="24"/>
        </w:rPr>
        <w:t>RAS protein level is increased in CSC-like cells compared with that</w:t>
      </w:r>
      <w:r>
        <w:rPr>
          <w:rFonts w:ascii="Times New Roman" w:hAnsi="Times New Roman" w:cs="Times New Roman"/>
          <w:sz w:val="24"/>
          <w:szCs w:val="24"/>
        </w:rPr>
        <w:t xml:space="preserve"> in non-CSC-like cells in CRC. </w:t>
      </w:r>
      <w:r w:rsidRPr="009669B5">
        <w:rPr>
          <w:rFonts w:ascii="Times New Roman" w:hAnsi="Times New Roman" w:cs="Times New Roman"/>
          <w:b/>
          <w:sz w:val="24"/>
          <w:szCs w:val="24"/>
        </w:rPr>
        <w:t>A</w:t>
      </w:r>
      <w:r w:rsidRPr="004C6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407">
        <w:rPr>
          <w:rFonts w:ascii="Times New Roman" w:hAnsi="Times New Roman" w:cs="Times New Roman"/>
          <w:sz w:val="24"/>
          <w:szCs w:val="24"/>
        </w:rPr>
        <w:t>Brightfield</w:t>
      </w:r>
      <w:proofErr w:type="spellEnd"/>
      <w:r w:rsidRPr="004C6407">
        <w:rPr>
          <w:rFonts w:ascii="Times New Roman" w:hAnsi="Times New Roman" w:cs="Times New Roman"/>
          <w:sz w:val="24"/>
          <w:szCs w:val="24"/>
        </w:rPr>
        <w:t xml:space="preserve"> images of spheroid cultures of CD44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4C6407">
        <w:rPr>
          <w:rFonts w:ascii="Times New Roman" w:hAnsi="Times New Roman" w:cs="Times New Roman"/>
          <w:sz w:val="24"/>
          <w:szCs w:val="24"/>
        </w:rPr>
        <w:t>CD133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6407">
        <w:rPr>
          <w:rFonts w:ascii="Times New Roman" w:hAnsi="Times New Roman" w:cs="Times New Roman"/>
          <w:sz w:val="24"/>
          <w:szCs w:val="24"/>
        </w:rPr>
        <w:t>CD166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6407">
        <w:rPr>
          <w:rFonts w:ascii="Times New Roman" w:hAnsi="Times New Roman" w:cs="Times New Roman"/>
          <w:sz w:val="24"/>
          <w:szCs w:val="24"/>
        </w:rPr>
        <w:t xml:space="preserve"> and CD44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4C6407">
        <w:rPr>
          <w:rFonts w:ascii="Times New Roman" w:hAnsi="Times New Roman" w:cs="Times New Roman"/>
          <w:sz w:val="24"/>
          <w:szCs w:val="24"/>
        </w:rPr>
        <w:t>CD133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6407">
        <w:rPr>
          <w:rFonts w:ascii="Times New Roman" w:hAnsi="Times New Roman" w:cs="Times New Roman"/>
          <w:sz w:val="24"/>
          <w:szCs w:val="24"/>
        </w:rPr>
        <w:t>CD166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6407">
        <w:rPr>
          <w:rFonts w:ascii="Times New Roman" w:hAnsi="Times New Roman" w:cs="Times New Roman"/>
          <w:sz w:val="24"/>
          <w:szCs w:val="24"/>
        </w:rPr>
        <w:t xml:space="preserve"> cells sorted from D-MT cells by flow cytometry for the indicated </w:t>
      </w:r>
      <w:r w:rsidRPr="004C6407">
        <w:rPr>
          <w:rFonts w:ascii="Times New Roman" w:hAnsi="Times New Roman" w:cs="Times New Roman"/>
          <w:sz w:val="24"/>
          <w:szCs w:val="24"/>
        </w:rPr>
        <w:lastRenderedPageBreak/>
        <w:t>antibodie</w:t>
      </w:r>
      <w:r>
        <w:rPr>
          <w:rFonts w:ascii="Times New Roman" w:hAnsi="Times New Roman" w:cs="Times New Roman"/>
          <w:sz w:val="24"/>
          <w:szCs w:val="24"/>
        </w:rPr>
        <w:t xml:space="preserve">s. Scale bars represent 20 </w:t>
      </w:r>
      <w:proofErr w:type="spellStart"/>
      <w:r>
        <w:rPr>
          <w:rFonts w:ascii="Times New Roma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669B5">
        <w:rPr>
          <w:rFonts w:ascii="Times New Roman" w:hAnsi="Times New Roman" w:cs="Times New Roman"/>
          <w:b/>
          <w:sz w:val="24"/>
          <w:szCs w:val="24"/>
        </w:rPr>
        <w:t>B</w:t>
      </w:r>
      <w:r w:rsidRPr="004C6407">
        <w:rPr>
          <w:rFonts w:ascii="Times New Roman" w:hAnsi="Times New Roman" w:cs="Times New Roman"/>
          <w:sz w:val="24"/>
          <w:szCs w:val="24"/>
        </w:rPr>
        <w:t xml:space="preserve"> Western blots of extracts from CD44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4C6407">
        <w:rPr>
          <w:rFonts w:ascii="Times New Roman" w:hAnsi="Times New Roman" w:cs="Times New Roman"/>
          <w:sz w:val="24"/>
          <w:szCs w:val="24"/>
        </w:rPr>
        <w:t>CD133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6407">
        <w:rPr>
          <w:rFonts w:ascii="Times New Roman" w:hAnsi="Times New Roman" w:cs="Times New Roman"/>
          <w:sz w:val="24"/>
          <w:szCs w:val="24"/>
        </w:rPr>
        <w:t>CD166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C6407">
        <w:rPr>
          <w:rFonts w:ascii="Times New Roman" w:hAnsi="Times New Roman" w:cs="Times New Roman"/>
          <w:sz w:val="24"/>
          <w:szCs w:val="24"/>
        </w:rPr>
        <w:t xml:space="preserve"> and CD44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4C6407">
        <w:rPr>
          <w:rFonts w:ascii="Times New Roman" w:hAnsi="Times New Roman" w:cs="Times New Roman"/>
          <w:sz w:val="24"/>
          <w:szCs w:val="24"/>
        </w:rPr>
        <w:t>CD133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6407">
        <w:rPr>
          <w:rFonts w:ascii="Times New Roman" w:hAnsi="Times New Roman" w:cs="Times New Roman"/>
          <w:sz w:val="24"/>
          <w:szCs w:val="24"/>
        </w:rPr>
        <w:t>CD166</w:t>
      </w:r>
      <w:r w:rsidRPr="004C640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C6407">
        <w:rPr>
          <w:rFonts w:ascii="Times New Roman" w:hAnsi="Times New Roman" w:cs="Times New Roman"/>
          <w:sz w:val="24"/>
          <w:szCs w:val="24"/>
        </w:rPr>
        <w:t xml:space="preserve"> cells sorted from D-MT cells using the indicated antibodies.</w:t>
      </w:r>
    </w:p>
    <w:p w:rsidR="009669B5" w:rsidRP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</w:pPr>
    </w:p>
    <w:p w:rsidR="009669B5" w:rsidRDefault="009669B5" w:rsidP="00B830C8">
      <w:pPr>
        <w:spacing w:line="480" w:lineRule="auto"/>
        <w:rPr>
          <w:rFonts w:hint="eastAsia"/>
        </w:rPr>
      </w:pPr>
    </w:p>
    <w:p w:rsidR="009669B5" w:rsidRDefault="009669B5">
      <w:r>
        <w:rPr>
          <w:noProof/>
        </w:rPr>
        <w:lastRenderedPageBreak/>
        <w:drawing>
          <wp:inline distT="0" distB="0" distL="0" distR="0">
            <wp:extent cx="5731510" cy="7583805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슬라이드4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9B5" w:rsidRPr="004241D6" w:rsidRDefault="009669B5" w:rsidP="004241D6">
      <w:pPr>
        <w:wordWrap/>
        <w:adjustRightInd w:val="0"/>
        <w:spacing w:line="480" w:lineRule="auto"/>
        <w:rPr>
          <w:rFonts w:ascii="Times New Roman" w:hAnsi="Times New Roman" w:cs="Times New Roman" w:hint="eastAsia"/>
          <w:bCs/>
          <w:sz w:val="24"/>
          <w:szCs w:val="24"/>
        </w:rPr>
      </w:pPr>
      <w:r w:rsidRPr="00B830C8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B830C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41D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30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30C8">
        <w:rPr>
          <w:rFonts w:ascii="Times New Roman" w:hAnsi="Times New Roman" w:cs="Times New Roman"/>
          <w:bCs/>
          <w:sz w:val="24"/>
          <w:szCs w:val="24"/>
        </w:rPr>
        <w:t>Cytosolic WDR76 destabilizes RAS and suppresses CSC activation in CRC.</w:t>
      </w:r>
      <w:r w:rsidR="004241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0C8">
        <w:rPr>
          <w:rFonts w:ascii="Times New Roman" w:hAnsi="Times New Roman" w:cs="Times New Roman"/>
          <w:b/>
          <w:sz w:val="24"/>
          <w:szCs w:val="24"/>
        </w:rPr>
        <w:t>A</w:t>
      </w:r>
      <w:r w:rsidRPr="00B830C8">
        <w:rPr>
          <w:rFonts w:ascii="Times New Roman" w:hAnsi="Times New Roman" w:cs="Times New Roman"/>
          <w:sz w:val="24"/>
          <w:szCs w:val="24"/>
        </w:rPr>
        <w:t xml:space="preserve"> Western blots of extracts from D-MT cells stably expressing GFP-Control, GFP-WDR76FL, or GFP-WDR76</w:t>
      </w:r>
      <w:r w:rsidRPr="00B830C8">
        <w:rPr>
          <w:rFonts w:ascii="Times New Roman" w:eastAsia="맑은 고딕" w:hAnsi="Times New Roman" w:cs="Times New Roman"/>
          <w:sz w:val="24"/>
          <w:szCs w:val="24"/>
        </w:rPr>
        <w:t>Δ</w:t>
      </w:r>
      <w:r w:rsidRPr="00B830C8">
        <w:rPr>
          <w:rFonts w:ascii="Times New Roman" w:hAnsi="Times New Roman" w:cs="Times New Roman"/>
          <w:sz w:val="24"/>
          <w:szCs w:val="24"/>
        </w:rPr>
        <w:t xml:space="preserve">NLS using the indicated antibodies. </w:t>
      </w:r>
      <w:r w:rsidRPr="00B830C8">
        <w:rPr>
          <w:rFonts w:ascii="Times New Roman" w:hAnsi="Times New Roman" w:cs="Times New Roman"/>
          <w:b/>
          <w:bCs/>
          <w:sz w:val="24"/>
          <w:szCs w:val="24"/>
        </w:rPr>
        <w:t>B-C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Immunoprecipitation </w:t>
      </w:r>
      <w:r w:rsidRPr="00B830C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B830C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ubiquitination </w:t>
      </w:r>
      <w:r w:rsidRPr="00B830C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B830C8">
        <w:rPr>
          <w:rFonts w:ascii="Times New Roman" w:hAnsi="Times New Roman" w:cs="Times New Roman"/>
          <w:sz w:val="24"/>
          <w:szCs w:val="24"/>
        </w:rPr>
        <w:t xml:space="preserve">K-RAS in </w:t>
      </w:r>
      <w:r w:rsidRPr="00B830C8">
        <w:rPr>
          <w:rFonts w:ascii="Times New Roman" w:hAnsi="Times New Roman" w:cs="Times New Roman"/>
          <w:bCs/>
          <w:sz w:val="24"/>
          <w:szCs w:val="24"/>
        </w:rPr>
        <w:t xml:space="preserve">ALLN-treated (25 </w:t>
      </w:r>
      <w:proofErr w:type="spellStart"/>
      <w:r w:rsidRPr="00B830C8">
        <w:rPr>
          <w:rFonts w:ascii="Times New Roman" w:hAnsi="Times New Roman" w:cs="Times New Roman"/>
          <w:bCs/>
          <w:sz w:val="24"/>
          <w:szCs w:val="24"/>
        </w:rPr>
        <w:t>μg</w:t>
      </w:r>
      <w:proofErr w:type="spellEnd"/>
      <w:r w:rsidRPr="00B830C8">
        <w:rPr>
          <w:rFonts w:ascii="Times New Roman" w:hAnsi="Times New Roman" w:cs="Times New Roman"/>
          <w:bCs/>
          <w:sz w:val="24"/>
          <w:szCs w:val="24"/>
        </w:rPr>
        <w:t xml:space="preserve">/mL, 12 h) </w:t>
      </w:r>
      <w:r w:rsidRPr="00B830C8">
        <w:rPr>
          <w:rFonts w:ascii="Times New Roman" w:hAnsi="Times New Roman" w:cs="Times New Roman"/>
          <w:sz w:val="24"/>
          <w:szCs w:val="24"/>
        </w:rPr>
        <w:t>D-MT cells stably expressing GFP-Control, GFP-WDR76FL, or GFP-WDR76</w:t>
      </w:r>
      <w:r w:rsidRPr="00B830C8">
        <w:rPr>
          <w:rFonts w:ascii="Times New Roman" w:eastAsia="맑은 고딕" w:hAnsi="Times New Roman" w:cs="Times New Roman"/>
          <w:sz w:val="24"/>
          <w:szCs w:val="24"/>
        </w:rPr>
        <w:t>Δ</w:t>
      </w:r>
      <w:r w:rsidRPr="00B830C8">
        <w:rPr>
          <w:rFonts w:ascii="Times New Roman" w:hAnsi="Times New Roman" w:cs="Times New Roman"/>
          <w:sz w:val="24"/>
          <w:szCs w:val="24"/>
        </w:rPr>
        <w:t>NLS with immunoblotting aga</w:t>
      </w:r>
      <w:r w:rsidRPr="00B830C8">
        <w:rPr>
          <w:rFonts w:ascii="Times New Roman" w:hAnsi="Times New Roman" w:cs="Times New Roman"/>
          <w:sz w:val="24"/>
          <w:szCs w:val="24"/>
        </w:rPr>
        <w:t xml:space="preserve">inst the indicated antibodies. </w:t>
      </w:r>
      <w:r w:rsidRPr="00B830C8">
        <w:rPr>
          <w:rFonts w:ascii="Times New Roman" w:hAnsi="Times New Roman" w:cs="Times New Roman"/>
          <w:b/>
          <w:sz w:val="24"/>
          <w:szCs w:val="24"/>
        </w:rPr>
        <w:t>D-G</w:t>
      </w:r>
      <w:r w:rsidRPr="00B830C8">
        <w:rPr>
          <w:rFonts w:ascii="Times New Roman" w:hAnsi="Times New Roman" w:cs="Times New Roman"/>
          <w:sz w:val="24"/>
          <w:szCs w:val="24"/>
        </w:rPr>
        <w:t xml:space="preserve"> Five-day spheroid cultures of D-MT cells stably expressing GFP-Control, GFP-WDR76FL, or GFP-WDR76</w:t>
      </w:r>
      <w:r w:rsidRPr="00B830C8">
        <w:rPr>
          <w:rFonts w:ascii="Times New Roman" w:eastAsia="맑은 고딕" w:hAnsi="Times New Roman" w:cs="Times New Roman"/>
          <w:sz w:val="24"/>
          <w:szCs w:val="24"/>
        </w:rPr>
        <w:t>Δ</w:t>
      </w:r>
      <w:r w:rsidRPr="00B830C8">
        <w:rPr>
          <w:rFonts w:ascii="Times New Roman" w:hAnsi="Times New Roman" w:cs="Times New Roman"/>
          <w:sz w:val="24"/>
          <w:szCs w:val="24"/>
        </w:rPr>
        <w:t xml:space="preserve">NLS were analyzed. </w:t>
      </w:r>
      <w:r w:rsidRPr="00B830C8">
        <w:rPr>
          <w:rFonts w:ascii="Times New Roman" w:hAnsi="Times New Roman" w:cs="Times New Roman"/>
          <w:b/>
          <w:sz w:val="24"/>
          <w:szCs w:val="24"/>
        </w:rPr>
        <w:t>D</w:t>
      </w:r>
      <w:r w:rsidRPr="00B830C8">
        <w:rPr>
          <w:rFonts w:ascii="Times New Roman" w:hAnsi="Times New Roman" w:cs="Times New Roman"/>
          <w:sz w:val="24"/>
          <w:szCs w:val="24"/>
        </w:rPr>
        <w:t xml:space="preserve"> Number and size of spheroids were quantifi</w:t>
      </w:r>
      <w:r w:rsidRPr="00B830C8">
        <w:rPr>
          <w:rFonts w:ascii="Times New Roman" w:hAnsi="Times New Roman" w:cs="Times New Roman"/>
          <w:sz w:val="24"/>
          <w:szCs w:val="24"/>
        </w:rPr>
        <w:t xml:space="preserve">ed using Image J. *** p&lt;0.001. </w:t>
      </w:r>
      <w:r w:rsidRPr="00B830C8">
        <w:rPr>
          <w:rFonts w:ascii="Times New Roman" w:hAnsi="Times New Roman" w:cs="Times New Roman"/>
          <w:b/>
          <w:sz w:val="24"/>
          <w:szCs w:val="24"/>
        </w:rPr>
        <w:t>E</w:t>
      </w:r>
      <w:r w:rsidRPr="00B830C8">
        <w:rPr>
          <w:rFonts w:ascii="Times New Roman" w:hAnsi="Times New Roman" w:cs="Times New Roman"/>
          <w:sz w:val="24"/>
          <w:szCs w:val="24"/>
        </w:rPr>
        <w:t xml:space="preserve"> Cell viability assay was performed at the indic</w:t>
      </w:r>
      <w:r w:rsidRPr="00B830C8">
        <w:rPr>
          <w:rFonts w:ascii="Times New Roman" w:hAnsi="Times New Roman" w:cs="Times New Roman"/>
          <w:sz w:val="24"/>
          <w:szCs w:val="24"/>
        </w:rPr>
        <w:t xml:space="preserve">ated culture day. *** p&lt;0.001. </w:t>
      </w:r>
      <w:r w:rsidRPr="00B830C8">
        <w:rPr>
          <w:rFonts w:ascii="Times New Roman" w:hAnsi="Times New Roman" w:cs="Times New Roman"/>
          <w:b/>
          <w:sz w:val="24"/>
          <w:szCs w:val="24"/>
        </w:rPr>
        <w:t>F</w:t>
      </w:r>
      <w:r w:rsidRPr="00B830C8">
        <w:rPr>
          <w:rFonts w:ascii="Times New Roman" w:hAnsi="Times New Roman" w:cs="Times New Roman"/>
          <w:sz w:val="24"/>
          <w:szCs w:val="24"/>
        </w:rPr>
        <w:t xml:space="preserve"> Immunocytochemistry was performed using the indicated antibodies and counterstaining with DAPI. Scale bars represent 20 </w:t>
      </w:r>
      <w:proofErr w:type="spellStart"/>
      <w:r w:rsidRPr="00B830C8">
        <w:rPr>
          <w:rFonts w:ascii="Times New Roman" w:eastAsia="맑은 고딕" w:hAnsi="Times New Roman" w:cs="Times New Roman"/>
          <w:sz w:val="24"/>
          <w:szCs w:val="24"/>
        </w:rPr>
        <w:t>μ</w:t>
      </w:r>
      <w:r w:rsidRPr="00B830C8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B830C8">
        <w:rPr>
          <w:rFonts w:ascii="Times New Roman" w:hAnsi="Times New Roman" w:cs="Times New Roman"/>
          <w:sz w:val="24"/>
          <w:szCs w:val="24"/>
        </w:rPr>
        <w:t xml:space="preserve">. </w:t>
      </w:r>
      <w:r w:rsidRPr="00B830C8">
        <w:rPr>
          <w:rFonts w:ascii="Times New Roman" w:hAnsi="Times New Roman" w:cs="Times New Roman"/>
          <w:b/>
          <w:sz w:val="24"/>
          <w:szCs w:val="24"/>
        </w:rPr>
        <w:t>G</w:t>
      </w:r>
      <w:r w:rsidRPr="00B830C8">
        <w:rPr>
          <w:rFonts w:ascii="Times New Roman" w:hAnsi="Times New Roman" w:cs="Times New Roman"/>
          <w:sz w:val="24"/>
          <w:szCs w:val="24"/>
        </w:rPr>
        <w:t xml:space="preserve"> Relative mRNA levels of the indicated genes were quantified by RT-qPCR. * p&lt;0.05, ** p&lt;0.01.</w:t>
      </w:r>
      <w:bookmarkStart w:id="0" w:name="_GoBack"/>
      <w:bookmarkEnd w:id="0"/>
    </w:p>
    <w:sectPr w:rsidR="009669B5" w:rsidRPr="004241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BD"/>
    <w:rsid w:val="004241D6"/>
    <w:rsid w:val="009669B5"/>
    <w:rsid w:val="00AE73BD"/>
    <w:rsid w:val="00B830C8"/>
    <w:rsid w:val="00D54195"/>
    <w:rsid w:val="00D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878508-2804-47A0-AE76-DB2BBF46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3B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3B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Ro-EunJi</dc:creator>
  <cp:keywords/>
  <dc:description/>
  <cp:lastModifiedBy>Ro-EunJi</cp:lastModifiedBy>
  <cp:revision>2</cp:revision>
  <dcterms:created xsi:type="dcterms:W3CDTF">2019-05-29T15:48:00Z</dcterms:created>
  <dcterms:modified xsi:type="dcterms:W3CDTF">2019-05-29T16:11:00Z</dcterms:modified>
</cp:coreProperties>
</file>