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AC19" w14:textId="7B41D8BE" w:rsidR="00F13EDB" w:rsidRPr="00D30013" w:rsidRDefault="00F13EDB" w:rsidP="00F13ED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30013">
        <w:rPr>
          <w:rFonts w:ascii="Times New Roman" w:hAnsi="Times New Roman" w:cs="Times New Roman"/>
          <w:b/>
          <w:sz w:val="24"/>
          <w:szCs w:val="24"/>
        </w:rPr>
        <w:t>Figure S1. The landscape of TNF family members in gliomas.</w:t>
      </w:r>
      <w:r w:rsidR="0038736C" w:rsidRPr="00D300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36C" w:rsidRPr="00D30013">
        <w:rPr>
          <w:rFonts w:ascii="Times New Roman" w:hAnsi="Times New Roman" w:cs="Times New Roman"/>
          <w:bCs/>
          <w:sz w:val="24"/>
          <w:szCs w:val="24"/>
        </w:rPr>
        <w:t xml:space="preserve">Cellular interactions of TNF family members in gliomas. </w:t>
      </w:r>
      <w:r w:rsidR="00D174A1" w:rsidRPr="00D30013">
        <w:rPr>
          <w:rFonts w:ascii="Times New Roman" w:hAnsi="Times New Roman" w:cs="Times New Roman"/>
          <w:bCs/>
          <w:sz w:val="24"/>
          <w:szCs w:val="24"/>
        </w:rPr>
        <w:t>The green cells are from TNFSF and the orange cells are from TNFRSF. The size of each cell represents the influence of each member on overall survival (</w:t>
      </w:r>
      <w:r w:rsidR="00495FD1" w:rsidRPr="00D30013">
        <w:rPr>
          <w:rFonts w:ascii="Times New Roman" w:hAnsi="Times New Roman" w:cs="Times New Roman"/>
          <w:bCs/>
          <w:sz w:val="24"/>
          <w:szCs w:val="24"/>
        </w:rPr>
        <w:t>W</w:t>
      </w:r>
      <w:r w:rsidR="00D174A1" w:rsidRPr="00D30013">
        <w:rPr>
          <w:rFonts w:ascii="Times New Roman" w:hAnsi="Times New Roman" w:cs="Times New Roman"/>
          <w:bCs/>
          <w:sz w:val="24"/>
          <w:szCs w:val="24"/>
        </w:rPr>
        <w:t>ald</w:t>
      </w:r>
      <w:r w:rsidR="00495FD1" w:rsidRPr="00D300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74A1" w:rsidRPr="00D30013">
        <w:rPr>
          <w:rFonts w:ascii="Times New Roman" w:hAnsi="Times New Roman" w:cs="Times New Roman"/>
          <w:bCs/>
          <w:sz w:val="24"/>
          <w:szCs w:val="24"/>
        </w:rPr>
        <w:t xml:space="preserve">test p value). </w:t>
      </w:r>
      <w:r w:rsidR="00C70BFE" w:rsidRPr="00D30013">
        <w:rPr>
          <w:rFonts w:ascii="Times New Roman" w:hAnsi="Times New Roman" w:cs="Times New Roman"/>
          <w:bCs/>
          <w:sz w:val="24"/>
          <w:szCs w:val="24"/>
        </w:rPr>
        <w:t>The line connecting the cells represents the correlation between the two members. Red indicates positive correlation and blue indicates negative correlation.</w:t>
      </w:r>
    </w:p>
    <w:p w14:paraId="182C1D7A" w14:textId="6DA1F29E" w:rsidR="00F13EDB" w:rsidRPr="00D30013" w:rsidRDefault="00F13ED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D3001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E59700" wp14:editId="209008B8">
            <wp:extent cx="5274310" cy="57124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1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AE6C" w14:textId="77777777" w:rsidR="00F13EDB" w:rsidRPr="00D30013" w:rsidRDefault="00F13ED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D300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634CB6" w14:textId="002055B3" w:rsidR="004A6C46" w:rsidRPr="00D30013" w:rsidRDefault="004A6C46" w:rsidP="004A6C4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30013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F13EDB" w:rsidRPr="00D30013">
        <w:rPr>
          <w:rFonts w:ascii="Times New Roman" w:hAnsi="Times New Roman" w:cs="Times New Roman"/>
          <w:b/>
          <w:sz w:val="24"/>
          <w:szCs w:val="24"/>
        </w:rPr>
        <w:t>2</w:t>
      </w:r>
      <w:r w:rsidRPr="00D300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75C5" w:rsidRPr="00D30013">
        <w:rPr>
          <w:rFonts w:ascii="Times New Roman" w:hAnsi="Times New Roman" w:cs="Times New Roman"/>
          <w:b/>
          <w:sz w:val="24"/>
          <w:szCs w:val="24"/>
        </w:rPr>
        <w:t xml:space="preserve">Heatmap and clinicopathological features of </w:t>
      </w:r>
      <w:r w:rsidR="00C96847" w:rsidRPr="00D30013">
        <w:rPr>
          <w:rFonts w:ascii="Times New Roman" w:hAnsi="Times New Roman" w:cs="Times New Roman"/>
          <w:b/>
          <w:sz w:val="24"/>
          <w:szCs w:val="24"/>
        </w:rPr>
        <w:t>low-risk</w:t>
      </w:r>
      <w:r w:rsidR="00F575C5" w:rsidRPr="00D30013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C96847" w:rsidRPr="00D30013">
        <w:rPr>
          <w:rFonts w:ascii="Times New Roman" w:hAnsi="Times New Roman" w:cs="Times New Roman"/>
          <w:b/>
          <w:sz w:val="24"/>
          <w:szCs w:val="24"/>
        </w:rPr>
        <w:t>high-risk</w:t>
      </w:r>
      <w:r w:rsidR="00F575C5" w:rsidRPr="00D30013">
        <w:rPr>
          <w:rFonts w:ascii="Times New Roman" w:hAnsi="Times New Roman" w:cs="Times New Roman"/>
          <w:b/>
          <w:sz w:val="24"/>
          <w:szCs w:val="24"/>
        </w:rPr>
        <w:t xml:space="preserve"> group in GSE16011</w:t>
      </w:r>
      <w:r w:rsidR="00C96847" w:rsidRPr="00D30013">
        <w:rPr>
          <w:rFonts w:ascii="Times New Roman" w:hAnsi="Times New Roman" w:cs="Times New Roman"/>
          <w:b/>
          <w:sz w:val="24"/>
          <w:szCs w:val="24"/>
        </w:rPr>
        <w:t xml:space="preserve"> and Rembrandt</w:t>
      </w:r>
      <w:r w:rsidR="00F575C5" w:rsidRPr="00D30013">
        <w:rPr>
          <w:rFonts w:ascii="Times New Roman" w:hAnsi="Times New Roman" w:cs="Times New Roman"/>
          <w:b/>
          <w:sz w:val="24"/>
          <w:szCs w:val="24"/>
        </w:rPr>
        <w:t xml:space="preserve"> dataset.</w:t>
      </w:r>
      <w:r w:rsidR="00C96847" w:rsidRPr="00D30013">
        <w:rPr>
          <w:rFonts w:ascii="Times New Roman" w:hAnsi="Times New Roman" w:cs="Times New Roman"/>
          <w:sz w:val="24"/>
          <w:szCs w:val="24"/>
        </w:rPr>
        <w:t xml:space="preserve"> ***P &lt; 0.001.</w:t>
      </w:r>
    </w:p>
    <w:p w14:paraId="53648F7D" w14:textId="332C63F5" w:rsidR="00070AE3" w:rsidRPr="00D30013" w:rsidRDefault="00440BAA" w:rsidP="00D83E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0013">
        <w:rPr>
          <w:rFonts w:ascii="Times New Roman" w:hAnsi="Times New Roman" w:cs="Times New Roman"/>
          <w:sz w:val="24"/>
          <w:szCs w:val="24"/>
        </w:rPr>
        <w:object w:dxaOrig="24720" w:dyaOrig="22657" w14:anchorId="26852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366pt" o:ole="">
            <v:imagedata r:id="rId7" o:title=""/>
          </v:shape>
          <o:OLEObject Type="Embed" ProgID="Acrobat.Document.DC" ShapeID="_x0000_i1025" DrawAspect="Content" ObjectID="_1702911522" r:id="rId8"/>
        </w:object>
      </w:r>
    </w:p>
    <w:p w14:paraId="7F649771" w14:textId="2789FBEE" w:rsidR="00070AE3" w:rsidRPr="00D30013" w:rsidRDefault="00070AE3" w:rsidP="004715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0013">
        <w:rPr>
          <w:rFonts w:ascii="Times New Roman" w:hAnsi="Times New Roman" w:cs="Times New Roman"/>
          <w:sz w:val="24"/>
          <w:szCs w:val="24"/>
        </w:rPr>
        <w:br w:type="page"/>
      </w:r>
    </w:p>
    <w:p w14:paraId="7BEF106B" w14:textId="0729FF83" w:rsidR="00070AE3" w:rsidRPr="00D30013" w:rsidRDefault="00ED0771" w:rsidP="007264FE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30013"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 w:rsidRPr="00D3001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D30013">
        <w:rPr>
          <w:rFonts w:ascii="Times New Roman" w:hAnsi="Times New Roman" w:cs="Times New Roman"/>
          <w:b/>
          <w:sz w:val="24"/>
          <w:szCs w:val="24"/>
        </w:rPr>
        <w:t>S</w:t>
      </w:r>
      <w:r w:rsidR="00EE1852" w:rsidRPr="00D30013">
        <w:rPr>
          <w:rFonts w:ascii="Times New Roman" w:hAnsi="Times New Roman" w:cs="Times New Roman"/>
          <w:b/>
          <w:sz w:val="24"/>
          <w:szCs w:val="24"/>
        </w:rPr>
        <w:t>3</w:t>
      </w:r>
      <w:r w:rsidRPr="00D30013">
        <w:rPr>
          <w:rFonts w:ascii="Times New Roman" w:hAnsi="Times New Roman" w:cs="Times New Roman"/>
          <w:sz w:val="24"/>
          <w:szCs w:val="24"/>
        </w:rPr>
        <w:t xml:space="preserve">. </w:t>
      </w:r>
      <w:r w:rsidR="003B3EDA" w:rsidRPr="00D30013">
        <w:rPr>
          <w:rFonts w:ascii="Times New Roman" w:hAnsi="Times New Roman" w:cs="Times New Roman"/>
          <w:b/>
          <w:shd w:val="clear" w:color="auto" w:fill="FFFFFF"/>
        </w:rPr>
        <w:t xml:space="preserve">Associations between </w:t>
      </w:r>
      <w:r w:rsidR="007264FE" w:rsidRPr="00D30013">
        <w:rPr>
          <w:rFonts w:ascii="Times New Roman" w:hAnsi="Times New Roman" w:cs="Times New Roman"/>
          <w:b/>
          <w:shd w:val="clear" w:color="auto" w:fill="FFFFFF"/>
        </w:rPr>
        <w:t>TNF family-based signature</w:t>
      </w:r>
      <w:r w:rsidR="003B3EDA" w:rsidRPr="00D30013">
        <w:rPr>
          <w:rFonts w:ascii="Times New Roman" w:hAnsi="Times New Roman" w:cs="Times New Roman"/>
          <w:b/>
          <w:shd w:val="clear" w:color="auto" w:fill="FFFFFF"/>
        </w:rPr>
        <w:t xml:space="preserve"> and pathological features in GSE16011 </w:t>
      </w:r>
      <w:r w:rsidR="007264FE" w:rsidRPr="00D30013">
        <w:rPr>
          <w:rFonts w:ascii="Times New Roman" w:hAnsi="Times New Roman" w:cs="Times New Roman"/>
          <w:b/>
          <w:shd w:val="clear" w:color="auto" w:fill="FFFFFF"/>
        </w:rPr>
        <w:t xml:space="preserve">and Rembrandt </w:t>
      </w:r>
      <w:r w:rsidR="003B3EDA" w:rsidRPr="00D30013">
        <w:rPr>
          <w:rFonts w:ascii="Times New Roman" w:hAnsi="Times New Roman" w:cs="Times New Roman"/>
          <w:b/>
          <w:shd w:val="clear" w:color="auto" w:fill="FFFFFF"/>
        </w:rPr>
        <w:t xml:space="preserve">dataset. </w:t>
      </w:r>
      <w:r w:rsidR="00EE1852" w:rsidRPr="00D30013">
        <w:rPr>
          <w:rFonts w:ascii="Times New Roman" w:hAnsi="Times New Roman" w:cs="Times New Roman"/>
          <w:bCs/>
          <w:shd w:val="clear" w:color="auto" w:fill="FFFFFF"/>
        </w:rPr>
        <w:t>(</w:t>
      </w:r>
      <w:r w:rsidR="00EE1852" w:rsidRPr="00D30013">
        <w:rPr>
          <w:rFonts w:ascii="Times New Roman" w:hAnsi="Times New Roman" w:cs="Times New Roman"/>
          <w:b/>
          <w:shd w:val="clear" w:color="auto" w:fill="FFFFFF"/>
        </w:rPr>
        <w:t>A</w:t>
      </w:r>
      <w:r w:rsidR="00EE1852" w:rsidRPr="00D30013">
        <w:rPr>
          <w:rFonts w:ascii="Times New Roman" w:hAnsi="Times New Roman" w:cs="Times New Roman"/>
          <w:bCs/>
          <w:shd w:val="clear" w:color="auto" w:fill="FFFFFF"/>
        </w:rPr>
        <w:t>)</w:t>
      </w:r>
      <w:r w:rsidR="007264FE" w:rsidRPr="00D30013">
        <w:rPr>
          <w:rFonts w:ascii="Times New Roman" w:hAnsi="Times New Roman" w:cs="Times New Roman"/>
          <w:bCs/>
          <w:shd w:val="clear" w:color="auto" w:fill="FFFFFF"/>
        </w:rPr>
        <w:t xml:space="preserve"> and (</w:t>
      </w:r>
      <w:r w:rsidR="007264FE" w:rsidRPr="00D30013">
        <w:rPr>
          <w:rFonts w:ascii="Times New Roman" w:hAnsi="Times New Roman" w:cs="Times New Roman"/>
          <w:b/>
          <w:shd w:val="clear" w:color="auto" w:fill="FFFFFF"/>
        </w:rPr>
        <w:t>B</w:t>
      </w:r>
      <w:r w:rsidR="007264FE" w:rsidRPr="00D30013">
        <w:rPr>
          <w:rFonts w:ascii="Times New Roman" w:hAnsi="Times New Roman" w:cs="Times New Roman"/>
          <w:bCs/>
          <w:shd w:val="clear" w:color="auto" w:fill="FFFFFF"/>
        </w:rPr>
        <w:t>)</w:t>
      </w:r>
      <w:r w:rsidR="00EE1852" w:rsidRPr="00D30013">
        <w:rPr>
          <w:rFonts w:ascii="Times New Roman" w:hAnsi="Times New Roman" w:cs="Times New Roman"/>
          <w:bCs/>
          <w:shd w:val="clear" w:color="auto" w:fill="FFFFFF"/>
        </w:rPr>
        <w:t xml:space="preserve"> Patients were grouped by WHO grade, IDH mutation status, 1p/19q codeletion status, TCGA molecular subtype. (</w:t>
      </w:r>
      <w:r w:rsidR="007264FE" w:rsidRPr="00D30013">
        <w:rPr>
          <w:rFonts w:ascii="Times New Roman" w:hAnsi="Times New Roman" w:cs="Times New Roman"/>
          <w:b/>
          <w:shd w:val="clear" w:color="auto" w:fill="FFFFFF"/>
        </w:rPr>
        <w:t>C</w:t>
      </w:r>
      <w:r w:rsidR="00EE1852" w:rsidRPr="00D30013">
        <w:rPr>
          <w:rFonts w:ascii="Times New Roman" w:hAnsi="Times New Roman" w:cs="Times New Roman"/>
          <w:bCs/>
          <w:shd w:val="clear" w:color="auto" w:fill="FFFFFF"/>
        </w:rPr>
        <w:t xml:space="preserve">) </w:t>
      </w:r>
      <w:r w:rsidR="007264FE" w:rsidRPr="00D30013">
        <w:rPr>
          <w:rFonts w:ascii="Times New Roman" w:hAnsi="Times New Roman" w:cs="Times New Roman"/>
          <w:bCs/>
          <w:shd w:val="clear" w:color="auto" w:fill="FFFFFF"/>
        </w:rPr>
        <w:t>and (</w:t>
      </w:r>
      <w:r w:rsidR="007264FE" w:rsidRPr="00D30013">
        <w:rPr>
          <w:rFonts w:ascii="Times New Roman" w:hAnsi="Times New Roman" w:cs="Times New Roman"/>
          <w:b/>
          <w:shd w:val="clear" w:color="auto" w:fill="FFFFFF"/>
        </w:rPr>
        <w:t>D</w:t>
      </w:r>
      <w:r w:rsidR="007264FE" w:rsidRPr="00D30013">
        <w:rPr>
          <w:rFonts w:ascii="Times New Roman" w:hAnsi="Times New Roman" w:cs="Times New Roman"/>
          <w:bCs/>
          <w:shd w:val="clear" w:color="auto" w:fill="FFFFFF"/>
        </w:rPr>
        <w:t xml:space="preserve">) </w:t>
      </w:r>
      <w:r w:rsidR="00EE1852" w:rsidRPr="00D30013">
        <w:rPr>
          <w:rFonts w:ascii="Times New Roman" w:hAnsi="Times New Roman" w:cs="Times New Roman"/>
          <w:bCs/>
          <w:shd w:val="clear" w:color="auto" w:fill="FFFFFF"/>
        </w:rPr>
        <w:t xml:space="preserve">The ROC curve evaluated the predictive value of </w:t>
      </w:r>
      <w:r w:rsidR="007264FE" w:rsidRPr="00D30013">
        <w:rPr>
          <w:rFonts w:ascii="Times New Roman" w:hAnsi="Times New Roman" w:cs="Times New Roman"/>
          <w:bCs/>
          <w:shd w:val="clear" w:color="auto" w:fill="FFFFFF"/>
        </w:rPr>
        <w:t>risk score</w:t>
      </w:r>
      <w:r w:rsidR="00EE1852" w:rsidRPr="00D30013">
        <w:rPr>
          <w:rFonts w:ascii="Times New Roman" w:hAnsi="Times New Roman" w:cs="Times New Roman"/>
          <w:bCs/>
          <w:shd w:val="clear" w:color="auto" w:fill="FFFFFF"/>
        </w:rPr>
        <w:t xml:space="preserve"> in pathological features.</w:t>
      </w:r>
      <w:r w:rsidR="00AD3698" w:rsidRPr="00D30013">
        <w:rPr>
          <w:rFonts w:ascii="Times New Roman" w:hAnsi="Times New Roman" w:cs="Times New Roman"/>
          <w:bCs/>
          <w:shd w:val="clear" w:color="auto" w:fill="FFFFFF"/>
        </w:rPr>
        <w:t xml:space="preserve"> *P &lt;0.05, **P &lt; 0.01, ***P &lt; 0.001.</w:t>
      </w:r>
    </w:p>
    <w:p w14:paraId="44E5671D" w14:textId="6023853C" w:rsidR="00512C61" w:rsidRPr="00D30013" w:rsidRDefault="00440BAA" w:rsidP="007264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0013">
        <w:rPr>
          <w:rFonts w:ascii="Times New Roman" w:hAnsi="Times New Roman" w:cs="Times New Roman"/>
          <w:sz w:val="24"/>
          <w:szCs w:val="24"/>
        </w:rPr>
        <w:object w:dxaOrig="14928" w:dyaOrig="14412" w14:anchorId="3B26D8A6">
          <v:shape id="_x0000_i1026" type="#_x0000_t75" style="width:402.6pt;height:384pt" o:ole="">
            <v:imagedata r:id="rId9" o:title=""/>
          </v:shape>
          <o:OLEObject Type="Embed" ProgID="Acrobat.Document.DC" ShapeID="_x0000_i1026" DrawAspect="Content" ObjectID="_1702911523" r:id="rId10"/>
        </w:object>
      </w:r>
    </w:p>
    <w:p w14:paraId="5B0B2572" w14:textId="670E0C80" w:rsidR="00F100FB" w:rsidRPr="00D30013" w:rsidRDefault="00070AE3" w:rsidP="0085435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30013">
        <w:rPr>
          <w:rFonts w:ascii="Times New Roman" w:hAnsi="Times New Roman" w:cs="Times New Roman"/>
          <w:sz w:val="24"/>
          <w:szCs w:val="24"/>
        </w:rPr>
        <w:br w:type="page"/>
      </w:r>
    </w:p>
    <w:p w14:paraId="15625D90" w14:textId="52127AAE" w:rsidR="00854359" w:rsidRPr="00D30013" w:rsidRDefault="006A00FA" w:rsidP="00B055F0">
      <w:pPr>
        <w:spacing w:line="360" w:lineRule="auto"/>
        <w:rPr>
          <w:rFonts w:ascii="Times New Roman" w:hAnsi="Times New Roman" w:cs="Times New Roman"/>
          <w:b/>
        </w:rPr>
      </w:pPr>
      <w:r w:rsidRPr="00D30013">
        <w:rPr>
          <w:rFonts w:ascii="Times New Roman" w:hAnsi="Times New Roman" w:cs="Times New Roman"/>
          <w:b/>
        </w:rPr>
        <w:lastRenderedPageBreak/>
        <w:t xml:space="preserve">Figure S4. </w:t>
      </w:r>
      <w:r w:rsidR="002C1DA1" w:rsidRPr="00D30013">
        <w:rPr>
          <w:rFonts w:ascii="Times New Roman" w:hAnsi="Times New Roman" w:cs="Times New Roman"/>
          <w:b/>
        </w:rPr>
        <w:t xml:space="preserve">Predictive value of </w:t>
      </w:r>
      <w:r w:rsidR="00B055F0" w:rsidRPr="00D30013">
        <w:rPr>
          <w:rFonts w:ascii="Times New Roman" w:hAnsi="Times New Roman" w:cs="Times New Roman" w:hint="eastAsia"/>
          <w:b/>
        </w:rPr>
        <w:t>signature</w:t>
      </w:r>
      <w:r w:rsidR="002C1DA1" w:rsidRPr="00D30013">
        <w:rPr>
          <w:rFonts w:ascii="Times New Roman" w:hAnsi="Times New Roman" w:cs="Times New Roman"/>
          <w:b/>
        </w:rPr>
        <w:t>, age and grade for overall survival</w:t>
      </w:r>
      <w:r w:rsidR="0004245F" w:rsidRPr="00D30013">
        <w:rPr>
          <w:rFonts w:ascii="Times New Roman" w:hAnsi="Times New Roman" w:cs="Times New Roman"/>
          <w:b/>
        </w:rPr>
        <w:t xml:space="preserve"> in GSE16011 </w:t>
      </w:r>
      <w:r w:rsidR="00B055F0" w:rsidRPr="00D30013">
        <w:rPr>
          <w:rFonts w:ascii="Times New Roman" w:hAnsi="Times New Roman" w:cs="Times New Roman" w:hint="eastAsia"/>
          <w:b/>
        </w:rPr>
        <w:t>and</w:t>
      </w:r>
      <w:r w:rsidR="00B055F0" w:rsidRPr="00D30013">
        <w:rPr>
          <w:rFonts w:ascii="Times New Roman" w:hAnsi="Times New Roman" w:cs="Times New Roman"/>
          <w:b/>
        </w:rPr>
        <w:t xml:space="preserve"> Rembrandt </w:t>
      </w:r>
      <w:r w:rsidR="0004245F" w:rsidRPr="00D30013">
        <w:rPr>
          <w:rFonts w:ascii="Times New Roman" w:hAnsi="Times New Roman" w:cs="Times New Roman"/>
          <w:b/>
        </w:rPr>
        <w:t>dataset.</w:t>
      </w:r>
      <w:r w:rsidR="00B055F0" w:rsidRPr="00D30013">
        <w:rPr>
          <w:rFonts w:ascii="Times New Roman" w:hAnsi="Times New Roman" w:cs="Times New Roman"/>
        </w:rPr>
        <w:t xml:space="preserve"> (</w:t>
      </w:r>
      <w:r w:rsidR="00B055F0" w:rsidRPr="00D30013">
        <w:rPr>
          <w:rFonts w:ascii="Times New Roman" w:hAnsi="Times New Roman" w:cs="Times New Roman"/>
          <w:b/>
        </w:rPr>
        <w:t>A</w:t>
      </w:r>
      <w:r w:rsidR="00B055F0" w:rsidRPr="00D30013">
        <w:rPr>
          <w:rFonts w:ascii="Times New Roman" w:hAnsi="Times New Roman" w:cs="Times New Roman"/>
        </w:rPr>
        <w:t>) 1-year, 3-year and</w:t>
      </w:r>
      <w:r w:rsidR="00B055F0" w:rsidRPr="00D30013">
        <w:rPr>
          <w:rFonts w:ascii="Times New Roman" w:hAnsi="Times New Roman" w:cs="Times New Roman" w:hint="eastAsia"/>
        </w:rPr>
        <w:t xml:space="preserve"> </w:t>
      </w:r>
      <w:r w:rsidR="00B055F0" w:rsidRPr="00D30013">
        <w:rPr>
          <w:rFonts w:ascii="Times New Roman" w:hAnsi="Times New Roman" w:cs="Times New Roman"/>
        </w:rPr>
        <w:t>5-year ROC curves indicated the sensitivity and specificity of risk score, age and grade.</w:t>
      </w:r>
    </w:p>
    <w:p w14:paraId="7EE2CE8F" w14:textId="5092CBB3" w:rsidR="00F100FB" w:rsidRDefault="00F100FB" w:rsidP="00F100F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300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2C93D8" wp14:editId="1A019E8C">
            <wp:extent cx="5187483" cy="34766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12" cy="348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D66C6" w14:textId="737C7E1D" w:rsidR="00D30013" w:rsidRDefault="00D30013" w:rsidP="00F100F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FF039E" w14:textId="173A793A" w:rsidR="00D30013" w:rsidRDefault="00D300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495BB8" w14:textId="72C8862E" w:rsidR="00D30013" w:rsidRPr="0024359A" w:rsidRDefault="00D30013" w:rsidP="00C23D5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59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24359A">
        <w:rPr>
          <w:rFonts w:ascii="Times New Roman" w:hAnsi="Times New Roman" w:cs="Times New Roman"/>
          <w:b/>
          <w:bCs/>
          <w:sz w:val="24"/>
          <w:szCs w:val="24"/>
        </w:rPr>
        <w:t>igure S5</w:t>
      </w:r>
      <w:r w:rsidR="002800EE" w:rsidRPr="0024359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C23D55" w:rsidRPr="0024359A">
        <w:rPr>
          <w:rFonts w:ascii="Times New Roman" w:hAnsi="Times New Roman" w:cs="Times New Roman"/>
          <w:sz w:val="24"/>
          <w:szCs w:val="24"/>
        </w:rPr>
        <w:t>Corrplots</w:t>
      </w:r>
      <w:proofErr w:type="spellEnd"/>
      <w:r w:rsidR="00C23D55" w:rsidRPr="0024359A">
        <w:rPr>
          <w:rFonts w:ascii="Times New Roman" w:hAnsi="Times New Roman" w:cs="Times New Roman"/>
          <w:sz w:val="24"/>
          <w:szCs w:val="24"/>
        </w:rPr>
        <w:t xml:space="preserve"> show correlation between risk score (RS) and six immune cell types. Red indicates a positive correlation and blue indicates a negative correlation. The size of the circle and the intensity of the color are directly proportional to the correlation coefficient. The values represent the Pearson correlation coefficients.</w:t>
      </w:r>
    </w:p>
    <w:p w14:paraId="405B6590" w14:textId="374AF12B" w:rsidR="00D30013" w:rsidRDefault="007E6827" w:rsidP="00F100F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12CF9E" wp14:editId="316B3B7E">
            <wp:extent cx="5274310" cy="24339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1C7C" w14:textId="49B1C0B9" w:rsidR="00D30013" w:rsidRDefault="00D30013" w:rsidP="00F100F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33B66D4" w14:textId="58E4A2E3" w:rsidR="00D30013" w:rsidRDefault="00D300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7975A1" w14:textId="1AA45D0C" w:rsidR="006D317F" w:rsidRPr="0024359A" w:rsidRDefault="00D30013" w:rsidP="006D317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59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24359A">
        <w:rPr>
          <w:rFonts w:ascii="Times New Roman" w:hAnsi="Times New Roman" w:cs="Times New Roman"/>
          <w:b/>
          <w:bCs/>
          <w:sz w:val="24"/>
          <w:szCs w:val="24"/>
        </w:rPr>
        <w:t>igure S6</w:t>
      </w:r>
      <w:r w:rsidR="002800EE" w:rsidRPr="0024359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6D317F" w:rsidRPr="0024359A">
        <w:rPr>
          <w:rFonts w:ascii="Times New Roman" w:hAnsi="Times New Roman" w:cs="Times New Roman"/>
          <w:sz w:val="24"/>
          <w:szCs w:val="24"/>
        </w:rPr>
        <w:t>Corrplots</w:t>
      </w:r>
      <w:proofErr w:type="spellEnd"/>
      <w:r w:rsidR="006D317F" w:rsidRPr="0024359A">
        <w:rPr>
          <w:rFonts w:ascii="Times New Roman" w:hAnsi="Times New Roman" w:cs="Times New Roman"/>
          <w:sz w:val="24"/>
          <w:szCs w:val="24"/>
        </w:rPr>
        <w:t xml:space="preserve"> show correlation between risk score (RS) and clinical molecular features. Red indicates a positive correlation and blue indicates a negative correlation. The size of the circle and the intensity of the color are directly proportional to the correlation coefficient. The values represent the Spearman correlation coefficients.</w:t>
      </w:r>
    </w:p>
    <w:p w14:paraId="5649D06E" w14:textId="67A296E6" w:rsidR="00D30013" w:rsidRDefault="00D30013" w:rsidP="00F100FB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828C8" w14:textId="2847798B" w:rsidR="00D30013" w:rsidRDefault="007E6827" w:rsidP="00F100FB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90EA43C" wp14:editId="2E495A57">
            <wp:extent cx="5274310" cy="53828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9433" w14:textId="77777777" w:rsidR="00D30013" w:rsidRPr="00D30013" w:rsidRDefault="00D30013" w:rsidP="00F100FB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86386" w14:textId="4D85ED84" w:rsidR="003E5114" w:rsidRPr="00D30013" w:rsidRDefault="003E511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3001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491" w:type="dxa"/>
        <w:tblLook w:val="04A0" w:firstRow="1" w:lastRow="0" w:firstColumn="1" w:lastColumn="0" w:noHBand="0" w:noVBand="1"/>
      </w:tblPr>
      <w:tblGrid>
        <w:gridCol w:w="2018"/>
        <w:gridCol w:w="1245"/>
        <w:gridCol w:w="1244"/>
        <w:gridCol w:w="925"/>
        <w:gridCol w:w="1089"/>
        <w:gridCol w:w="1134"/>
        <w:gridCol w:w="836"/>
      </w:tblGrid>
      <w:tr w:rsidR="00D30013" w:rsidRPr="00D30013" w14:paraId="1B65E435" w14:textId="77777777" w:rsidTr="00EA4379">
        <w:trPr>
          <w:trHeight w:val="276"/>
        </w:trPr>
        <w:tc>
          <w:tcPr>
            <w:tcW w:w="8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9C0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lastRenderedPageBreak/>
              <w:t>Table S1 Correlation between RS and clinicopathological factors of glioma patients</w:t>
            </w:r>
          </w:p>
        </w:tc>
      </w:tr>
      <w:tr w:rsidR="00D30013" w:rsidRPr="00D30013" w14:paraId="4F7CEDA6" w14:textId="77777777" w:rsidTr="00EA4379">
        <w:trPr>
          <w:trHeight w:val="276"/>
        </w:trPr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7E0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3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0866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GSE16011 dataset (n=268)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1C4F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Rembrandt dataset (n=454)</w:t>
            </w:r>
          </w:p>
        </w:tc>
      </w:tr>
      <w:tr w:rsidR="00D30013" w:rsidRPr="00D30013" w14:paraId="7FC6E025" w14:textId="77777777" w:rsidTr="00EA4379">
        <w:trPr>
          <w:trHeight w:val="828"/>
        </w:trPr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5D79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B9C7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Low-risk </w:t>
            </w:r>
            <w:proofErr w:type="gramStart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group  (</w:t>
            </w:r>
            <w:proofErr w:type="gramEnd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n=134)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F0D7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High-risk group (n=134)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4BF4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P-Value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EB35A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Low-risk </w:t>
            </w:r>
            <w:proofErr w:type="gramStart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group  (</w:t>
            </w:r>
            <w:proofErr w:type="gramEnd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n=227)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71CB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High-risk group (n=227)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61C4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P-Value</w:t>
            </w:r>
          </w:p>
        </w:tc>
      </w:tr>
      <w:tr w:rsidR="00D30013" w:rsidRPr="00D30013" w14:paraId="6C5A1D19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F94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Age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132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8A6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2C9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80C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B11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FA6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1692D366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3B5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Mean(range)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A0B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48 (23-81)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63D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54 (14-81)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4DB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C6F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D46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87D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183A482E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A6D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E46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8DD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762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8CF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B9C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875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6AB108BC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C1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Female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130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C1E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07F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n.s</w:t>
            </w:r>
            <w:proofErr w:type="spellEnd"/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7B2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5AA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066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n.s</w:t>
            </w:r>
            <w:proofErr w:type="spellEnd"/>
            <w:proofErr w:type="gramEnd"/>
          </w:p>
        </w:tc>
      </w:tr>
      <w:tr w:rsidR="00D30013" w:rsidRPr="00D30013" w14:paraId="58F86D22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0F6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Male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CCF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86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04C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94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545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561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29D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FE3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3EC6576F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9EA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NA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06D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8EE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B04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64A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C10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61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983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4E6C4B10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09A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Grade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0F3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4A8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1AF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8F7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9D9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9FC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60F15105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752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8EC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C0E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631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0E2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A87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C2F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</w:tr>
      <w:tr w:rsidR="00D30013" w:rsidRPr="00D30013" w14:paraId="7A2265BE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12D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B7A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63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3AF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ADE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771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F83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31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D19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6857E2CE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2CB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A07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2CC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B56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E13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449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169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188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48FC5E58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DFC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NA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11E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129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547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229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A7A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F00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613D893A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293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IDH status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F54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830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50C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973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3BD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D5D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4DEB1BE8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5F4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Mutant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B4C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1B6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0CB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C19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9F8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05A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0BE6C01A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624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Wildtype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42A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231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85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27C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E18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D94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09E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046AFFCF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643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NA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33E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0FA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A6D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E41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0E8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8E6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2266B45F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669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1p/19q status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7AA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A4B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EB9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95C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088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22B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7C4716A1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72B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</w:t>
            </w:r>
            <w:proofErr w:type="spellStart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Codel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6D9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DEB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FAA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988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A9D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8B4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</w:tr>
      <w:tr w:rsidR="00D30013" w:rsidRPr="00D30013" w14:paraId="2D9B8EBE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17A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Non-</w:t>
            </w:r>
            <w:proofErr w:type="spellStart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codel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0A3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510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13E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CFB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B80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116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043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1AFFE59D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E3E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NA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807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3E9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82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C28A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CFC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95C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108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CBA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0C805541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70C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MGMT promoter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893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A21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9B5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ADA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BC7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56A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777B8F36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4E4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Methylated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74A0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E38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D3B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ACA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841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749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305CEF7F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053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Unmethylated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55A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0FF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027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898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776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B4E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50F1342D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974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NA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5FB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6A9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C3E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527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39E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463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353F9173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8E0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TCGA subtype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3054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F08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B8C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3BD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20E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A179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0013" w:rsidRPr="00D30013" w14:paraId="7B313047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B13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</w:t>
            </w:r>
            <w:proofErr w:type="spellStart"/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Proneural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171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87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0A4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C9A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961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86F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45D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&lt;0.001</w:t>
            </w:r>
          </w:p>
        </w:tc>
      </w:tr>
      <w:tr w:rsidR="00D30013" w:rsidRPr="00D30013" w14:paraId="765FEF14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4177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Classical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393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C0CD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548F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D4D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A668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77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BD3E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D30013" w:rsidRPr="00D30013" w14:paraId="53E395CB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C056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Mesenchymal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76A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2B6C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76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B0C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239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8643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125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733B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3E5114" w:rsidRPr="00D30013" w14:paraId="7425D387" w14:textId="77777777" w:rsidTr="00EA4379">
        <w:trPr>
          <w:trHeight w:val="276"/>
        </w:trPr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67425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  NA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2A2C1" w14:textId="7EC8BE60" w:rsidR="003E5114" w:rsidRPr="00D30013" w:rsidRDefault="00EA4379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AB4DC" w14:textId="05C33F96" w:rsidR="003E5114" w:rsidRPr="00D30013" w:rsidRDefault="00EA4379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92162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26EB1" w14:textId="09819CD1" w:rsidR="003E5114" w:rsidRPr="00D30013" w:rsidRDefault="00EA4379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D37B8" w14:textId="0F851A0C" w:rsidR="003E5114" w:rsidRPr="00D30013" w:rsidRDefault="00EA4379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F6941" w14:textId="77777777" w:rsidR="003E5114" w:rsidRPr="00D30013" w:rsidRDefault="003E5114" w:rsidP="003E511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30013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</w:tr>
    </w:tbl>
    <w:p w14:paraId="25F5CD4D" w14:textId="77777777" w:rsidR="00AD176C" w:rsidRPr="00D30013" w:rsidRDefault="00AD176C" w:rsidP="008920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D176C" w:rsidRPr="00D30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F3B3" w14:textId="77777777" w:rsidR="00094EC4" w:rsidRDefault="00094EC4" w:rsidP="00070AE3">
      <w:r>
        <w:separator/>
      </w:r>
    </w:p>
  </w:endnote>
  <w:endnote w:type="continuationSeparator" w:id="0">
    <w:p w14:paraId="0AD9E92A" w14:textId="77777777" w:rsidR="00094EC4" w:rsidRDefault="00094EC4" w:rsidP="00070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F64C" w14:textId="77777777" w:rsidR="00094EC4" w:rsidRDefault="00094EC4" w:rsidP="00070AE3">
      <w:r>
        <w:separator/>
      </w:r>
    </w:p>
  </w:footnote>
  <w:footnote w:type="continuationSeparator" w:id="0">
    <w:p w14:paraId="70707FD0" w14:textId="77777777" w:rsidR="00094EC4" w:rsidRDefault="00094EC4" w:rsidP="00070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DE"/>
    <w:rsid w:val="0004245F"/>
    <w:rsid w:val="000529B4"/>
    <w:rsid w:val="000621F7"/>
    <w:rsid w:val="00070AE3"/>
    <w:rsid w:val="00094EC4"/>
    <w:rsid w:val="00186306"/>
    <w:rsid w:val="001E7825"/>
    <w:rsid w:val="00211E87"/>
    <w:rsid w:val="0024359A"/>
    <w:rsid w:val="002800EE"/>
    <w:rsid w:val="002C1DA1"/>
    <w:rsid w:val="003500B2"/>
    <w:rsid w:val="0038736C"/>
    <w:rsid w:val="003B3EDA"/>
    <w:rsid w:val="003E5114"/>
    <w:rsid w:val="00421436"/>
    <w:rsid w:val="00440BAA"/>
    <w:rsid w:val="0047151E"/>
    <w:rsid w:val="00495FD1"/>
    <w:rsid w:val="004A6C46"/>
    <w:rsid w:val="004B5A16"/>
    <w:rsid w:val="004E6BDE"/>
    <w:rsid w:val="00512C61"/>
    <w:rsid w:val="00641804"/>
    <w:rsid w:val="00654B9D"/>
    <w:rsid w:val="006A00FA"/>
    <w:rsid w:val="006D317F"/>
    <w:rsid w:val="006E2C10"/>
    <w:rsid w:val="006E6CD2"/>
    <w:rsid w:val="00721CA5"/>
    <w:rsid w:val="007264FE"/>
    <w:rsid w:val="007E6827"/>
    <w:rsid w:val="00854359"/>
    <w:rsid w:val="008920F7"/>
    <w:rsid w:val="008F6987"/>
    <w:rsid w:val="00971E93"/>
    <w:rsid w:val="00A42E3D"/>
    <w:rsid w:val="00AD176C"/>
    <w:rsid w:val="00AD3698"/>
    <w:rsid w:val="00AE09DA"/>
    <w:rsid w:val="00B055F0"/>
    <w:rsid w:val="00B84BE7"/>
    <w:rsid w:val="00C23D55"/>
    <w:rsid w:val="00C70BFE"/>
    <w:rsid w:val="00C96847"/>
    <w:rsid w:val="00D174A1"/>
    <w:rsid w:val="00D30013"/>
    <w:rsid w:val="00D5066B"/>
    <w:rsid w:val="00D83EFB"/>
    <w:rsid w:val="00DC2756"/>
    <w:rsid w:val="00DD597B"/>
    <w:rsid w:val="00E40872"/>
    <w:rsid w:val="00E72558"/>
    <w:rsid w:val="00EA4379"/>
    <w:rsid w:val="00ED0771"/>
    <w:rsid w:val="00EE1852"/>
    <w:rsid w:val="00F04F0A"/>
    <w:rsid w:val="00F100FB"/>
    <w:rsid w:val="00F13EDB"/>
    <w:rsid w:val="00F575C5"/>
    <w:rsid w:val="00F859AE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87685"/>
  <w15:chartTrackingRefBased/>
  <w15:docId w15:val="{160C13B1-C302-4736-A999-BBFF4AAA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0A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0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0AE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100F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10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tif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强威 王</dc:creator>
  <cp:keywords/>
  <dc:description/>
  <cp:lastModifiedBy>王 强威</cp:lastModifiedBy>
  <cp:revision>51</cp:revision>
  <dcterms:created xsi:type="dcterms:W3CDTF">2019-09-03T02:01:00Z</dcterms:created>
  <dcterms:modified xsi:type="dcterms:W3CDTF">2022-01-05T10:12:00Z</dcterms:modified>
</cp:coreProperties>
</file>