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color w:val="auto"/>
          <w:szCs w:val="21"/>
        </w:rPr>
      </w:pPr>
      <w:r>
        <w:rPr>
          <w:rFonts w:hint="eastAsia" w:ascii="Times New Roman" w:hAnsi="Times New Roman" w:cs="Times New Roman"/>
          <w:b/>
          <w:color w:val="auto"/>
          <w:szCs w:val="21"/>
        </w:rPr>
        <w:drawing>
          <wp:inline distT="0" distB="0" distL="114300" distR="114300">
            <wp:extent cx="5269865" cy="2635250"/>
            <wp:effectExtent l="0" t="0" r="3175" b="1270"/>
            <wp:docPr id="1" name="图片 1" descr="genotyping 2023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enotyping 202303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S1. Genotyping of transgenic mice with human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HTRA1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knock in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lang w:val="en-US" w:eastAsia="zh-CN"/>
        </w:rPr>
        <w:t xml:space="preserve"> (KI)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Founders and transgene-positive </w:t>
      </w:r>
      <w:bookmarkStart w:id="0" w:name="OLE_LINK3"/>
      <w:bookmarkStart w:id="1" w:name="OLE_LINK2"/>
      <w:r>
        <w:rPr>
          <w:rFonts w:ascii="Times New Roman" w:hAnsi="Times New Roman" w:cs="Times New Roman"/>
          <w:iCs/>
          <w:color w:val="auto"/>
          <w:sz w:val="24"/>
          <w:szCs w:val="24"/>
        </w:rPr>
        <w:t>hHTRA1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-Tg</w:t>
      </w:r>
      <w:bookmarkEnd w:id="0"/>
      <w:bookmarkEnd w:id="1"/>
      <w:r>
        <w:rPr>
          <w:rFonts w:ascii="Times New Roman" w:hAnsi="Times New Roman" w:cs="Times New Roman"/>
          <w:color w:val="auto"/>
          <w:sz w:val="24"/>
          <w:szCs w:val="24"/>
        </w:rPr>
        <w:t xml:space="preserve"> mice were identified by PCR of genomic DNA obtained from tail biopsies with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primers in Table S1.</w:t>
      </w: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hint="eastAsia" w:ascii="Times New Roman" w:hAnsi="Times New Roman" w:cs="Times New Roman"/>
          <w:color w:val="auto"/>
          <w:szCs w:val="21"/>
        </w:rPr>
        <w:br w:type="page"/>
      </w:r>
    </w:p>
    <w:p>
      <w:pPr>
        <w:spacing w:after="156" w:afterLines="50"/>
        <w:rPr>
          <w:rFonts w:ascii="Arial" w:hAnsi="Arial" w:eastAsia="宋体" w:cs="Arial"/>
          <w:b/>
          <w:color w:val="auto"/>
          <w:szCs w:val="21"/>
        </w:rPr>
      </w:pPr>
      <w:r>
        <w:rPr>
          <w:rFonts w:ascii="Arial" w:hAnsi="Arial" w:eastAsia="宋体" w:cs="Arial"/>
          <w:b/>
          <w:color w:val="auto"/>
          <w:szCs w:val="21"/>
        </w:rPr>
        <w:t>Table</w:t>
      </w:r>
      <w:r>
        <w:rPr>
          <w:rFonts w:hint="eastAsia" w:ascii="Arial" w:hAnsi="Arial" w:eastAsia="宋体" w:cs="Arial"/>
          <w:b/>
          <w:color w:val="auto"/>
          <w:szCs w:val="21"/>
        </w:rPr>
        <w:t xml:space="preserve"> S1</w:t>
      </w:r>
      <w:r>
        <w:rPr>
          <w:rFonts w:ascii="Arial" w:hAnsi="Arial" w:eastAsia="宋体" w:cs="Arial"/>
          <w:b/>
          <w:color w:val="auto"/>
          <w:szCs w:val="21"/>
        </w:rPr>
        <w:t>.</w:t>
      </w:r>
      <w:r>
        <w:rPr>
          <w:rFonts w:hint="eastAsia" w:ascii="Arial" w:hAnsi="Arial" w:eastAsia="宋体" w:cs="Arial"/>
          <w:b/>
          <w:color w:val="auto"/>
          <w:szCs w:val="21"/>
        </w:rPr>
        <w:t xml:space="preserve"> The primers for g</w:t>
      </w:r>
      <w:r>
        <w:rPr>
          <w:rFonts w:ascii="Arial" w:hAnsi="Arial" w:eastAsia="宋体" w:cs="Arial"/>
          <w:b/>
          <w:color w:val="auto"/>
          <w:szCs w:val="21"/>
        </w:rPr>
        <w:t xml:space="preserve">enotyping of </w:t>
      </w:r>
      <w:r>
        <w:rPr>
          <w:rFonts w:hint="eastAsia" w:ascii="Arial" w:hAnsi="Arial" w:eastAsia="宋体" w:cs="Arial"/>
          <w:b/>
          <w:color w:val="auto"/>
          <w:szCs w:val="21"/>
        </w:rPr>
        <w:t xml:space="preserve">WT mice and </w:t>
      </w:r>
      <w:r>
        <w:rPr>
          <w:rFonts w:ascii="Arial" w:hAnsi="Arial" w:eastAsia="宋体" w:cs="Arial"/>
          <w:b/>
          <w:color w:val="auto"/>
          <w:szCs w:val="21"/>
        </w:rPr>
        <w:t>transgenic mice with human HTRA1 knock in</w:t>
      </w:r>
      <w:r>
        <w:rPr>
          <w:rFonts w:hint="eastAsia" w:ascii="Arial" w:hAnsi="Arial" w:eastAsia="宋体" w:cs="Arial"/>
          <w:b/>
          <w:color w:val="auto"/>
          <w:szCs w:val="21"/>
        </w:rPr>
        <w:t>.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710"/>
        <w:gridCol w:w="3857"/>
        <w:gridCol w:w="211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90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b/>
                <w:color w:val="auto"/>
                <w:kern w:val="0"/>
                <w:szCs w:val="21"/>
              </w:rPr>
            </w:pPr>
          </w:p>
        </w:tc>
        <w:tc>
          <w:tcPr>
            <w:tcW w:w="1003" w:type="pct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Arial" w:hAnsi="Arial" w:eastAsia="Arial Unicode MS" w:cs="Arial"/>
                <w:b/>
                <w:color w:val="auto"/>
                <w:kern w:val="0"/>
                <w:szCs w:val="21"/>
              </w:rPr>
              <w:t>Primer name</w:t>
            </w:r>
          </w:p>
        </w:tc>
        <w:tc>
          <w:tcPr>
            <w:tcW w:w="2263" w:type="pct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b/>
                <w:color w:val="auto"/>
                <w:kern w:val="0"/>
                <w:szCs w:val="21"/>
              </w:rPr>
              <w:t>Sequence(5’-3’)</w:t>
            </w:r>
          </w:p>
        </w:tc>
        <w:tc>
          <w:tcPr>
            <w:tcW w:w="1242" w:type="pct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b/>
                <w:color w:val="auto"/>
                <w:kern w:val="0"/>
                <w:szCs w:val="21"/>
              </w:rPr>
              <w:t>Size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90" w:type="pct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Primer pair 1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bookmarkStart w:id="2" w:name="OLE_LINK4"/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p1</w:t>
            </w:r>
            <w:bookmarkEnd w:id="2"/>
          </w:p>
        </w:tc>
        <w:tc>
          <w:tcPr>
            <w:tcW w:w="22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ATGCCCACCAAAGTCATCAGTGTAG</w:t>
            </w:r>
          </w:p>
        </w:tc>
        <w:tc>
          <w:tcPr>
            <w:tcW w:w="1242" w:type="pct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WT: none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90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AGGCGGGCCATTTACCGTAAGTTA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KI: 1456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9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Primer pair 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CCTCCTCTCCTGACTACTCCCAGTC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WT: none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90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TCACAGAAACCATATGGCGCTCC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KI: 1229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9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Primer pair 3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CAGCAAAACCTGGCTGTGGATC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WT: 412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90" w:type="pct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p6</w:t>
            </w:r>
          </w:p>
        </w:tc>
        <w:tc>
          <w:tcPr>
            <w:tcW w:w="2263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ATGAGCCACCATGTGGGTGTC</w:t>
            </w:r>
          </w:p>
        </w:tc>
        <w:tc>
          <w:tcPr>
            <w:tcW w:w="1242" w:type="pct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KI: 412</w:t>
            </w:r>
          </w:p>
        </w:tc>
      </w:tr>
    </w:tbl>
    <w:p>
      <w:pPr>
        <w:spacing w:before="156" w:beforeLines="50"/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drawing>
          <wp:inline distT="0" distB="0" distL="0" distR="0">
            <wp:extent cx="5038725" cy="43148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color w:val="auto"/>
        </w:rPr>
      </w:pPr>
    </w:p>
    <w:p>
      <w:pPr>
        <w:widowControl/>
        <w:spacing w:line="360" w:lineRule="auto"/>
        <w:rPr>
          <w:rFonts w:ascii="Times New Roman" w:hAnsi="Times New Roman" w:eastAsia="等线"/>
          <w:bCs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 HTRA1 overexpression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 xml:space="preserve"> in hHTRA1-Tg mice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A.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Western blot analysis of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h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HTRA1 expression in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retina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of 6- to 8-week-old WT and </w:t>
      </w:r>
      <w:r>
        <w:rPr>
          <w:rFonts w:ascii="Times New Roman" w:hAnsi="Times New Roman" w:eastAsia="等线"/>
          <w:bCs/>
          <w:iCs/>
          <w:color w:val="auto"/>
          <w:kern w:val="0"/>
          <w:sz w:val="24"/>
          <w:szCs w:val="24"/>
        </w:rPr>
        <w:t>hHTRA1-Tg</w:t>
      </w:r>
      <w:r>
        <w:rPr>
          <w:rFonts w:ascii="Times New Roman" w:hAnsi="Times New Roman" w:eastAsia="等线"/>
          <w:bCs/>
          <w:i/>
          <w:color w:val="auto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mice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using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anti-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>H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is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antibod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y. B. Statistical analysis of the relative expression of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h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HTRA1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in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retina</w:t>
      </w:r>
      <w:bookmarkStart w:id="3" w:name="OLE_LINK6"/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eastAsia="等线"/>
          <w:bCs/>
          <w:i/>
          <w:iCs/>
          <w:color w:val="auto"/>
          <w:kern w:val="0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  <w:lang w:val="en-US" w:eastAsia="zh-CN"/>
        </w:rPr>
        <w:t>&lt;0.0001)</w:t>
      </w:r>
      <w:bookmarkEnd w:id="3"/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. C. Western blot analysis of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m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HTRA1 expression in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retina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of 6- to 8-week-old WT and </w:t>
      </w:r>
      <w:r>
        <w:rPr>
          <w:rFonts w:ascii="Times New Roman" w:hAnsi="Times New Roman" w:eastAsia="等线"/>
          <w:bCs/>
          <w:iCs/>
          <w:color w:val="auto"/>
          <w:kern w:val="0"/>
          <w:sz w:val="24"/>
          <w:szCs w:val="24"/>
        </w:rPr>
        <w:t>hHTRA1-Tg</w:t>
      </w:r>
      <w:r>
        <w:rPr>
          <w:rFonts w:ascii="Times New Roman" w:hAnsi="Times New Roman" w:eastAsia="等线"/>
          <w:bCs/>
          <w:i/>
          <w:color w:val="auto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mice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using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HTRA1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antibody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. D. Statistical analysis of the relative expression of mHTRA1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in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</w:rPr>
        <w:t>retina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eastAsia="等线"/>
          <w:bCs/>
          <w:i/>
          <w:iCs/>
          <w:color w:val="auto"/>
          <w:kern w:val="0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eastAsia="等线"/>
          <w:bCs/>
          <w:color w:val="auto"/>
          <w:kern w:val="0"/>
          <w:sz w:val="24"/>
          <w:szCs w:val="24"/>
          <w:lang w:val="en-US" w:eastAsia="zh-CN"/>
        </w:rPr>
        <w:t>=0.187)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>.</w:t>
      </w:r>
    </w:p>
    <w:p>
      <w:pPr>
        <w:widowControl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>
      <w:pPr>
        <w:spacing w:before="156" w:beforeLines="50"/>
        <w:rPr>
          <w:color w:val="auto"/>
        </w:rPr>
      </w:pPr>
      <w:r>
        <w:rPr>
          <w:rFonts w:hint="eastAsia"/>
          <w:color w:val="auto"/>
        </w:rPr>
        <w:drawing>
          <wp:inline distT="0" distB="0" distL="114300" distR="114300">
            <wp:extent cx="5274310" cy="3165475"/>
            <wp:effectExtent l="0" t="0" r="13970" b="4445"/>
            <wp:docPr id="3" name="图片 3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/>
        <w:rPr>
          <w:color w:val="auto"/>
        </w:rPr>
      </w:pPr>
    </w:p>
    <w:p>
      <w:pPr>
        <w:spacing w:line="360" w:lineRule="auto"/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</w:pPr>
      <w:bookmarkStart w:id="4" w:name="OLE_LINK5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S3. 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Little obvious retinal degeneration was observed in hHTRA1-Tg mice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A. 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Representative fundus image, FFA and OCT of WT mice. B. Representative fundus image, FFA and OCT of hHTRA1-Tg mice. C.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Representative a-wave and b-wave ERG traces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 of 6- to 10-week-old hHTRA1-Tg (n = 17) and WT mice (n = 16) . Flash intensity was 0.05 cd·s/m</w:t>
      </w:r>
      <w:r>
        <w:rPr>
          <w:rFonts w:ascii="Times New Roman" w:hAnsi="Times New Roman" w:eastAsia="等线" w:cs="Times New Roman"/>
          <w:color w:val="auto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. D.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 xml:space="preserve">Representative 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>c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-wave traces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>of 6- to 10-week-old hHTRA1-Tg (n = 7) and WT mice (n = 7).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>Flash intensity was 150 cd·s/m</w:t>
      </w:r>
      <w:r>
        <w:rPr>
          <w:rFonts w:ascii="Times New Roman" w:hAnsi="Times New Roman" w:eastAsia="等线" w:cs="Times New Roman"/>
          <w:color w:val="auto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. E. </w:t>
      </w:r>
      <w:bookmarkEnd w:id="4"/>
      <w:r>
        <w:rPr>
          <w:rFonts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Statistical analysis of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 xml:space="preserve"> a-wave amplitudes for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WT and hHTRA1-Tg mice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 (</w:t>
      </w:r>
      <w:r>
        <w:rPr>
          <w:rFonts w:ascii="Times New Roman" w:hAnsi="Times New Roman" w:eastAsia="等线" w:cs="Times New Roman"/>
          <w:i/>
          <w:iCs/>
          <w:color w:val="auto"/>
          <w:sz w:val="24"/>
          <w:szCs w:val="24"/>
          <w:lang w:bidi="ar"/>
        </w:rPr>
        <w:t>P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=0.657). F. </w:t>
      </w:r>
      <w:r>
        <w:rPr>
          <w:rFonts w:ascii="Times New Roman" w:hAnsi="Times New Roman"/>
          <w:color w:val="auto"/>
          <w:sz w:val="24"/>
          <w:szCs w:val="24"/>
        </w:rPr>
        <w:t>Statistical analysis of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>b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-wave amplitudes for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WT and hHTRA1-Tg mice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 (</w:t>
      </w:r>
      <w:r>
        <w:rPr>
          <w:rFonts w:ascii="Times New Roman" w:hAnsi="Times New Roman" w:eastAsia="等线" w:cs="Times New Roman"/>
          <w:i/>
          <w:iCs/>
          <w:color w:val="auto"/>
          <w:sz w:val="24"/>
          <w:szCs w:val="24"/>
          <w:lang w:bidi="ar"/>
        </w:rPr>
        <w:t>P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=0.447). G. </w:t>
      </w:r>
      <w:r>
        <w:rPr>
          <w:rFonts w:ascii="Times New Roman" w:hAnsi="Times New Roman"/>
          <w:color w:val="auto"/>
          <w:sz w:val="24"/>
          <w:szCs w:val="24"/>
        </w:rPr>
        <w:t>Statistical analysis of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>c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-wave amplitudes for</w:t>
      </w:r>
      <w:r>
        <w:rPr>
          <w:rFonts w:hint="eastAsia" w:ascii="Times New Roman" w:hAnsi="Times New Roman" w:eastAsia="等线"/>
          <w:color w:val="auto"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WT and hHTRA1-Tg mice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 (</w:t>
      </w:r>
      <w:r>
        <w:rPr>
          <w:rFonts w:ascii="Times New Roman" w:hAnsi="Times New Roman" w:eastAsia="等线" w:cs="Times New Roman"/>
          <w:i/>
          <w:iCs/>
          <w:color w:val="auto"/>
          <w:sz w:val="24"/>
          <w:szCs w:val="24"/>
          <w:lang w:bidi="ar"/>
        </w:rPr>
        <w:t>P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=0.326). </w:t>
      </w:r>
    </w:p>
    <w:p>
      <w:pPr>
        <w:widowControl/>
        <w:jc w:val="left"/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br w:type="page"/>
      </w:r>
    </w:p>
    <w:p>
      <w:pPr>
        <w:rPr>
          <w:rFonts w:ascii="Arial" w:hAnsi="Arial" w:eastAsia="宋体" w:cs="Arial"/>
          <w:b/>
          <w:color w:val="auto"/>
          <w:szCs w:val="21"/>
        </w:rPr>
      </w:pPr>
      <w:r>
        <w:rPr>
          <w:rFonts w:hint="eastAsia" w:ascii="Arial" w:hAnsi="Arial" w:eastAsia="宋体" w:cs="Arial"/>
          <w:b/>
          <w:color w:val="auto"/>
          <w:szCs w:val="21"/>
        </w:rPr>
        <w:drawing>
          <wp:inline distT="0" distB="0" distL="114300" distR="114300">
            <wp:extent cx="4807585" cy="4648200"/>
            <wp:effectExtent l="0" t="0" r="8255" b="0"/>
            <wp:docPr id="5" name="图片 5" descr="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Figure S4. Retinal histology (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H&amp;E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staining) of 8-week and 12-month-old WT and hHTRA1-Tg mice.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The scale bar is 50μm（n = 3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</w:rPr>
        <w:t>）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 RGC, retinal ganglion cell; IPL, inner plexiform layer; INL, inner nuclear layer; OPL, outer plexiform layer; ONL, outer nuclear layer; IS, photoreceptor inner segment; OS, photoreceptor outer segment; RPE, retinal pigment epithelium.</w:t>
      </w: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hint="eastAsia" w:ascii="Times New Roman" w:hAnsi="Times New Roman" w:cs="Times New Roman"/>
          <w:color w:val="auto"/>
          <w:szCs w:val="21"/>
        </w:rPr>
        <w:br w:type="page"/>
      </w:r>
    </w:p>
    <w:p>
      <w:pPr>
        <w:rPr>
          <w:color w:val="auto"/>
        </w:rPr>
      </w:pPr>
      <w:r>
        <w:rPr>
          <w:rFonts w:ascii="Arial" w:hAnsi="Arial" w:eastAsia="宋体" w:cs="Arial"/>
          <w:b/>
          <w:color w:val="auto"/>
          <w:szCs w:val="21"/>
        </w:rPr>
        <w:t>Table</w:t>
      </w:r>
      <w:r>
        <w:rPr>
          <w:rFonts w:hint="eastAsia" w:ascii="Arial" w:hAnsi="Arial" w:eastAsia="宋体" w:cs="Arial"/>
          <w:b/>
          <w:color w:val="auto"/>
          <w:szCs w:val="21"/>
        </w:rPr>
        <w:t xml:space="preserve"> S2</w:t>
      </w:r>
      <w:r>
        <w:rPr>
          <w:rFonts w:ascii="Arial" w:hAnsi="Arial" w:eastAsia="宋体" w:cs="Arial"/>
          <w:b/>
          <w:color w:val="auto"/>
          <w:szCs w:val="21"/>
        </w:rPr>
        <w:t>.</w:t>
      </w:r>
      <w:r>
        <w:rPr>
          <w:rFonts w:hint="eastAsia" w:ascii="Arial" w:hAnsi="Arial" w:eastAsia="宋体" w:cs="Arial"/>
          <w:b/>
          <w:color w:val="auto"/>
          <w:szCs w:val="21"/>
        </w:rPr>
        <w:t xml:space="preserve"> The primers for</w:t>
      </w:r>
      <w:r>
        <w:rPr>
          <w:rFonts w:ascii="Arial" w:hAnsi="Arial" w:eastAsia="宋体" w:cs="Arial"/>
          <w:b/>
          <w:color w:val="auto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RT-qPCR</w:t>
      </w:r>
      <w:r>
        <w:rPr>
          <w:rFonts w:hint="eastAsia" w:ascii="Arial" w:hAnsi="Arial" w:eastAsia="宋体" w:cs="Arial"/>
          <w:b/>
          <w:color w:val="auto"/>
          <w:szCs w:val="21"/>
        </w:rPr>
        <w:t>.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001"/>
        <w:gridCol w:w="45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172" w:type="pct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b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Arial" w:hAnsi="Arial" w:eastAsia="Arial Unicode MS" w:cs="Arial"/>
                <w:b/>
                <w:color w:val="auto"/>
                <w:kern w:val="0"/>
                <w:szCs w:val="21"/>
              </w:rPr>
              <w:t>Primer name</w:t>
            </w:r>
          </w:p>
        </w:tc>
        <w:tc>
          <w:tcPr>
            <w:tcW w:w="2652" w:type="pct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b/>
                <w:color w:val="auto"/>
                <w:kern w:val="0"/>
                <w:szCs w:val="21"/>
              </w:rPr>
              <w:t>Sequence (5’-3’)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172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p21-Forward</w:t>
            </w:r>
          </w:p>
        </w:tc>
        <w:tc>
          <w:tcPr>
            <w:tcW w:w="2652" w:type="pct"/>
            <w:tcBorders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AGGTGGACCTGGAGACTCTCAG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p21-</w:t>
            </w:r>
            <w:r>
              <w:rPr>
                <w:rFonts w:hint="eastAsia" w:ascii="Arial" w:hAnsi="Arial" w:eastAsia="宋体" w:cs="Arial"/>
                <w:color w:val="auto"/>
                <w:szCs w:val="21"/>
              </w:rPr>
              <w:t xml:space="preserve"> </w:t>
            </w: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TCCTCTTGGAGAAGATCAGCCG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IL-6-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AGACAGCCACTCACCTCTTCAG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bookmarkStart w:id="5" w:name="OLE_LINK1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IL-6- Reverse</w:t>
            </w:r>
            <w:bookmarkEnd w:id="5"/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TTCTGCCAGTGCCTCTTTGCTG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IL-1β-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CCACAGACCTTCCAGGAGAATG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human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IL-1β-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GTGCAGTTCAGTGATCGTACAGG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SOD2-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CTGGACAAACCTCAGCCCTAAC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SOD2-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AACCTGAGCCTTGGACACCAAC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MMP2-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AGCGAGTGGATGCCGCCTTTAA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MMP2-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CATTCCAGGCATCTGCGATGAG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SESN2-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AGATGGAGAGCCGCTTTGAGCT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SESN2-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CCGAGTGAAGTCCTCATATCCG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GAPDH-Forward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aps/>
                <w:color w:val="auto"/>
                <w:kern w:val="0"/>
                <w:szCs w:val="21"/>
              </w:rPr>
              <w:t>TCACCATCTTCCAggAgCgA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GAPDH-Reverse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aps/>
                <w:color w:val="auto"/>
                <w:kern w:val="0"/>
                <w:szCs w:val="21"/>
              </w:rPr>
              <w:t>CTTCTCCATggTggTgAAgAC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p16- Forward</w:t>
            </w:r>
          </w:p>
        </w:tc>
        <w:tc>
          <w:tcPr>
            <w:tcW w:w="2652" w:type="pct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TGTTGAGGCTAGAGAGGATCTTG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mouse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p16-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CGAATCTGCACCGTAGTTGAGC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IL-1b- 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TGGACCTTCCAGGATGAGGACA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IL-1b- Reverse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GTTCATCTCGGAGCCTGTAGTG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GAPDH-Forward</w:t>
            </w:r>
          </w:p>
        </w:tc>
        <w:tc>
          <w:tcPr>
            <w:tcW w:w="265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GTGAAGGTCGGTGTGAACGG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2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GAPDH-Reverse</w:t>
            </w:r>
          </w:p>
        </w:tc>
        <w:tc>
          <w:tcPr>
            <w:tcW w:w="2652" w:type="pct"/>
            <w:tcBorders>
              <w:top w:val="nil"/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Arial Unicode MS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eastAsia="Arial Unicode MS" w:cs="Arial"/>
                <w:color w:val="auto"/>
                <w:kern w:val="0"/>
                <w:szCs w:val="21"/>
              </w:rPr>
              <w:t>GCCGTTGAATTTGCCGTGAG</w:t>
            </w:r>
          </w:p>
        </w:tc>
      </w:tr>
    </w:tbl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color w:val="auto"/>
        </w:rPr>
      </w:pPr>
      <w:r>
        <w:rPr>
          <w:rFonts w:hint="eastAsia"/>
          <w:color w:val="auto"/>
        </w:rPr>
        <w:drawing>
          <wp:inline distT="0" distB="0" distL="114300" distR="114300">
            <wp:extent cx="4427855" cy="6991350"/>
            <wp:effectExtent l="0" t="0" r="6985" b="3810"/>
            <wp:docPr id="6" name="图片 6" descr="S 10mg 35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 10mg 35m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S5. 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The phenotype of hHTRA1-Tg and WT mice were the same when treated with 10 mg/kg and 35 mg/kg NaIO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</w:rPr>
        <w:t>A. Representative fundus image, FFA and OCT of WT and hHTRA1-Tg mice with injection of 10 mg/kg NaIO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  <w:vertAlign w:val="subscript"/>
        </w:rPr>
        <w:t>3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</w:rPr>
        <w:t xml:space="preserve"> and similar volumes of physiological saline (n=10). B. Representative fundus image, FFA and OCT of WT and hHTRA1-Tg mice with injection of 35 mg/kg NaIO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  <w:vertAlign w:val="subscript"/>
        </w:rPr>
        <w:t>3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</w:rPr>
        <w:t xml:space="preserve"> and similar volumes of physiological saline (n=10). </w:t>
      </w:r>
    </w:p>
    <w:p>
      <w:pPr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drawing>
          <wp:inline distT="0" distB="0" distL="0" distR="0">
            <wp:extent cx="5274310" cy="35128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等线"/>
          <w:bCs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S6. HTRA1 in retina did not response to the SI 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induced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stress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</w:rPr>
        <w:t xml:space="preserve">A. </w:t>
      </w:r>
      <w:r>
        <w:rPr>
          <w:rFonts w:ascii="Times New Roman" w:hAnsi="Times New Roman" w:eastAsia="等线"/>
          <w:color w:val="auto"/>
          <w:kern w:val="0"/>
          <w:sz w:val="24"/>
          <w:szCs w:val="24"/>
        </w:rPr>
        <w:t>Western blot analysis of HTRA1 expression in retina of WT mice treated with 10 mg/kg SI or saline. B. Western blot analysis of HTRA1 expression in retina of WT mice treated with 35 mg/kg SI or saline. C. Western blot analysis of HTRA1 and RPE65 expression in RPE-choroid of WT mice treated with 10 mg/kg SI or saline. D. Western blot analysis of HTRA1 and RPE65 expression in RPE-choroid of WT mice treated with 35 mg/kg SI or saline.</w:t>
      </w:r>
    </w:p>
    <w:p>
      <w:pPr>
        <w:spacing w:line="360" w:lineRule="auto"/>
        <w:rPr>
          <w:rFonts w:hint="eastAsia" w:ascii="Times New Roman" w:hAnsi="Times New Roman" w:cs="Times New Roman"/>
          <w:bCs/>
          <w:color w:val="auto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br w:type="page"/>
      </w:r>
    </w:p>
    <w:p>
      <w:pPr>
        <w:jc w:val="center"/>
        <w:rPr>
          <w:color w:val="auto"/>
        </w:rPr>
      </w:pPr>
      <w:r>
        <w:rPr>
          <w:rFonts w:hint="eastAsia"/>
          <w:color w:val="auto"/>
        </w:rPr>
        <w:drawing>
          <wp:inline distT="0" distB="0" distL="114300" distR="114300">
            <wp:extent cx="5263515" cy="3669030"/>
            <wp:effectExtent l="0" t="0" r="9525" b="3810"/>
            <wp:docPr id="7" name="图片 7" descr="原代 γH2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原代 γH2AX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auto"/>
        </w:rPr>
      </w:pP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S7. 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 xml:space="preserve">HTRA1 overexpression aggravated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DNA damage 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 xml:space="preserve">of primary mouse RPE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cells. </w:t>
      </w:r>
      <w:r>
        <w:rPr>
          <w:rFonts w:ascii="Times New Roman" w:hAnsi="Times New Roman" w:cs="Times New Roman"/>
          <w:color w:val="auto"/>
          <w:sz w:val="24"/>
          <w:szCs w:val="24"/>
        </w:rPr>
        <w:t>Immunofluorescent analysis of DNA damage by detecting the expression of γH2A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X in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primary mouse RPE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cells treated with adv-NC or adv-HTRA1 for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48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h (the scale bar is 20 μm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, n = 3)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drawing>
          <wp:inline distT="0" distB="0" distL="0" distR="0">
            <wp:extent cx="4681855" cy="396240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 The mitochondrial ROS production did not increase significantly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after 24 h treatment of adv-</w:t>
      </w:r>
      <w:bookmarkStart w:id="6" w:name="_Hlk131194466"/>
      <w:r>
        <w:rPr>
          <w:rFonts w:ascii="Times New Roman" w:hAnsi="Times New Roman" w:cs="Times New Roman"/>
          <w:b/>
          <w:color w:val="auto"/>
          <w:sz w:val="24"/>
          <w:szCs w:val="24"/>
        </w:rPr>
        <w:t>HTRA1</w:t>
      </w:r>
      <w:bookmarkEnd w:id="6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A. Flow cytometry detection of ROS in ARPE-19 cells treated with adv-NC for 24 h </w:t>
      </w:r>
      <w:bookmarkStart w:id="7" w:name="OLE_LINK56"/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>(n = 3)</w:t>
      </w:r>
      <w:bookmarkEnd w:id="7"/>
      <w:r>
        <w:rPr>
          <w:rFonts w:ascii="Times New Roman" w:hAnsi="Times New Roman" w:eastAsia="等线"/>
          <w:bCs/>
          <w:color w:val="auto"/>
          <w:kern w:val="0"/>
          <w:sz w:val="24"/>
          <w:szCs w:val="24"/>
        </w:rPr>
        <w:t xml:space="preserve">. B. Flow cytometry detection of ROS in ARPE-19 cells treated with adv-HTRA1 for 24 h (n = 3). C. </w:t>
      </w:r>
      <w:r>
        <w:rPr>
          <w:rFonts w:ascii="Times New Roman" w:hAnsi="Times New Roman"/>
          <w:color w:val="auto"/>
          <w:sz w:val="24"/>
          <w:szCs w:val="24"/>
        </w:rPr>
        <w:t xml:space="preserve">Statistical analysis of the mitochondrial ROS production. </w:t>
      </w: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hint="eastAsia" w:ascii="Times New Roman" w:hAnsi="Times New Roman" w:cs="Times New Roman"/>
          <w:color w:val="auto"/>
          <w:szCs w:val="21"/>
        </w:rPr>
        <w:br w:type="page"/>
      </w:r>
    </w:p>
    <w:p>
      <w:pPr>
        <w:spacing w:line="360" w:lineRule="auto"/>
        <w:rPr>
          <w:rFonts w:ascii="Times New Roman" w:hAnsi="Times New Roman" w:cs="Times New Roman"/>
          <w:color w:val="auto"/>
          <w:szCs w:val="21"/>
        </w:rPr>
      </w:pPr>
      <w:r>
        <w:rPr>
          <w:rFonts w:hint="eastAsia" w:ascii="Times New Roman" w:hAnsi="Times New Roman" w:cs="Times New Roman"/>
          <w:color w:val="auto"/>
          <w:szCs w:val="21"/>
        </w:rPr>
        <w:drawing>
          <wp:inline distT="0" distB="0" distL="114300" distR="114300">
            <wp:extent cx="5284470" cy="2872740"/>
            <wp:effectExtent l="0" t="0" r="3810" b="7620"/>
            <wp:docPr id="4" name="图片 4" descr="原代H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原代HIF"/>
                    <pic:cNvPicPr>
                      <a:picLocks noChangeAspect="1"/>
                    </pic:cNvPicPr>
                  </pic:nvPicPr>
                  <pic:blipFill>
                    <a:blip r:embed="rId12"/>
                    <a:srcRect l="6506" t="2892" r="4193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Figure S9. HTRA1 induced HIF1α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</w:rPr>
        <w:t xml:space="preserve"> expression in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primary mouse RPE cells.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Immunofluorescent analysis of HIF1α expression in primary mouse RPE cells treated with adv-NC or adv-HTRA1 for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48 </w:t>
      </w:r>
      <w:r>
        <w:rPr>
          <w:rFonts w:ascii="Times New Roman" w:hAnsi="Times New Roman" w:cs="Times New Roman"/>
          <w:color w:val="auto"/>
          <w:sz w:val="24"/>
          <w:szCs w:val="24"/>
        </w:rPr>
        <w:t>h (the scale bar is 20 μm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, n = 3)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Adv-HTRA1 was fused with flag.</w:t>
      </w:r>
    </w:p>
    <w:p>
      <w:pPr>
        <w:rPr>
          <w:color w:val="auto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xZDZhYmY4NzE3ODdmMjE5ZjY4ZDdhYmFmMTc1NTYifQ=="/>
  </w:docVars>
  <w:rsids>
    <w:rsidRoot w:val="00E91176"/>
    <w:rsid w:val="0000287B"/>
    <w:rsid w:val="00013B19"/>
    <w:rsid w:val="00041DA6"/>
    <w:rsid w:val="000B7F3C"/>
    <w:rsid w:val="000C19E3"/>
    <w:rsid w:val="000C66A0"/>
    <w:rsid w:val="000E4BAE"/>
    <w:rsid w:val="00111C8C"/>
    <w:rsid w:val="00112209"/>
    <w:rsid w:val="001151C5"/>
    <w:rsid w:val="00133F5F"/>
    <w:rsid w:val="00142641"/>
    <w:rsid w:val="001469E7"/>
    <w:rsid w:val="00174DBA"/>
    <w:rsid w:val="001927F5"/>
    <w:rsid w:val="001D6D62"/>
    <w:rsid w:val="00206A3F"/>
    <w:rsid w:val="002239B9"/>
    <w:rsid w:val="0029736F"/>
    <w:rsid w:val="0037780A"/>
    <w:rsid w:val="00380119"/>
    <w:rsid w:val="00483CA4"/>
    <w:rsid w:val="004A628F"/>
    <w:rsid w:val="004C604C"/>
    <w:rsid w:val="005B1549"/>
    <w:rsid w:val="005F1D0C"/>
    <w:rsid w:val="00633C8C"/>
    <w:rsid w:val="00655BDB"/>
    <w:rsid w:val="00657036"/>
    <w:rsid w:val="00674AB4"/>
    <w:rsid w:val="006A3A4B"/>
    <w:rsid w:val="006C06B1"/>
    <w:rsid w:val="006C0C54"/>
    <w:rsid w:val="006E6240"/>
    <w:rsid w:val="00730AB6"/>
    <w:rsid w:val="007A4F40"/>
    <w:rsid w:val="007B152D"/>
    <w:rsid w:val="007C18C8"/>
    <w:rsid w:val="0081212B"/>
    <w:rsid w:val="0082658A"/>
    <w:rsid w:val="008330EF"/>
    <w:rsid w:val="00876C86"/>
    <w:rsid w:val="008800C9"/>
    <w:rsid w:val="008A49F7"/>
    <w:rsid w:val="00935552"/>
    <w:rsid w:val="00991A38"/>
    <w:rsid w:val="009A48D0"/>
    <w:rsid w:val="009C4EB3"/>
    <w:rsid w:val="009D04CB"/>
    <w:rsid w:val="009F53EB"/>
    <w:rsid w:val="00A05046"/>
    <w:rsid w:val="00A150A9"/>
    <w:rsid w:val="00A63A7A"/>
    <w:rsid w:val="00AC0E22"/>
    <w:rsid w:val="00AC285A"/>
    <w:rsid w:val="00AC3F89"/>
    <w:rsid w:val="00AD1421"/>
    <w:rsid w:val="00AF6CAA"/>
    <w:rsid w:val="00B15A1F"/>
    <w:rsid w:val="00B16912"/>
    <w:rsid w:val="00B23F72"/>
    <w:rsid w:val="00B92A1E"/>
    <w:rsid w:val="00BC5179"/>
    <w:rsid w:val="00BE2511"/>
    <w:rsid w:val="00C162EE"/>
    <w:rsid w:val="00C4511E"/>
    <w:rsid w:val="00CA397E"/>
    <w:rsid w:val="00CC5D65"/>
    <w:rsid w:val="00CD41C6"/>
    <w:rsid w:val="00CE3086"/>
    <w:rsid w:val="00CE437A"/>
    <w:rsid w:val="00D76670"/>
    <w:rsid w:val="00E73F7E"/>
    <w:rsid w:val="00E75D65"/>
    <w:rsid w:val="00E91176"/>
    <w:rsid w:val="00EC33EF"/>
    <w:rsid w:val="00EE04F7"/>
    <w:rsid w:val="00EF4BB7"/>
    <w:rsid w:val="00F03A94"/>
    <w:rsid w:val="00F05AB4"/>
    <w:rsid w:val="00F07467"/>
    <w:rsid w:val="00F24D1D"/>
    <w:rsid w:val="00F701B0"/>
    <w:rsid w:val="00F80E27"/>
    <w:rsid w:val="00F91BBA"/>
    <w:rsid w:val="00FE2C8C"/>
    <w:rsid w:val="00FF6773"/>
    <w:rsid w:val="07431E09"/>
    <w:rsid w:val="0A993C71"/>
    <w:rsid w:val="13A00E57"/>
    <w:rsid w:val="1653052A"/>
    <w:rsid w:val="1F362DAB"/>
    <w:rsid w:val="246A0EB0"/>
    <w:rsid w:val="2AE579C6"/>
    <w:rsid w:val="2CC47634"/>
    <w:rsid w:val="309A3FD2"/>
    <w:rsid w:val="31E169C6"/>
    <w:rsid w:val="32586296"/>
    <w:rsid w:val="33A86085"/>
    <w:rsid w:val="36D2451D"/>
    <w:rsid w:val="37290060"/>
    <w:rsid w:val="3A497179"/>
    <w:rsid w:val="3B6C79D8"/>
    <w:rsid w:val="44DD48F1"/>
    <w:rsid w:val="488C77E0"/>
    <w:rsid w:val="4DEA5E1C"/>
    <w:rsid w:val="50E8173C"/>
    <w:rsid w:val="514C70E4"/>
    <w:rsid w:val="567833C3"/>
    <w:rsid w:val="5CFA4496"/>
    <w:rsid w:val="5DBE6243"/>
    <w:rsid w:val="62DF4839"/>
    <w:rsid w:val="6FA41F12"/>
    <w:rsid w:val="706D192A"/>
    <w:rsid w:val="7CD1544E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11</Pages>
  <Words>720</Words>
  <Characters>4032</Characters>
  <Lines>34</Lines>
  <Paragraphs>9</Paragraphs>
  <TotalTime>9</TotalTime>
  <ScaleCrop>false</ScaleCrop>
  <LinksUpToDate>false</LinksUpToDate>
  <CharactersWithSpaces>4666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2023-03-31T13:50:00Z</dcterms:created>
  <dc:creator>徐文倡</dc:creator>
  <cp:lastModifiedBy>锤</cp:lastModifiedBy>
  <dcterms:modified xsi:type="dcterms:W3CDTF">2023-04-05T14:22:25Z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13FC320346694391A4F63DB8670D4717</vt:lpwstr>
  </property>
</Properties>
</file>