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spacing w:after="0" w:line="480" w:lineRule="auto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Supplementary Fig. 1</w:t>
      </w:r>
    </w:p>
    <w:p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drawing>
          <wp:inline distT="0" distB="0" distL="114300" distR="114300">
            <wp:extent cx="5267960" cy="1429385"/>
            <wp:effectExtent l="0" t="0" r="5080" b="3175"/>
            <wp:docPr id="6" name="图片 6" descr="补充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补充图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2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(a-b)</w:t>
      </w:r>
      <w:r>
        <w:rPr>
          <w:rFonts w:hint="eastAsia" w:ascii="MyriadPro-Light" w:hAnsi="MyriadPro-Light" w:eastAsia="MyriadPro-Light" w:cs="MyriadPro-Light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Changes of blood glucose (a) and body weight (b) in WT and STING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vertAlign w:val="superscript"/>
          <w:lang w:val="en-US" w:eastAsia="zh-CN" w:bidi="ar-SA"/>
        </w:rPr>
        <w:t>-/-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mice after STZ injection.</w:t>
      </w:r>
    </w:p>
    <w:p>
      <w:pPr>
        <w:spacing w:line="360" w:lineRule="auto"/>
        <w:rPr>
          <w:rFonts w:ascii="Times New Roman" w:hAnsi="Times New Roman"/>
          <w:b/>
          <w:sz w:val="24"/>
        </w:rPr>
      </w:pPr>
    </w:p>
    <w:p>
      <w:pPr>
        <w:spacing w:line="360" w:lineRule="auto"/>
        <w:rPr>
          <w:rFonts w:ascii="Times New Roman" w:hAnsi="Times New Roman"/>
          <w:b/>
          <w:sz w:val="24"/>
        </w:rPr>
      </w:pPr>
    </w:p>
    <w:p>
      <w:pPr>
        <w:spacing w:line="360" w:lineRule="auto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ascii="Times New Roman" w:hAnsi="Times New Roman"/>
          <w:b/>
          <w:sz w:val="24"/>
        </w:rPr>
        <w:t xml:space="preserve">Supplementary Fig. </w:t>
      </w:r>
      <w:r>
        <w:rPr>
          <w:rFonts w:hint="eastAsia" w:ascii="Times New Roman" w:hAnsi="Times New Roman" w:eastAsia="宋体"/>
          <w:b/>
          <w:sz w:val="24"/>
          <w:lang w:val="en-US" w:eastAsia="zh-CN"/>
        </w:rPr>
        <w:t>2</w:t>
      </w:r>
    </w:p>
    <w:p>
      <w:pP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drawing>
          <wp:inline distT="0" distB="0" distL="114300" distR="114300">
            <wp:extent cx="5267960" cy="3162935"/>
            <wp:effectExtent l="0" t="0" r="5080" b="6985"/>
            <wp:docPr id="3" name="图片 3" descr="补充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补充图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wordWrap/>
        <w:spacing w:line="360" w:lineRule="auto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West</w:t>
      </w:r>
      <w:r>
        <w:rPr>
          <w:rFonts w:ascii="Times New Roman" w:hAnsi="Times New Roman" w:eastAsia="宋体" w:cs="Times New Roman"/>
          <w:sz w:val="24"/>
          <w:highlight w:val="none"/>
        </w:rPr>
        <w:t>ern blot</w:t>
      </w:r>
      <w:r>
        <w:rPr>
          <w:rFonts w:hint="eastAsia" w:ascii="Times New Roman" w:hAnsi="Times New Roman" w:eastAsia="宋体" w:cs="Times New Roman"/>
          <w:sz w:val="24"/>
          <w:highlight w:val="none"/>
        </w:rPr>
        <w:t xml:space="preserve"> analysis</w:t>
      </w:r>
      <w:r>
        <w:rPr>
          <w:rFonts w:ascii="Times New Roman" w:hAnsi="Times New Roman" w:eastAsia="宋体" w:cs="Times New Roman"/>
          <w:sz w:val="24"/>
          <w:highlight w:val="none"/>
        </w:rPr>
        <w:t xml:space="preserve"> of</w:t>
      </w:r>
      <w:r>
        <w:rPr>
          <w:rFonts w:hint="eastAsia" w:ascii="Times New Roman" w:hAnsi="Times New Roman" w:eastAsia="宋体" w:cs="Times New Roman"/>
          <w:sz w:val="24"/>
          <w:highlight w:val="none"/>
        </w:rPr>
        <w:t xml:space="preserve"> STING</w:t>
      </w:r>
      <w:r>
        <w:rPr>
          <w:rFonts w:ascii="Times New Roman" w:hAnsi="Times New Roman" w:eastAsia="宋体" w:cs="Times New Roman"/>
          <w:sz w:val="24"/>
          <w:highlight w:val="none"/>
        </w:rPr>
        <w:t xml:space="preserve"> protein levels in the aortas of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WT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or STING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vertAlign w:val="superscript"/>
          <w:lang w:val="en-US" w:eastAsia="zh-CN" w:bidi="ar-SA"/>
        </w:rPr>
        <w:t>-/-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mice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after STZ injection. (b) Representative immunofluorescence staining of cGAS in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the aortic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endothelium of the indicated mice.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The yellow dashed line depicts the aorta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endothelium, and the arrow indicates endothelial cells.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B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ars: 50 μm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.</w:t>
      </w:r>
    </w:p>
    <w:p>
      <w:pPr>
        <w:spacing w:line="360" w:lineRule="auto"/>
        <w:rPr>
          <w:rFonts w:ascii="Times New Roman" w:hAnsi="Times New Roman"/>
          <w:b/>
          <w:sz w:val="24"/>
        </w:rPr>
      </w:pPr>
    </w:p>
    <w:p>
      <w:pPr>
        <w:spacing w:line="360" w:lineRule="auto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ascii="Times New Roman" w:hAnsi="Times New Roman"/>
          <w:b/>
          <w:sz w:val="24"/>
        </w:rPr>
        <w:t xml:space="preserve">Supplementary Fig. </w:t>
      </w:r>
      <w:r>
        <w:rPr>
          <w:rFonts w:hint="eastAsia" w:ascii="Times New Roman" w:hAnsi="Times New Roman" w:eastAsia="宋体"/>
          <w:b/>
          <w:sz w:val="24"/>
          <w:lang w:val="en-US" w:eastAsia="zh-CN"/>
        </w:rPr>
        <w:t>3</w:t>
      </w:r>
    </w:p>
    <w:p>
      <w:pP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drawing>
          <wp:inline distT="0" distB="0" distL="114300" distR="114300">
            <wp:extent cx="5269865" cy="3359785"/>
            <wp:effectExtent l="0" t="0" r="3175" b="8255"/>
            <wp:docPr id="2" name="图片 2" descr="补充图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补充图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ordWrap/>
        <w:spacing w:line="360" w:lineRule="auto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(a)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Western blot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ting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analysis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for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the STING protein levels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in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human aortic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 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endothelial cells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(H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AECs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)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treated with HG (40mmol/L)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. (b)</w:t>
      </w:r>
      <w:bookmarkStart w:id="0" w:name="OLE_LINK2"/>
      <w:bookmarkStart w:id="1" w:name="OLE_LINK35"/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Representative images of immunofluorescence staining of p65 (green) in the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HG-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treat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 xml:space="preserve">ed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H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AECs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 xml:space="preserve"> in the absence or presence of C176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val="en-US" w:eastAsia="zh-CN" w:bidi="ar-SA"/>
        </w:rPr>
        <w:t>B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bidi="ar-SA"/>
        </w:rPr>
        <w:t>ars: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bidi="ar-SA"/>
        </w:rPr>
        <w:t xml:space="preserve">50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bidi="ar-SA"/>
        </w:rPr>
        <w:t>μ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bidi="ar-SA"/>
        </w:rPr>
        <w:t>m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val="en-US" w:eastAsia="zh-CN" w:bidi="ar-SA"/>
        </w:rPr>
        <w:t>.</w:t>
      </w:r>
      <w:bookmarkEnd w:id="0"/>
      <w:bookmarkEnd w:id="1"/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(c) Representative images of immunofluorescence staining of IRF3 (red) in the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HG-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treat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 xml:space="preserve">ed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H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AECs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 xml:space="preserve"> in the absence or presence of C176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bookmarkStart w:id="2" w:name="OLE_LINK3"/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val="en-US" w:eastAsia="zh-CN" w:bidi="ar-SA"/>
        </w:rPr>
        <w:t>B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bidi="ar-SA"/>
        </w:rPr>
        <w:t>ars: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bidi="ar-SA"/>
        </w:rPr>
        <w:t xml:space="preserve">50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bidi="ar-SA"/>
        </w:rPr>
        <w:t>μ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bidi="ar-SA"/>
        </w:rPr>
        <w:t>m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val="en-US" w:eastAsia="zh-CN" w:bidi="ar-SA"/>
        </w:rPr>
        <w:t>.</w:t>
      </w:r>
      <w:bookmarkEnd w:id="2"/>
      <w:bookmarkStart w:id="3" w:name="OLE_LINK1"/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All results are representative of three independent experiments.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Date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 xml:space="preserve"> are presented as mean ±SD. ∗P&lt;0.05; ∗∗P &lt;0.01; ∗∗∗P &lt;0.001.</w:t>
      </w:r>
    </w:p>
    <w:bookmarkEnd w:id="3"/>
    <w:p>
      <w:pP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</w:p>
    <w:p>
      <w:pPr>
        <w:rPr>
          <w:rFonts w:hint="eastAsia" w:ascii="Times New Roman" w:hAnsi="Times New Roman" w:eastAsia="宋体"/>
          <w:b/>
          <w:sz w:val="24"/>
          <w:lang w:val="en-US" w:eastAsia="zh-CN"/>
        </w:rPr>
      </w:pPr>
    </w:p>
    <w:p>
      <w:pPr>
        <w:rPr>
          <w:rFonts w:hint="eastAsia" w:ascii="Times New Roman" w:hAnsi="Times New Roman" w:eastAsia="宋体"/>
          <w:b/>
          <w:sz w:val="24"/>
          <w:lang w:val="en-US" w:eastAsia="zh-CN"/>
        </w:rPr>
      </w:pPr>
    </w:p>
    <w:p>
      <w:pPr>
        <w:rPr>
          <w:rFonts w:hint="eastAsia" w:ascii="Times New Roman" w:hAnsi="Times New Roman" w:eastAsia="宋体"/>
          <w:b/>
          <w:sz w:val="24"/>
          <w:lang w:val="en-US" w:eastAsia="zh-CN"/>
        </w:rPr>
      </w:pPr>
    </w:p>
    <w:p>
      <w:pPr>
        <w:rPr>
          <w:rFonts w:hint="eastAsia" w:ascii="Times New Roman" w:hAnsi="Times New Roman" w:eastAsia="宋体"/>
          <w:b/>
          <w:sz w:val="24"/>
          <w:lang w:val="en-US" w:eastAsia="zh-CN"/>
        </w:rPr>
      </w:pPr>
    </w:p>
    <w:p>
      <w:pPr>
        <w:rPr>
          <w:rFonts w:hint="eastAsia" w:ascii="Times New Roman" w:hAnsi="Times New Roman" w:eastAsia="宋体"/>
          <w:b/>
          <w:sz w:val="24"/>
          <w:lang w:val="en-US" w:eastAsia="zh-CN"/>
        </w:rPr>
      </w:pPr>
    </w:p>
    <w:p>
      <w:pPr>
        <w:rPr>
          <w:rFonts w:hint="eastAsia" w:ascii="Times New Roman" w:hAnsi="Times New Roman" w:eastAsia="宋体"/>
          <w:b/>
          <w:sz w:val="24"/>
          <w:lang w:val="en-US" w:eastAsia="zh-CN"/>
        </w:rPr>
      </w:pPr>
    </w:p>
    <w:p>
      <w:pPr>
        <w:rPr>
          <w:rFonts w:hint="eastAsia" w:ascii="Times New Roman" w:hAnsi="Times New Roman" w:eastAsia="宋体"/>
          <w:b/>
          <w:sz w:val="24"/>
          <w:lang w:val="en-US" w:eastAsia="zh-CN"/>
        </w:rPr>
      </w:pPr>
    </w:p>
    <w:p>
      <w:pPr>
        <w:rPr>
          <w:rFonts w:hint="eastAsia" w:ascii="Times New Roman" w:hAnsi="Times New Roman" w:eastAsia="宋体"/>
          <w:b/>
          <w:sz w:val="24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eastAsia="宋体"/>
          <w:b/>
          <w:sz w:val="24"/>
          <w:lang w:val="en-US" w:eastAsia="zh-CN"/>
        </w:rPr>
      </w:pPr>
      <w:r>
        <w:rPr>
          <w:rFonts w:ascii="Times New Roman" w:hAnsi="Times New Roman"/>
          <w:b/>
          <w:sz w:val="24"/>
        </w:rPr>
        <w:t xml:space="preserve">Supplementary Fig. </w:t>
      </w:r>
      <w:r>
        <w:rPr>
          <w:rFonts w:hint="eastAsia" w:ascii="Times New Roman" w:hAnsi="Times New Roman" w:eastAsia="宋体"/>
          <w:b/>
          <w:sz w:val="24"/>
          <w:lang w:val="en-US" w:eastAsia="zh-CN"/>
        </w:rPr>
        <w:t>4</w:t>
      </w:r>
    </w:p>
    <w:p>
      <w:pP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/>
          <w:b/>
          <w:sz w:val="24"/>
          <w:lang w:val="en-US" w:eastAsia="zh-CN"/>
        </w:rPr>
        <w:drawing>
          <wp:inline distT="0" distB="0" distL="114300" distR="114300">
            <wp:extent cx="5264785" cy="5805805"/>
            <wp:effectExtent l="0" t="0" r="8255" b="635"/>
            <wp:docPr id="4" name="图片 4" descr="补充图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补充图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580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GoBack"/>
      <w:bookmarkEnd w:id="4"/>
    </w:p>
    <w:p>
      <w:pPr>
        <w:numPr>
          <w:ilvl w:val="0"/>
          <w:numId w:val="2"/>
        </w:numPr>
        <w:wordWrap/>
        <w:spacing w:line="360" w:lineRule="auto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Quantitative analysis of nuclear gene Tert expression in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nuclear DNA and mtDNA. (b) Western blotting showed the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protein levels of STING in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H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AECs 24 h after transfection with 3 μg mtDNA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. (c)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Representative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w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estern blot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for STING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in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H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AECs transfected with control siRNA or STING siRNA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val="en-US" w:eastAsia="zh-CN" w:bidi="ar-SA"/>
        </w:rPr>
        <w:t>B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bidi="ar-SA"/>
        </w:rPr>
        <w:t>ars: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bidi="ar-SA"/>
        </w:rPr>
        <w:t xml:space="preserve">50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bidi="ar-SA"/>
        </w:rPr>
        <w:t>μ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bidi="ar-SA"/>
        </w:rPr>
        <w:t>m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val="en-US" w:eastAsia="zh-CN" w:bidi="ar-SA"/>
        </w:rPr>
        <w:t xml:space="preserve">. (d)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Immunofluorescence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staining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show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ed the location of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IRF3 and p65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in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H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AECs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transfected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with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control or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STING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 xml:space="preserve"> siRNA in absence or presence of mtDNA.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val="en-US" w:eastAsia="zh-CN" w:bidi="ar-SA"/>
        </w:rPr>
        <w:t>B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bidi="ar-SA"/>
        </w:rPr>
        <w:t>ars: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bidi="ar-SA"/>
        </w:rPr>
        <w:t xml:space="preserve">50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bidi="ar-SA"/>
        </w:rPr>
        <w:t>μ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bidi="ar-SA"/>
        </w:rPr>
        <w:t>m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auto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All results are representative of three independent experiments.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>Date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highlight w:val="none"/>
          <w:lang w:val="en-US" w:eastAsia="zh-CN" w:bidi="ar-SA"/>
        </w:rPr>
        <w:t xml:space="preserve"> are presented as mean ±SD. ∗P&lt;0.05; ∗∗P &lt;0.01; ∗∗∗P &lt;0.001.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modern"/>
    <w:pitch w:val="default"/>
    <w:sig w:usb0="9000002F" w:usb1="29D77CFB" w:usb2="00000012" w:usb3="00000000" w:csb0="00080001" w:csb1="00000000"/>
  </w:font>
  <w:font w:name="MyriadPro-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sz w:val="18"/>
        <w:szCs w:val="22"/>
      </w:rPr>
    </w:pPr>
    <w:r>
      <w:rPr>
        <w:sz w:val="18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1F31E4"/>
    <w:multiLevelType w:val="singleLevel"/>
    <w:tmpl w:val="871F31E4"/>
    <w:lvl w:ilvl="0" w:tentative="0">
      <w:start w:val="1"/>
      <w:numFmt w:val="lowerLetter"/>
      <w:suff w:val="space"/>
      <w:lvlText w:val="(%1)"/>
      <w:lvlJc w:val="left"/>
    </w:lvl>
  </w:abstractNum>
  <w:abstractNum w:abstractNumId="1">
    <w:nsid w:val="25F8726E"/>
    <w:multiLevelType w:val="singleLevel"/>
    <w:tmpl w:val="25F8726E"/>
    <w:lvl w:ilvl="0" w:tentative="0">
      <w:start w:val="1"/>
      <w:numFmt w:val="lowerLetter"/>
      <w:lvlText w:val="(%1)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kZDlmYWUxNTJhYTliYzQ3YzYzMjU3NDg5NTUwOTEifQ=="/>
  </w:docVars>
  <w:rsids>
    <w:rsidRoot w:val="00000000"/>
    <w:rsid w:val="04073203"/>
    <w:rsid w:val="15D60841"/>
    <w:rsid w:val="20FF545B"/>
    <w:rsid w:val="23152A0C"/>
    <w:rsid w:val="23C465C3"/>
    <w:rsid w:val="24F23D50"/>
    <w:rsid w:val="26E46716"/>
    <w:rsid w:val="38442C1C"/>
    <w:rsid w:val="3B6B584A"/>
    <w:rsid w:val="3BEE0229"/>
    <w:rsid w:val="4D221AE1"/>
    <w:rsid w:val="4E157897"/>
    <w:rsid w:val="4FFA6C58"/>
    <w:rsid w:val="541843E9"/>
    <w:rsid w:val="5AD76600"/>
    <w:rsid w:val="5B7C24DC"/>
    <w:rsid w:val="5B8852D3"/>
    <w:rsid w:val="5D3A69D3"/>
    <w:rsid w:val="5E8F2D4E"/>
    <w:rsid w:val="62100EB8"/>
    <w:rsid w:val="76DF292F"/>
    <w:rsid w:val="7AD0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ascii="Malgun Gothic" w:hAnsi="Malgun Gothic" w:eastAsia="Malgun Gothic" w:cs="Times New Roman"/>
      <w:kern w:val="2"/>
      <w:szCs w:val="22"/>
      <w:lang w:val="en-US" w:eastAsia="ko-KR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2023-10-24T08:40:00Z</dcterms:created>
  <dc:creator>14020</dc:creator>
  <cp:lastModifiedBy>A</cp:lastModifiedBy>
  <dcterms:modified xsi:type="dcterms:W3CDTF">2023-10-25T15:19:59Z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0D1A7A1FECDA434A82FEF70BFE7F2243_13</vt:lpwstr>
  </property>
</Properties>
</file>