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C2629" w14:textId="6B589E75" w:rsidR="00E04B18" w:rsidRPr="00E04B18" w:rsidRDefault="00E04B18" w:rsidP="00E04B18">
      <w:pPr>
        <w:spacing w:line="360" w:lineRule="auto"/>
        <w:jc w:val="left"/>
        <w:rPr>
          <w:color w:val="FF0000"/>
          <w:sz w:val="24"/>
          <w:szCs w:val="24"/>
          <w14:ligatures w14:val="standardContextual"/>
        </w:rPr>
      </w:pPr>
      <w:r w:rsidRPr="007703A6">
        <w:rPr>
          <w:noProof/>
          <w:color w:val="FF0000"/>
          <w:sz w:val="24"/>
          <w:szCs w:val="24"/>
        </w:rPr>
        <w:drawing>
          <wp:inline distT="0" distB="0" distL="0" distR="0" wp14:anchorId="5471217D" wp14:editId="131E9699">
            <wp:extent cx="4586357" cy="5105400"/>
            <wp:effectExtent l="0" t="0" r="0" b="0"/>
            <wp:docPr id="15165934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39" cy="51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4B18">
        <w:rPr>
          <w:rFonts w:ascii="Times New Roman" w:hAnsi="Times New Roman" w:cs="Times New Roman"/>
          <w:color w:val="FF0000"/>
          <w:spacing w:val="8"/>
          <w:sz w:val="24"/>
          <w:szCs w:val="24"/>
          <w14:ligatures w14:val="standardContextual"/>
        </w:rPr>
        <w:t xml:space="preserve"> </w:t>
      </w:r>
      <w:r w:rsidRPr="00E04B18">
        <w:rPr>
          <w:rFonts w:ascii="Times New Roman" w:hAnsi="Times New Roman" w:cs="Times New Roman"/>
          <w:color w:val="FF0000"/>
          <w:spacing w:val="8"/>
          <w:sz w:val="24"/>
          <w:szCs w:val="24"/>
          <w14:ligatures w14:val="standardContextual"/>
        </w:rPr>
        <w:t>Figure S1. Western blot analysis revealed that the administration of exogenous recombinant IL-4 protein (rIL-4) significantly upregulated the expression of Bcl-2, while concurrently suppressing the levels of BAX and Caspase-3 in the retina of the NMDA-induced injury model.</w:t>
      </w:r>
      <w:r w:rsidRPr="00E04B18">
        <w:rPr>
          <w:noProof/>
          <w:color w:val="FF0000"/>
          <w:sz w:val="24"/>
          <w:szCs w:val="24"/>
          <w14:ligatures w14:val="standardContextual"/>
        </w:rPr>
        <w:lastRenderedPageBreak/>
        <w:drawing>
          <wp:inline distT="0" distB="0" distL="0" distR="0" wp14:anchorId="22A64960" wp14:editId="6059AD42">
            <wp:extent cx="5274310" cy="5821680"/>
            <wp:effectExtent l="0" t="0" r="0" b="0"/>
            <wp:docPr id="843052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2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0B462" w14:textId="77777777" w:rsidR="00E04B18" w:rsidRPr="00E04B18" w:rsidRDefault="00E04B18" w:rsidP="00E04B18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E04B18">
        <w:rPr>
          <w:rFonts w:ascii="Times New Roman" w:hAnsi="Times New Roman" w:cs="Times New Roman"/>
          <w:color w:val="FF0000"/>
          <w:spacing w:val="8"/>
          <w:sz w:val="24"/>
          <w:szCs w:val="24"/>
          <w14:ligatures w14:val="standardContextual"/>
        </w:rPr>
        <w:t>Figure S2. Western blot analysis indicated that rIL-4 treatment promoted the phosphorylation of JAK1/STAT3 and ERK1/2 in the retina of the ONC model, resulting in the activation of the associated signaling cascades.</w:t>
      </w:r>
    </w:p>
    <w:p w14:paraId="1004E401" w14:textId="77777777" w:rsidR="00E04B18" w:rsidRPr="00E04B18" w:rsidRDefault="00E04B18" w:rsidP="00E04B18">
      <w:pPr>
        <w:widowControl/>
        <w:spacing w:line="360" w:lineRule="auto"/>
        <w:rPr>
          <w:sz w:val="24"/>
          <w:szCs w:val="24"/>
          <w14:ligatures w14:val="standardContextual"/>
        </w:rPr>
      </w:pPr>
      <w:r w:rsidRPr="00E04B18">
        <w:rPr>
          <w:sz w:val="24"/>
          <w:szCs w:val="24"/>
          <w14:ligatures w14:val="standardContextual"/>
        </w:rPr>
        <w:br w:type="page"/>
      </w:r>
    </w:p>
    <w:p w14:paraId="23835FE7" w14:textId="77777777" w:rsidR="00E04B18" w:rsidRPr="00AB5F7B" w:rsidRDefault="00E04B18" w:rsidP="00E04B18">
      <w:pPr>
        <w:spacing w:line="480" w:lineRule="auto"/>
        <w:rPr>
          <w:rFonts w:ascii="Times New Roman" w:hAnsi="Times New Roman" w:cs="Times New Roman"/>
          <w:b/>
          <w:shd w:val="clear" w:color="auto" w:fill="FFFFFF"/>
        </w:rPr>
      </w:pPr>
      <w:r w:rsidRPr="00AB5F7B">
        <w:rPr>
          <w:rFonts w:ascii="Times New Roman" w:hAnsi="Times New Roman" w:cs="Times New Roman" w:hint="eastAsia"/>
          <w:b/>
          <w:shd w:val="clear" w:color="auto" w:fill="FFFFFF"/>
        </w:rPr>
        <w:lastRenderedPageBreak/>
        <w:t>Table</w:t>
      </w:r>
      <w:r w:rsidRPr="00AB5F7B">
        <w:rPr>
          <w:rFonts w:ascii="Times New Roman" w:hAnsi="Times New Roman" w:cs="Times New Roman"/>
          <w:b/>
          <w:shd w:val="clear" w:color="auto" w:fill="FFFFFF"/>
        </w:rPr>
        <w:t xml:space="preserve"> 1. </w:t>
      </w:r>
      <w:r w:rsidRPr="00AB5F7B">
        <w:rPr>
          <w:rFonts w:ascii="Times New Roman" w:hAnsi="Times New Roman" w:cs="Times New Roman" w:hint="eastAsia"/>
          <w:b/>
          <w:shd w:val="clear" w:color="auto" w:fill="FFFFFF"/>
        </w:rPr>
        <w:t>C</w:t>
      </w:r>
      <w:r w:rsidRPr="00AB5F7B">
        <w:rPr>
          <w:rFonts w:ascii="Times New Roman" w:hAnsi="Times New Roman" w:cs="Times New Roman"/>
          <w:b/>
          <w:shd w:val="clear" w:color="auto" w:fill="FFFFFF"/>
        </w:rPr>
        <w:t>hemicals and reagents used in the study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694"/>
        <w:gridCol w:w="1704"/>
        <w:gridCol w:w="1356"/>
      </w:tblGrid>
      <w:tr w:rsidR="00E04B18" w:rsidRPr="0049015C" w14:paraId="42A0981D" w14:textId="77777777" w:rsidTr="003B65E2">
        <w:tc>
          <w:tcPr>
            <w:tcW w:w="1536" w:type="pct"/>
            <w:tcBorders>
              <w:top w:val="single" w:sz="4" w:space="0" w:color="auto"/>
              <w:bottom w:val="single" w:sz="4" w:space="0" w:color="auto"/>
            </w:tcBorders>
          </w:tcPr>
          <w:p w14:paraId="0202DEE3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Chemicals</w:t>
            </w:r>
          </w:p>
        </w:tc>
        <w:tc>
          <w:tcPr>
            <w:tcW w:w="1622" w:type="pct"/>
            <w:tcBorders>
              <w:top w:val="single" w:sz="4" w:space="0" w:color="auto"/>
              <w:bottom w:val="single" w:sz="4" w:space="0" w:color="auto"/>
            </w:tcBorders>
          </w:tcPr>
          <w:p w14:paraId="432D6642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Source</w:t>
            </w: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</w:tcPr>
          <w:p w14:paraId="3FB8C9DF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Identifier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</w:tcPr>
          <w:p w14:paraId="2F253CF7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Dosage</w:t>
            </w:r>
          </w:p>
        </w:tc>
      </w:tr>
      <w:tr w:rsidR="00E04B18" w:rsidRPr="0049015C" w14:paraId="76C943F7" w14:textId="77777777" w:rsidTr="003B65E2">
        <w:tc>
          <w:tcPr>
            <w:tcW w:w="153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5F855D9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Staurosporine</w:t>
            </w:r>
          </w:p>
        </w:tc>
        <w:tc>
          <w:tcPr>
            <w:tcW w:w="1622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30219FB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Abmole (Beijing, China)</w:t>
            </w:r>
          </w:p>
        </w:tc>
        <w:tc>
          <w:tcPr>
            <w:tcW w:w="102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2AB9C35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M2066</w:t>
            </w:r>
          </w:p>
        </w:tc>
        <w:tc>
          <w:tcPr>
            <w:tcW w:w="81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C9477EB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04B18" w:rsidRPr="0049015C" w14:paraId="10726B4B" w14:textId="77777777" w:rsidTr="003B65E2">
        <w:tc>
          <w:tcPr>
            <w:tcW w:w="1536" w:type="pct"/>
          </w:tcPr>
          <w:p w14:paraId="22415384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N-methyl-D-aspartic Acid (NMDA)</w:t>
            </w:r>
          </w:p>
        </w:tc>
        <w:tc>
          <w:tcPr>
            <w:tcW w:w="1622" w:type="pct"/>
          </w:tcPr>
          <w:p w14:paraId="3F2DC14D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Abmole</w:t>
            </w:r>
          </w:p>
        </w:tc>
        <w:tc>
          <w:tcPr>
            <w:tcW w:w="1026" w:type="pct"/>
          </w:tcPr>
          <w:p w14:paraId="595D7259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M2884</w:t>
            </w:r>
          </w:p>
        </w:tc>
        <w:tc>
          <w:tcPr>
            <w:tcW w:w="816" w:type="pct"/>
          </w:tcPr>
          <w:p w14:paraId="70F8B631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04B18" w:rsidRPr="0049015C" w14:paraId="2A8A9050" w14:textId="77777777" w:rsidTr="003B65E2">
        <w:tc>
          <w:tcPr>
            <w:tcW w:w="1536" w:type="pct"/>
            <w:shd w:val="clear" w:color="auto" w:fill="D9D9D9" w:themeFill="background1" w:themeFillShade="D9"/>
          </w:tcPr>
          <w:p w14:paraId="108AC888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4’,6-diamidino-2-phenylindole (DAPI)</w:t>
            </w:r>
          </w:p>
        </w:tc>
        <w:tc>
          <w:tcPr>
            <w:tcW w:w="1622" w:type="pct"/>
            <w:shd w:val="clear" w:color="auto" w:fill="D9D9D9" w:themeFill="background1" w:themeFillShade="D9"/>
          </w:tcPr>
          <w:p w14:paraId="373BCA4C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Solarbio (Beijing, China)</w:t>
            </w:r>
          </w:p>
        </w:tc>
        <w:tc>
          <w:tcPr>
            <w:tcW w:w="1026" w:type="pct"/>
            <w:shd w:val="clear" w:color="auto" w:fill="D9D9D9" w:themeFill="background1" w:themeFillShade="D9"/>
          </w:tcPr>
          <w:p w14:paraId="0BCC84A1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C0065</w:t>
            </w:r>
          </w:p>
        </w:tc>
        <w:tc>
          <w:tcPr>
            <w:tcW w:w="816" w:type="pct"/>
            <w:shd w:val="clear" w:color="auto" w:fill="D9D9D9" w:themeFill="background1" w:themeFillShade="D9"/>
          </w:tcPr>
          <w:p w14:paraId="4008BEC0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</w:p>
        </w:tc>
      </w:tr>
      <w:tr w:rsidR="00E04B18" w:rsidRPr="0049015C" w14:paraId="2381EC5F" w14:textId="77777777" w:rsidTr="003B65E2">
        <w:tc>
          <w:tcPr>
            <w:tcW w:w="1536" w:type="pct"/>
          </w:tcPr>
          <w:p w14:paraId="20CF0842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Antifading mounting medium</w:t>
            </w:r>
          </w:p>
        </w:tc>
        <w:tc>
          <w:tcPr>
            <w:tcW w:w="1622" w:type="pct"/>
          </w:tcPr>
          <w:p w14:paraId="417C927C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Solarbio</w:t>
            </w:r>
          </w:p>
        </w:tc>
        <w:tc>
          <w:tcPr>
            <w:tcW w:w="1026" w:type="pct"/>
          </w:tcPr>
          <w:p w14:paraId="630C75F6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S2100</w:t>
            </w:r>
          </w:p>
        </w:tc>
        <w:tc>
          <w:tcPr>
            <w:tcW w:w="816" w:type="pct"/>
          </w:tcPr>
          <w:p w14:paraId="7016532E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</w:p>
        </w:tc>
      </w:tr>
      <w:tr w:rsidR="00E04B18" w:rsidRPr="0049015C" w14:paraId="3DA27BC4" w14:textId="77777777" w:rsidTr="003B65E2">
        <w:tc>
          <w:tcPr>
            <w:tcW w:w="1536" w:type="pct"/>
            <w:shd w:val="clear" w:color="auto" w:fill="D9D9D9" w:themeFill="background1" w:themeFillShade="D9"/>
          </w:tcPr>
          <w:p w14:paraId="4A55B847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Cholera Toxin Subunit B (CTB) conjugated Alexa Fluor 488</w:t>
            </w:r>
          </w:p>
        </w:tc>
        <w:tc>
          <w:tcPr>
            <w:tcW w:w="1622" w:type="pct"/>
            <w:shd w:val="clear" w:color="auto" w:fill="D9D9D9" w:themeFill="background1" w:themeFillShade="D9"/>
          </w:tcPr>
          <w:p w14:paraId="558B455F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Thermo Fisher Scientific (MA, USA)</w:t>
            </w:r>
          </w:p>
        </w:tc>
        <w:tc>
          <w:tcPr>
            <w:tcW w:w="1026" w:type="pct"/>
            <w:shd w:val="clear" w:color="auto" w:fill="D9D9D9" w:themeFill="background1" w:themeFillShade="D9"/>
          </w:tcPr>
          <w:p w14:paraId="5AF13596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C34775</w:t>
            </w:r>
          </w:p>
        </w:tc>
        <w:tc>
          <w:tcPr>
            <w:tcW w:w="816" w:type="pct"/>
            <w:shd w:val="clear" w:color="auto" w:fill="D9D9D9" w:themeFill="background1" w:themeFillShade="D9"/>
          </w:tcPr>
          <w:p w14:paraId="72A1A0CB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</w:p>
        </w:tc>
      </w:tr>
      <w:tr w:rsidR="00E04B18" w:rsidRPr="0049015C" w14:paraId="0E205C8D" w14:textId="77777777" w:rsidTr="003B65E2">
        <w:tc>
          <w:tcPr>
            <w:tcW w:w="1536" w:type="pct"/>
            <w:tcBorders>
              <w:bottom w:val="single" w:sz="4" w:space="0" w:color="auto"/>
            </w:tcBorders>
          </w:tcPr>
          <w:p w14:paraId="1D72D6F6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recombinant murine IL-4 protein</w:t>
            </w:r>
          </w:p>
        </w:tc>
        <w:tc>
          <w:tcPr>
            <w:tcW w:w="1622" w:type="pct"/>
            <w:tcBorders>
              <w:bottom w:val="single" w:sz="4" w:space="0" w:color="auto"/>
            </w:tcBorders>
          </w:tcPr>
          <w:p w14:paraId="59AD5D27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PeproTech (Rocky Hill, NJ, USA)</w:t>
            </w:r>
          </w:p>
        </w:tc>
        <w:tc>
          <w:tcPr>
            <w:tcW w:w="1026" w:type="pct"/>
            <w:tcBorders>
              <w:bottom w:val="single" w:sz="4" w:space="0" w:color="auto"/>
            </w:tcBorders>
          </w:tcPr>
          <w:p w14:paraId="6ADB8D70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214-14</w:t>
            </w:r>
          </w:p>
        </w:tc>
        <w:tc>
          <w:tcPr>
            <w:tcW w:w="816" w:type="pct"/>
            <w:tcBorders>
              <w:bottom w:val="single" w:sz="4" w:space="0" w:color="auto"/>
            </w:tcBorders>
          </w:tcPr>
          <w:p w14:paraId="03CDED97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</w:p>
        </w:tc>
      </w:tr>
      <w:tr w:rsidR="00E04B18" w:rsidRPr="0049015C" w14:paraId="4CF70DA7" w14:textId="77777777" w:rsidTr="003B65E2">
        <w:tc>
          <w:tcPr>
            <w:tcW w:w="1536" w:type="pct"/>
            <w:tcBorders>
              <w:top w:val="single" w:sz="4" w:space="0" w:color="auto"/>
              <w:bottom w:val="single" w:sz="4" w:space="0" w:color="auto"/>
            </w:tcBorders>
          </w:tcPr>
          <w:p w14:paraId="0A8B4486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b/>
                <w:bCs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b/>
                <w:bCs/>
                <w:sz w:val="20"/>
                <w:szCs w:val="20"/>
              </w:rPr>
              <w:t>Reagents for cell histology</w:t>
            </w:r>
          </w:p>
        </w:tc>
        <w:tc>
          <w:tcPr>
            <w:tcW w:w="1622" w:type="pct"/>
            <w:tcBorders>
              <w:top w:val="single" w:sz="4" w:space="0" w:color="auto"/>
              <w:bottom w:val="single" w:sz="4" w:space="0" w:color="auto"/>
            </w:tcBorders>
          </w:tcPr>
          <w:p w14:paraId="1BD07E1B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b/>
                <w:bCs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</w:tcPr>
          <w:p w14:paraId="288298D8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b/>
                <w:bCs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b/>
                <w:bCs/>
                <w:sz w:val="20"/>
                <w:szCs w:val="20"/>
              </w:rPr>
              <w:t>Identifier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</w:tcPr>
          <w:p w14:paraId="352E5170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b/>
                <w:bCs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b/>
                <w:bCs/>
                <w:sz w:val="20"/>
                <w:szCs w:val="20"/>
              </w:rPr>
              <w:t>Dosage</w:t>
            </w:r>
          </w:p>
        </w:tc>
      </w:tr>
      <w:tr w:rsidR="00E04B18" w:rsidRPr="0049015C" w14:paraId="5041F053" w14:textId="77777777" w:rsidTr="003B65E2">
        <w:tc>
          <w:tcPr>
            <w:tcW w:w="153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CD3A2F3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mouse anti-βIII-Tubulin</w:t>
            </w:r>
          </w:p>
        </w:tc>
        <w:tc>
          <w:tcPr>
            <w:tcW w:w="1622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E1F119B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Beyotime (Shanghai, China)</w:t>
            </w:r>
          </w:p>
        </w:tc>
        <w:tc>
          <w:tcPr>
            <w:tcW w:w="102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8F32C2B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AT809</w:t>
            </w:r>
          </w:p>
        </w:tc>
        <w:tc>
          <w:tcPr>
            <w:tcW w:w="81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3F244B1" w14:textId="77777777" w:rsidR="00E04B18" w:rsidRPr="0049015C" w:rsidRDefault="00E04B18" w:rsidP="003B65E2">
            <w:pPr>
              <w:spacing w:line="480" w:lineRule="auto"/>
              <w:jc w:val="left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1:100</w:t>
            </w:r>
          </w:p>
        </w:tc>
      </w:tr>
      <w:tr w:rsidR="00E04B18" w:rsidRPr="0049015C" w14:paraId="56DFDCCB" w14:textId="77777777" w:rsidTr="003B65E2">
        <w:tc>
          <w:tcPr>
            <w:tcW w:w="1536" w:type="pct"/>
          </w:tcPr>
          <w:p w14:paraId="0CAD7892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rabbit anti-NeuN</w:t>
            </w:r>
          </w:p>
        </w:tc>
        <w:tc>
          <w:tcPr>
            <w:tcW w:w="1622" w:type="pct"/>
          </w:tcPr>
          <w:p w14:paraId="75F73966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Abcam (Cambridge, UK)</w:t>
            </w:r>
          </w:p>
        </w:tc>
        <w:tc>
          <w:tcPr>
            <w:tcW w:w="1026" w:type="pct"/>
          </w:tcPr>
          <w:p w14:paraId="2861FF62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ab177487</w:t>
            </w:r>
          </w:p>
        </w:tc>
        <w:tc>
          <w:tcPr>
            <w:tcW w:w="816" w:type="pct"/>
          </w:tcPr>
          <w:p w14:paraId="528F19DC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1:400</w:t>
            </w:r>
          </w:p>
        </w:tc>
      </w:tr>
      <w:tr w:rsidR="00E04B18" w:rsidRPr="0049015C" w14:paraId="768508F9" w14:textId="77777777" w:rsidTr="003B65E2">
        <w:tc>
          <w:tcPr>
            <w:tcW w:w="1536" w:type="pct"/>
            <w:shd w:val="clear" w:color="auto" w:fill="D9D9D9" w:themeFill="background1" w:themeFillShade="D9"/>
          </w:tcPr>
          <w:p w14:paraId="652649B6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DyLight 488, anti-mouse IgG</w:t>
            </w:r>
          </w:p>
        </w:tc>
        <w:tc>
          <w:tcPr>
            <w:tcW w:w="1622" w:type="pct"/>
            <w:shd w:val="clear" w:color="auto" w:fill="D9D9D9" w:themeFill="background1" w:themeFillShade="D9"/>
          </w:tcPr>
          <w:p w14:paraId="08E6AF86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Abbkine (Shanghai, China)</w:t>
            </w:r>
          </w:p>
        </w:tc>
        <w:tc>
          <w:tcPr>
            <w:tcW w:w="1026" w:type="pct"/>
            <w:shd w:val="clear" w:color="auto" w:fill="D9D9D9" w:themeFill="background1" w:themeFillShade="D9"/>
          </w:tcPr>
          <w:p w14:paraId="14E86A72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A23210</w:t>
            </w:r>
          </w:p>
        </w:tc>
        <w:tc>
          <w:tcPr>
            <w:tcW w:w="816" w:type="pct"/>
            <w:shd w:val="clear" w:color="auto" w:fill="D9D9D9" w:themeFill="background1" w:themeFillShade="D9"/>
          </w:tcPr>
          <w:p w14:paraId="334844D2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 w:hint="eastAsia"/>
                <w:sz w:val="20"/>
                <w:szCs w:val="20"/>
              </w:rPr>
              <w:t>1</w:t>
            </w: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:400</w:t>
            </w:r>
          </w:p>
        </w:tc>
      </w:tr>
      <w:tr w:rsidR="00E04B18" w:rsidRPr="0049015C" w14:paraId="119ECC01" w14:textId="77777777" w:rsidTr="003B65E2">
        <w:tc>
          <w:tcPr>
            <w:tcW w:w="1536" w:type="pct"/>
            <w:tcBorders>
              <w:bottom w:val="single" w:sz="4" w:space="0" w:color="auto"/>
            </w:tcBorders>
          </w:tcPr>
          <w:p w14:paraId="68B62CBE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Cy3, anti-rabbit IgG</w:t>
            </w:r>
          </w:p>
        </w:tc>
        <w:tc>
          <w:tcPr>
            <w:tcW w:w="1622" w:type="pct"/>
            <w:tcBorders>
              <w:bottom w:val="single" w:sz="4" w:space="0" w:color="auto"/>
            </w:tcBorders>
          </w:tcPr>
          <w:p w14:paraId="2FDF71A1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Abbkine</w:t>
            </w:r>
          </w:p>
        </w:tc>
        <w:tc>
          <w:tcPr>
            <w:tcW w:w="1026" w:type="pct"/>
            <w:tcBorders>
              <w:bottom w:val="single" w:sz="4" w:space="0" w:color="auto"/>
            </w:tcBorders>
          </w:tcPr>
          <w:p w14:paraId="2A1709F4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A22220</w:t>
            </w:r>
          </w:p>
        </w:tc>
        <w:tc>
          <w:tcPr>
            <w:tcW w:w="816" w:type="pct"/>
            <w:tcBorders>
              <w:bottom w:val="single" w:sz="4" w:space="0" w:color="auto"/>
            </w:tcBorders>
          </w:tcPr>
          <w:p w14:paraId="50E58EA9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1:400</w:t>
            </w:r>
          </w:p>
        </w:tc>
      </w:tr>
      <w:tr w:rsidR="00E04B18" w:rsidRPr="0049015C" w14:paraId="4A3B579B" w14:textId="77777777" w:rsidTr="003B65E2">
        <w:tc>
          <w:tcPr>
            <w:tcW w:w="1536" w:type="pct"/>
            <w:tcBorders>
              <w:top w:val="single" w:sz="4" w:space="0" w:color="auto"/>
              <w:bottom w:val="single" w:sz="4" w:space="0" w:color="auto"/>
            </w:tcBorders>
          </w:tcPr>
          <w:p w14:paraId="1404F757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b/>
                <w:bCs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b/>
                <w:bCs/>
                <w:sz w:val="20"/>
                <w:szCs w:val="20"/>
              </w:rPr>
              <w:t>Reagents for Western blot</w:t>
            </w:r>
          </w:p>
        </w:tc>
        <w:tc>
          <w:tcPr>
            <w:tcW w:w="1622" w:type="pct"/>
            <w:tcBorders>
              <w:top w:val="single" w:sz="4" w:space="0" w:color="auto"/>
              <w:bottom w:val="single" w:sz="4" w:space="0" w:color="auto"/>
            </w:tcBorders>
          </w:tcPr>
          <w:p w14:paraId="1D918831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b/>
                <w:bCs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</w:tcPr>
          <w:p w14:paraId="7322937E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b/>
                <w:bCs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b/>
                <w:bCs/>
                <w:sz w:val="20"/>
                <w:szCs w:val="20"/>
              </w:rPr>
              <w:t>Identifier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</w:tcPr>
          <w:p w14:paraId="108144DC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b/>
                <w:bCs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b/>
                <w:bCs/>
                <w:sz w:val="20"/>
                <w:szCs w:val="20"/>
              </w:rPr>
              <w:t>Dosage</w:t>
            </w:r>
          </w:p>
        </w:tc>
      </w:tr>
      <w:tr w:rsidR="00E04B18" w:rsidRPr="0049015C" w14:paraId="042B002B" w14:textId="77777777" w:rsidTr="003B65E2">
        <w:tc>
          <w:tcPr>
            <w:tcW w:w="153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19CAB2D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mouse anti-β-III Tubulin</w:t>
            </w:r>
          </w:p>
        </w:tc>
        <w:tc>
          <w:tcPr>
            <w:tcW w:w="1622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25FBD54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Beyotime</w:t>
            </w:r>
          </w:p>
        </w:tc>
        <w:tc>
          <w:tcPr>
            <w:tcW w:w="102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DEF3381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AT809</w:t>
            </w:r>
          </w:p>
        </w:tc>
        <w:tc>
          <w:tcPr>
            <w:tcW w:w="81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97BC99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1:2000</w:t>
            </w:r>
          </w:p>
        </w:tc>
      </w:tr>
      <w:tr w:rsidR="00E04B18" w:rsidRPr="0049015C" w14:paraId="4DF6E13F" w14:textId="77777777" w:rsidTr="003B65E2">
        <w:tc>
          <w:tcPr>
            <w:tcW w:w="1536" w:type="pct"/>
          </w:tcPr>
          <w:p w14:paraId="00B22926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lastRenderedPageBreak/>
              <w:t>rabbit anti-NeuN</w:t>
            </w:r>
          </w:p>
        </w:tc>
        <w:tc>
          <w:tcPr>
            <w:tcW w:w="1622" w:type="pct"/>
          </w:tcPr>
          <w:p w14:paraId="4DE13AC5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026" w:type="pct"/>
          </w:tcPr>
          <w:p w14:paraId="54987899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ab177487</w:t>
            </w:r>
          </w:p>
        </w:tc>
        <w:tc>
          <w:tcPr>
            <w:tcW w:w="816" w:type="pct"/>
          </w:tcPr>
          <w:p w14:paraId="78577380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1:5000</w:t>
            </w:r>
          </w:p>
        </w:tc>
      </w:tr>
      <w:tr w:rsidR="00E04B18" w:rsidRPr="0049015C" w14:paraId="73F9F1EC" w14:textId="77777777" w:rsidTr="003B65E2">
        <w:tc>
          <w:tcPr>
            <w:tcW w:w="1536" w:type="pct"/>
            <w:shd w:val="clear" w:color="auto" w:fill="D9D9D9" w:themeFill="background1" w:themeFillShade="D9"/>
          </w:tcPr>
          <w:p w14:paraId="132C0F85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mouse anti-β-actin</w:t>
            </w:r>
          </w:p>
        </w:tc>
        <w:tc>
          <w:tcPr>
            <w:tcW w:w="1622" w:type="pct"/>
            <w:shd w:val="clear" w:color="auto" w:fill="D9D9D9" w:themeFill="background1" w:themeFillShade="D9"/>
          </w:tcPr>
          <w:p w14:paraId="1C5C2ECB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Signalway (Pearland, TX, USA)</w:t>
            </w:r>
          </w:p>
        </w:tc>
        <w:tc>
          <w:tcPr>
            <w:tcW w:w="1026" w:type="pct"/>
            <w:shd w:val="clear" w:color="auto" w:fill="D9D9D9" w:themeFill="background1" w:themeFillShade="D9"/>
          </w:tcPr>
          <w:p w14:paraId="177BF48B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21800</w:t>
            </w:r>
          </w:p>
        </w:tc>
        <w:tc>
          <w:tcPr>
            <w:tcW w:w="816" w:type="pct"/>
            <w:shd w:val="clear" w:color="auto" w:fill="D9D9D9" w:themeFill="background1" w:themeFillShade="D9"/>
          </w:tcPr>
          <w:p w14:paraId="09614753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1:8000</w:t>
            </w:r>
          </w:p>
        </w:tc>
      </w:tr>
      <w:tr w:rsidR="00E04B18" w:rsidRPr="0049015C" w14:paraId="51963C58" w14:textId="77777777" w:rsidTr="003B65E2">
        <w:tc>
          <w:tcPr>
            <w:tcW w:w="1536" w:type="pct"/>
          </w:tcPr>
          <w:p w14:paraId="56C2E278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anti-rabbit IgG, HRP conjugated</w:t>
            </w:r>
          </w:p>
        </w:tc>
        <w:tc>
          <w:tcPr>
            <w:tcW w:w="1622" w:type="pct"/>
          </w:tcPr>
          <w:p w14:paraId="0D76F9A0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Signalway</w:t>
            </w:r>
          </w:p>
        </w:tc>
        <w:tc>
          <w:tcPr>
            <w:tcW w:w="1026" w:type="pct"/>
          </w:tcPr>
          <w:p w14:paraId="28533569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L3012</w:t>
            </w:r>
          </w:p>
        </w:tc>
        <w:tc>
          <w:tcPr>
            <w:tcW w:w="816" w:type="pct"/>
          </w:tcPr>
          <w:p w14:paraId="1B34BF29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1:8000</w:t>
            </w:r>
          </w:p>
        </w:tc>
      </w:tr>
      <w:tr w:rsidR="00E04B18" w:rsidRPr="0049015C" w14:paraId="5FCE15BC" w14:textId="77777777" w:rsidTr="003B65E2">
        <w:tc>
          <w:tcPr>
            <w:tcW w:w="153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95DB81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anti-mouse IgG, HRP conjugated</w:t>
            </w:r>
          </w:p>
        </w:tc>
        <w:tc>
          <w:tcPr>
            <w:tcW w:w="162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12AE0C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Signalway</w:t>
            </w:r>
          </w:p>
        </w:tc>
        <w:tc>
          <w:tcPr>
            <w:tcW w:w="10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ABAF17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L3032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68F00F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1:8000</w:t>
            </w:r>
          </w:p>
        </w:tc>
      </w:tr>
      <w:tr w:rsidR="00E04B18" w:rsidRPr="0049015C" w14:paraId="16C83E0E" w14:textId="77777777" w:rsidTr="003B65E2">
        <w:tc>
          <w:tcPr>
            <w:tcW w:w="1536" w:type="pct"/>
            <w:tcBorders>
              <w:top w:val="single" w:sz="4" w:space="0" w:color="auto"/>
              <w:bottom w:val="single" w:sz="4" w:space="0" w:color="auto"/>
            </w:tcBorders>
          </w:tcPr>
          <w:p w14:paraId="0024C689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Reagents for tissue histology</w:t>
            </w:r>
          </w:p>
        </w:tc>
        <w:tc>
          <w:tcPr>
            <w:tcW w:w="1622" w:type="pct"/>
            <w:tcBorders>
              <w:top w:val="single" w:sz="4" w:space="0" w:color="auto"/>
              <w:bottom w:val="single" w:sz="4" w:space="0" w:color="auto"/>
            </w:tcBorders>
          </w:tcPr>
          <w:p w14:paraId="1DE12534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Source</w:t>
            </w: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</w:tcPr>
          <w:p w14:paraId="615CEE8B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Identifier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</w:tcPr>
          <w:p w14:paraId="45382AA1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Dosage</w:t>
            </w:r>
          </w:p>
        </w:tc>
      </w:tr>
      <w:tr w:rsidR="00E04B18" w:rsidRPr="0049015C" w14:paraId="5751819E" w14:textId="77777777" w:rsidTr="003B65E2">
        <w:tc>
          <w:tcPr>
            <w:tcW w:w="153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B015137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rabbit anti-RBPMS</w:t>
            </w:r>
          </w:p>
        </w:tc>
        <w:tc>
          <w:tcPr>
            <w:tcW w:w="1622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957251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bookmarkStart w:id="0" w:name="OLE_LINK3"/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OmnimAbs</w:t>
            </w:r>
            <w:bookmarkEnd w:id="0"/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 xml:space="preserve"> (California, USA)</w:t>
            </w:r>
          </w:p>
        </w:tc>
        <w:tc>
          <w:tcPr>
            <w:tcW w:w="102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C4F3DE8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OM165217</w:t>
            </w:r>
          </w:p>
        </w:tc>
        <w:tc>
          <w:tcPr>
            <w:tcW w:w="81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706B4C3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1:200</w:t>
            </w:r>
          </w:p>
        </w:tc>
      </w:tr>
      <w:tr w:rsidR="00E04B18" w:rsidRPr="0049015C" w14:paraId="30259BF3" w14:textId="77777777" w:rsidTr="003B65E2">
        <w:tc>
          <w:tcPr>
            <w:tcW w:w="1536" w:type="pct"/>
          </w:tcPr>
          <w:p w14:paraId="6CE67013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rabbit anti-GAP43</w:t>
            </w:r>
          </w:p>
        </w:tc>
        <w:tc>
          <w:tcPr>
            <w:tcW w:w="1622" w:type="pct"/>
          </w:tcPr>
          <w:p w14:paraId="5F667566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Beyotime</w:t>
            </w:r>
          </w:p>
        </w:tc>
        <w:tc>
          <w:tcPr>
            <w:tcW w:w="1026" w:type="pct"/>
          </w:tcPr>
          <w:p w14:paraId="78B2A47D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AF0153</w:t>
            </w:r>
          </w:p>
        </w:tc>
        <w:tc>
          <w:tcPr>
            <w:tcW w:w="816" w:type="pct"/>
          </w:tcPr>
          <w:p w14:paraId="785D58D3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1:200</w:t>
            </w:r>
          </w:p>
        </w:tc>
      </w:tr>
      <w:tr w:rsidR="00E04B18" w:rsidRPr="0049015C" w14:paraId="709625C2" w14:textId="77777777" w:rsidTr="003B65E2">
        <w:tc>
          <w:tcPr>
            <w:tcW w:w="1536" w:type="pct"/>
            <w:shd w:val="clear" w:color="auto" w:fill="D9D9D9" w:themeFill="background1" w:themeFillShade="D9"/>
          </w:tcPr>
          <w:p w14:paraId="2DDC9883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mouse anti-β-III Tubulin</w:t>
            </w:r>
          </w:p>
        </w:tc>
        <w:tc>
          <w:tcPr>
            <w:tcW w:w="1622" w:type="pct"/>
            <w:shd w:val="clear" w:color="auto" w:fill="D9D9D9" w:themeFill="background1" w:themeFillShade="D9"/>
          </w:tcPr>
          <w:p w14:paraId="02D3AE43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Beyotime</w:t>
            </w:r>
          </w:p>
        </w:tc>
        <w:tc>
          <w:tcPr>
            <w:tcW w:w="1026" w:type="pct"/>
            <w:shd w:val="clear" w:color="auto" w:fill="D9D9D9" w:themeFill="background1" w:themeFillShade="D9"/>
          </w:tcPr>
          <w:p w14:paraId="0DD0FD8F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AT809</w:t>
            </w:r>
          </w:p>
        </w:tc>
        <w:tc>
          <w:tcPr>
            <w:tcW w:w="816" w:type="pct"/>
            <w:shd w:val="clear" w:color="auto" w:fill="D9D9D9" w:themeFill="background1" w:themeFillShade="D9"/>
          </w:tcPr>
          <w:p w14:paraId="259C19CA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1:100</w:t>
            </w:r>
          </w:p>
        </w:tc>
      </w:tr>
      <w:tr w:rsidR="00E04B18" w:rsidRPr="0049015C" w14:paraId="4CB60909" w14:textId="77777777" w:rsidTr="003B65E2">
        <w:tc>
          <w:tcPr>
            <w:tcW w:w="1536" w:type="pct"/>
          </w:tcPr>
          <w:p w14:paraId="4B337957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rabbit anti-IL4R</w:t>
            </w:r>
          </w:p>
        </w:tc>
        <w:tc>
          <w:tcPr>
            <w:tcW w:w="1622" w:type="pct"/>
          </w:tcPr>
          <w:p w14:paraId="10C2CDCF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Affinity Biosciences</w:t>
            </w:r>
          </w:p>
        </w:tc>
        <w:tc>
          <w:tcPr>
            <w:tcW w:w="1026" w:type="pct"/>
          </w:tcPr>
          <w:p w14:paraId="1C5E3174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DF8567</w:t>
            </w:r>
          </w:p>
        </w:tc>
        <w:tc>
          <w:tcPr>
            <w:tcW w:w="816" w:type="pct"/>
          </w:tcPr>
          <w:p w14:paraId="649BEBE8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1:200</w:t>
            </w:r>
          </w:p>
        </w:tc>
      </w:tr>
      <w:tr w:rsidR="00E04B18" w:rsidRPr="0049015C" w14:paraId="694F9CD3" w14:textId="77777777" w:rsidTr="003B65E2">
        <w:tc>
          <w:tcPr>
            <w:tcW w:w="1536" w:type="pct"/>
            <w:shd w:val="clear" w:color="auto" w:fill="D9D9D9" w:themeFill="background1" w:themeFillShade="D9"/>
          </w:tcPr>
          <w:p w14:paraId="7E856B5E" w14:textId="77777777" w:rsidR="00E04B18" w:rsidRPr="0049015C" w:rsidRDefault="00E04B18" w:rsidP="003B65E2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DyLight 488, anti-rabbit IgG</w:t>
            </w:r>
          </w:p>
        </w:tc>
        <w:tc>
          <w:tcPr>
            <w:tcW w:w="1622" w:type="pct"/>
            <w:shd w:val="clear" w:color="auto" w:fill="D9D9D9" w:themeFill="background1" w:themeFillShade="D9"/>
          </w:tcPr>
          <w:p w14:paraId="5F74F1D4" w14:textId="77777777" w:rsidR="00E04B18" w:rsidRPr="0049015C" w:rsidRDefault="00E04B18" w:rsidP="003B65E2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Abbkine</w:t>
            </w:r>
          </w:p>
        </w:tc>
        <w:tc>
          <w:tcPr>
            <w:tcW w:w="1026" w:type="pct"/>
            <w:shd w:val="clear" w:color="auto" w:fill="D9D9D9" w:themeFill="background1" w:themeFillShade="D9"/>
          </w:tcPr>
          <w:p w14:paraId="246E3573" w14:textId="77777777" w:rsidR="00E04B18" w:rsidRPr="0049015C" w:rsidRDefault="00E04B18" w:rsidP="003B65E2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A23220</w:t>
            </w:r>
          </w:p>
        </w:tc>
        <w:tc>
          <w:tcPr>
            <w:tcW w:w="816" w:type="pct"/>
            <w:shd w:val="clear" w:color="auto" w:fill="D9D9D9" w:themeFill="background1" w:themeFillShade="D9"/>
          </w:tcPr>
          <w:p w14:paraId="330531AE" w14:textId="77777777" w:rsidR="00E04B18" w:rsidRPr="0049015C" w:rsidRDefault="00E04B18" w:rsidP="003B65E2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1:400</w:t>
            </w:r>
          </w:p>
        </w:tc>
      </w:tr>
      <w:tr w:rsidR="00E04B18" w:rsidRPr="0049015C" w14:paraId="5EDE9145" w14:textId="77777777" w:rsidTr="003B65E2">
        <w:tc>
          <w:tcPr>
            <w:tcW w:w="1536" w:type="pct"/>
          </w:tcPr>
          <w:p w14:paraId="2E4048D5" w14:textId="77777777" w:rsidR="00E04B18" w:rsidRPr="0049015C" w:rsidRDefault="00E04B18" w:rsidP="003B65E2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DyLight 488, anti-mouse IgG</w:t>
            </w:r>
          </w:p>
        </w:tc>
        <w:tc>
          <w:tcPr>
            <w:tcW w:w="1622" w:type="pct"/>
          </w:tcPr>
          <w:p w14:paraId="7336E8B8" w14:textId="77777777" w:rsidR="00E04B18" w:rsidRPr="0049015C" w:rsidRDefault="00E04B18" w:rsidP="003B65E2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Abbkine</w:t>
            </w:r>
          </w:p>
        </w:tc>
        <w:tc>
          <w:tcPr>
            <w:tcW w:w="1026" w:type="pct"/>
          </w:tcPr>
          <w:p w14:paraId="1C8AD6C7" w14:textId="77777777" w:rsidR="00E04B18" w:rsidRPr="0049015C" w:rsidRDefault="00E04B18" w:rsidP="003B65E2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A23210</w:t>
            </w:r>
          </w:p>
        </w:tc>
        <w:tc>
          <w:tcPr>
            <w:tcW w:w="816" w:type="pct"/>
          </w:tcPr>
          <w:p w14:paraId="155E548E" w14:textId="77777777" w:rsidR="00E04B18" w:rsidRPr="0049015C" w:rsidRDefault="00E04B18" w:rsidP="003B65E2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015C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1:400</w:t>
            </w:r>
          </w:p>
        </w:tc>
      </w:tr>
      <w:tr w:rsidR="00E04B18" w:rsidRPr="0049015C" w14:paraId="3C98D915" w14:textId="77777777" w:rsidTr="003B65E2">
        <w:tc>
          <w:tcPr>
            <w:tcW w:w="1536" w:type="pct"/>
            <w:shd w:val="clear" w:color="auto" w:fill="D9D9D9" w:themeFill="background1" w:themeFillShade="D9"/>
          </w:tcPr>
          <w:p w14:paraId="1B77DB10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Cy3, anti-rabbit IgG</w:t>
            </w:r>
          </w:p>
        </w:tc>
        <w:tc>
          <w:tcPr>
            <w:tcW w:w="1622" w:type="pct"/>
            <w:shd w:val="clear" w:color="auto" w:fill="D9D9D9" w:themeFill="background1" w:themeFillShade="D9"/>
          </w:tcPr>
          <w:p w14:paraId="601BA3DE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Abbkine</w:t>
            </w:r>
          </w:p>
        </w:tc>
        <w:tc>
          <w:tcPr>
            <w:tcW w:w="1026" w:type="pct"/>
            <w:shd w:val="clear" w:color="auto" w:fill="D9D9D9" w:themeFill="background1" w:themeFillShade="D9"/>
          </w:tcPr>
          <w:p w14:paraId="1F6A5830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Cat# A22220</w:t>
            </w:r>
          </w:p>
        </w:tc>
        <w:tc>
          <w:tcPr>
            <w:tcW w:w="816" w:type="pct"/>
            <w:shd w:val="clear" w:color="auto" w:fill="D9D9D9" w:themeFill="background1" w:themeFillShade="D9"/>
          </w:tcPr>
          <w:p w14:paraId="4DC5E96D" w14:textId="77777777" w:rsidR="00E04B18" w:rsidRPr="0049015C" w:rsidRDefault="00E04B18" w:rsidP="003B65E2">
            <w:pPr>
              <w:spacing w:line="480" w:lineRule="auto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49015C">
              <w:rPr>
                <w:rFonts w:ascii="Times New Roman" w:eastAsia="楷体" w:hAnsi="Times New Roman" w:cs="Times New Roman"/>
                <w:sz w:val="20"/>
                <w:szCs w:val="20"/>
              </w:rPr>
              <w:t>1:400</w:t>
            </w:r>
          </w:p>
        </w:tc>
      </w:tr>
    </w:tbl>
    <w:p w14:paraId="4ECCD657" w14:textId="77777777" w:rsidR="00E04B18" w:rsidRPr="008428E4" w:rsidRDefault="00E04B18" w:rsidP="00E04B18">
      <w:pPr>
        <w:spacing w:line="480" w:lineRule="auto"/>
        <w:rPr>
          <w:rFonts w:ascii="Times New Roman" w:eastAsia="楷体" w:hAnsi="Times New Roman" w:cs="Times New Roman"/>
          <w:b/>
          <w:bCs/>
          <w:sz w:val="28"/>
          <w:szCs w:val="28"/>
        </w:rPr>
      </w:pPr>
    </w:p>
    <w:p w14:paraId="77E36BE7" w14:textId="77777777" w:rsidR="00E04B18" w:rsidRDefault="00E04B18"/>
    <w:sectPr w:rsidR="00E04B18" w:rsidSect="006733A4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4797829"/>
      <w:docPartObj>
        <w:docPartGallery w:val="Page Numbers (Bottom of Page)"/>
        <w:docPartUnique/>
      </w:docPartObj>
    </w:sdtPr>
    <w:sdtContent>
      <w:p w14:paraId="2347AE09" w14:textId="77777777" w:rsidR="00000000" w:rsidRDefault="0000000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FEC4E5D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B18"/>
    <w:rsid w:val="006733A4"/>
    <w:rsid w:val="00E0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94D82"/>
  <w15:chartTrackingRefBased/>
  <w15:docId w15:val="{619A0131-83D3-407F-9EF8-5836D006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B18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04B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E04B18"/>
    <w:rPr>
      <w:sz w:val="18"/>
      <w:szCs w:val="18"/>
      <w14:ligatures w14:val="none"/>
    </w:rPr>
  </w:style>
  <w:style w:type="table" w:styleId="a5">
    <w:name w:val="Table Grid"/>
    <w:basedOn w:val="a1"/>
    <w:uiPriority w:val="39"/>
    <w:rsid w:val="00E04B18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E04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liguangyu1973@outlook.com</dc:creator>
  <cp:keywords/>
  <dc:description/>
  <cp:lastModifiedBy>liguangyu1973@outlook.com</cp:lastModifiedBy>
  <cp:revision>1</cp:revision>
  <dcterms:created xsi:type="dcterms:W3CDTF">2024-03-24T06:58:00Z</dcterms:created>
  <dcterms:modified xsi:type="dcterms:W3CDTF">2024-03-24T06:59:00Z</dcterms:modified>
</cp:coreProperties>
</file>