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829CAC" w14:textId="77777777" w:rsidR="00852870" w:rsidRDefault="00852870" w:rsidP="00852870">
      <w:pPr>
        <w:spacing w:line="360" w:lineRule="auto"/>
        <w:rPr>
          <w:rFonts w:ascii="Times New Roman" w:hAnsi="Times New Roman" w:cs="Times New Roman"/>
          <w:b/>
          <w:bCs/>
          <w:sz w:val="22"/>
        </w:rPr>
      </w:pPr>
      <w:bookmarkStart w:id="0" w:name="_GoBack"/>
      <w:bookmarkEnd w:id="0"/>
      <w:r>
        <w:rPr>
          <w:noProof/>
          <w:lang w:eastAsia="en-US"/>
        </w:rPr>
        <w:drawing>
          <wp:inline distT="0" distB="0" distL="0" distR="0" wp14:anchorId="411C7321" wp14:editId="7B79A1BC">
            <wp:extent cx="4131945" cy="8863330"/>
            <wp:effectExtent l="0" t="0" r="1905" b="0"/>
            <wp:docPr id="75026845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31945" cy="8863330"/>
                    </a:xfrm>
                    <a:prstGeom prst="rect">
                      <a:avLst/>
                    </a:prstGeom>
                    <a:noFill/>
                    <a:ln>
                      <a:noFill/>
                    </a:ln>
                  </pic:spPr>
                </pic:pic>
              </a:graphicData>
            </a:graphic>
          </wp:inline>
        </w:drawing>
      </w:r>
    </w:p>
    <w:p w14:paraId="01C156E4" w14:textId="77777777" w:rsidR="00852870" w:rsidRDefault="00852870" w:rsidP="00852870">
      <w:pPr>
        <w:spacing w:line="360" w:lineRule="auto"/>
        <w:rPr>
          <w:rFonts w:ascii="Times New Roman" w:hAnsi="Times New Roman" w:cs="Times New Roman"/>
          <w:b/>
          <w:bCs/>
          <w:sz w:val="22"/>
        </w:rPr>
      </w:pPr>
      <w:r>
        <w:rPr>
          <w:rFonts w:ascii="Times New Roman" w:hAnsi="Times New Roman" w:cs="Times New Roman"/>
          <w:b/>
          <w:bCs/>
          <w:sz w:val="22"/>
        </w:rPr>
        <w:lastRenderedPageBreak/>
        <w:t xml:space="preserve">Figure S1. </w:t>
      </w:r>
      <w:r w:rsidRPr="00382DDD">
        <w:rPr>
          <w:rFonts w:ascii="Times New Roman" w:hAnsi="Times New Roman" w:cs="Times New Roman"/>
          <w:b/>
          <w:bCs/>
          <w:sz w:val="22"/>
        </w:rPr>
        <w:t>SQLE expression correlates with the response of CRC patients to 5-FU-based chemotherapy</w:t>
      </w:r>
      <w:r>
        <w:rPr>
          <w:rFonts w:ascii="Times New Roman" w:hAnsi="Times New Roman" w:cs="Times New Roman"/>
          <w:b/>
          <w:bCs/>
          <w:sz w:val="22"/>
        </w:rPr>
        <w:t>. Related to Figure 1.</w:t>
      </w:r>
    </w:p>
    <w:p w14:paraId="712F2B96" w14:textId="02754D0F"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(A–B) TCGA RNA-sequencing data of patients with CRC were analyzed. </w:t>
      </w:r>
      <w:r w:rsidRPr="00C37DD2">
        <w:rPr>
          <w:rFonts w:ascii="Times New Roman" w:hAnsi="Times New Roman" w:cs="Times New Roman"/>
          <w:i/>
          <w:iCs/>
          <w:sz w:val="22"/>
        </w:rPr>
        <w:t>SQLE</w:t>
      </w:r>
      <w:r>
        <w:rPr>
          <w:rFonts w:ascii="Times New Roman" w:hAnsi="Times New Roman" w:cs="Times New Roman"/>
          <w:sz w:val="22"/>
        </w:rPr>
        <w:t xml:space="preserve"> mRNA levels were compared between tumors and peritumoral tissues (</w:t>
      </w:r>
      <w:r w:rsidR="003A71BF" w:rsidRPr="003A71BF">
        <w:rPr>
          <w:rFonts w:ascii="Times New Roman" w:hAnsi="Times New Roman" w:cs="Times New Roman"/>
          <w:sz w:val="22"/>
        </w:rPr>
        <w:t>Mann-Whitney test</w:t>
      </w:r>
      <w:r>
        <w:rPr>
          <w:rFonts w:ascii="Times New Roman" w:hAnsi="Times New Roman" w:cs="Times New Roman"/>
          <w:sz w:val="22"/>
        </w:rPr>
        <w:t>, two-tailed, A) or between tumors and paired peritumoral tissues (</w:t>
      </w:r>
      <w:r w:rsidR="003A71BF" w:rsidRPr="003A71BF">
        <w:rPr>
          <w:rFonts w:ascii="Times New Roman" w:hAnsi="Times New Roman" w:cs="Times New Roman"/>
          <w:sz w:val="22"/>
        </w:rPr>
        <w:t>Wilcoxon signed-rank test</w:t>
      </w:r>
      <w:r>
        <w:rPr>
          <w:rFonts w:ascii="Times New Roman" w:hAnsi="Times New Roman" w:cs="Times New Roman"/>
          <w:sz w:val="22"/>
        </w:rPr>
        <w:t>, two-tailed, B). Data represented mean</w:t>
      </w:r>
      <w:r>
        <w:rPr>
          <w:rFonts w:ascii="Times New Roman" w:hAnsi="Times New Roman" w:cs="Times New Roman" w:hint="eastAsia"/>
          <w:sz w:val="22"/>
        </w:rPr>
        <w:t>s</w:t>
      </w:r>
      <w:r>
        <w:rPr>
          <w:rFonts w:ascii="Times New Roman" w:hAnsi="Times New Roman" w:cs="Times New Roman"/>
          <w:sz w:val="22"/>
        </w:rPr>
        <w:t xml:space="preserve"> ± SD. </w:t>
      </w:r>
    </w:p>
    <w:p w14:paraId="39A813A1"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(C) IHC analyses of CRC tissues using anti-SQLE antibody were performed with or without SQLE blocking protein. </w:t>
      </w:r>
    </w:p>
    <w:p w14:paraId="0005D4E5" w14:textId="21C79CEC"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(D-E) IHC analyses of SQLE were performed in specimens of CRC patients from FUSCC.</w:t>
      </w:r>
      <w:r>
        <w:rPr>
          <w:rFonts w:ascii="Times New Roman" w:hAnsi="Times New Roman" w:cs="Times New Roman" w:hint="eastAsia"/>
          <w:sz w:val="22"/>
        </w:rPr>
        <w:t xml:space="preserve"> </w:t>
      </w:r>
      <w:r>
        <w:rPr>
          <w:rFonts w:ascii="Times New Roman" w:hAnsi="Times New Roman" w:cs="Times New Roman"/>
          <w:sz w:val="22"/>
        </w:rPr>
        <w:t>The expression of SQLE between tumors and peritumoral tissues (</w:t>
      </w:r>
      <w:r w:rsidR="00C9358A" w:rsidRPr="003A71BF">
        <w:rPr>
          <w:rFonts w:ascii="Times New Roman" w:hAnsi="Times New Roman" w:cs="Times New Roman"/>
          <w:sz w:val="22"/>
        </w:rPr>
        <w:t>Mann-Whitney test</w:t>
      </w:r>
      <w:r>
        <w:rPr>
          <w:rFonts w:ascii="Times New Roman" w:hAnsi="Times New Roman" w:cs="Times New Roman"/>
          <w:sz w:val="22"/>
        </w:rPr>
        <w:t>, two-tailed, D) or between tumors and paired peritumoral tissues (</w:t>
      </w:r>
      <w:r w:rsidR="00C9358A" w:rsidRPr="003A71BF">
        <w:rPr>
          <w:rFonts w:ascii="Times New Roman" w:hAnsi="Times New Roman" w:cs="Times New Roman"/>
          <w:sz w:val="22"/>
        </w:rPr>
        <w:t>Wilcoxon signed-rank test</w:t>
      </w:r>
      <w:r>
        <w:rPr>
          <w:rFonts w:ascii="Times New Roman" w:hAnsi="Times New Roman" w:cs="Times New Roman"/>
          <w:sz w:val="22"/>
        </w:rPr>
        <w:t>, two-tailed, E) were compared. Data represented mean</w:t>
      </w:r>
      <w:r>
        <w:rPr>
          <w:rFonts w:ascii="Times New Roman" w:hAnsi="Times New Roman" w:cs="Times New Roman" w:hint="eastAsia"/>
          <w:sz w:val="22"/>
        </w:rPr>
        <w:t>s</w:t>
      </w:r>
      <w:r>
        <w:rPr>
          <w:rFonts w:ascii="Times New Roman" w:hAnsi="Times New Roman" w:cs="Times New Roman"/>
          <w:sz w:val="22"/>
        </w:rPr>
        <w:t xml:space="preserve"> ± SD. Left, representative IHC staining images. Right, semiquantitative scoring (H score) was performed.</w:t>
      </w:r>
      <w:r>
        <w:rPr>
          <w:rFonts w:ascii="Times New Roman" w:hAnsi="Times New Roman" w:cs="Times New Roman" w:hint="eastAsia"/>
          <w:sz w:val="22"/>
        </w:rPr>
        <w:t xml:space="preserve"> </w:t>
      </w:r>
    </w:p>
    <w:p w14:paraId="7AC4FAA7"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(F) Flow chart of the CRC patients selection process in FUSCC. </w:t>
      </w:r>
    </w:p>
    <w:p w14:paraId="71D0D1FA"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(G) Comparison of different clinicopathological characteristics between low (n=74) or high (n=85) expression of SQLE groups in 159 CRC patients with the receipt of 5-FU-based chemotherapy (chi-square test). </w:t>
      </w:r>
    </w:p>
    <w:p w14:paraId="73144E71" w14:textId="77777777" w:rsidR="00852870" w:rsidRDefault="00852870" w:rsidP="00852870">
      <w:pPr>
        <w:spacing w:line="360" w:lineRule="auto"/>
        <w:rPr>
          <w:rFonts w:ascii="Times New Roman" w:hAnsi="Times New Roman" w:cs="Times New Roman"/>
          <w:sz w:val="22"/>
        </w:rPr>
      </w:pPr>
      <w:r>
        <w:rPr>
          <w:noProof/>
          <w:lang w:eastAsia="en-US"/>
        </w:rPr>
        <w:lastRenderedPageBreak/>
        <w:drawing>
          <wp:inline distT="0" distB="0" distL="0" distR="0" wp14:anchorId="043EA6F5" wp14:editId="7297A9A4">
            <wp:extent cx="4131945" cy="8863330"/>
            <wp:effectExtent l="0" t="0" r="1905" b="0"/>
            <wp:docPr id="32916055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1945" cy="8863330"/>
                    </a:xfrm>
                    <a:prstGeom prst="rect">
                      <a:avLst/>
                    </a:prstGeom>
                    <a:noFill/>
                    <a:ln>
                      <a:noFill/>
                    </a:ln>
                  </pic:spPr>
                </pic:pic>
              </a:graphicData>
            </a:graphic>
          </wp:inline>
        </w:drawing>
      </w:r>
    </w:p>
    <w:p w14:paraId="6D12312B" w14:textId="77777777" w:rsidR="00852870" w:rsidRDefault="00852870" w:rsidP="00852870">
      <w:pPr>
        <w:spacing w:line="360" w:lineRule="auto"/>
        <w:rPr>
          <w:rFonts w:ascii="Times New Roman" w:hAnsi="Times New Roman" w:cs="Times New Roman"/>
          <w:b/>
          <w:bCs/>
          <w:sz w:val="22"/>
        </w:rPr>
      </w:pPr>
      <w:r>
        <w:rPr>
          <w:rFonts w:ascii="Times New Roman" w:hAnsi="Times New Roman" w:cs="Times New Roman"/>
          <w:b/>
          <w:bCs/>
          <w:sz w:val="22"/>
        </w:rPr>
        <w:lastRenderedPageBreak/>
        <w:t>Figure S2. Inhibiton</w:t>
      </w:r>
      <w:r w:rsidRPr="00B45745">
        <w:rPr>
          <w:rFonts w:ascii="Times New Roman" w:hAnsi="Times New Roman" w:cs="Times New Roman"/>
          <w:b/>
          <w:bCs/>
          <w:sz w:val="22"/>
        </w:rPr>
        <w:t xml:space="preserve"> of SQLE enhances the sensitivity of CRC to 5-FU treatment</w:t>
      </w:r>
      <w:r>
        <w:rPr>
          <w:rFonts w:ascii="Times New Roman" w:hAnsi="Times New Roman" w:cs="Times New Roman"/>
          <w:b/>
          <w:bCs/>
          <w:sz w:val="22"/>
        </w:rPr>
        <w:t>. Related to Figure 2.</w:t>
      </w:r>
    </w:p>
    <w:p w14:paraId="6DF54304"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(A-B) </w:t>
      </w:r>
      <w:r>
        <w:rPr>
          <w:rFonts w:ascii="Times New Roman" w:hAnsi="Times New Roman" w:cs="Times New Roman" w:hint="eastAsia"/>
          <w:sz w:val="22"/>
        </w:rPr>
        <w:t>The proliferation capacity was tested</w:t>
      </w:r>
      <w:r>
        <w:rPr>
          <w:rFonts w:ascii="Times New Roman" w:hAnsi="Times New Roman" w:cs="Times New Roman"/>
          <w:sz w:val="22"/>
        </w:rPr>
        <w:t xml:space="preserve"> in RKO (A) and WiDr (B) cells with or without the treatment of NB-598 (1 μM, </w:t>
      </w:r>
      <w:r>
        <w:rPr>
          <w:rFonts w:ascii="Times New Roman" w:hAnsi="Times New Roman" w:cs="Times New Roman" w:hint="eastAsia"/>
          <w:sz w:val="22"/>
        </w:rPr>
        <w:t>72 h</w:t>
      </w:r>
      <w:r>
        <w:rPr>
          <w:rFonts w:ascii="Times New Roman" w:hAnsi="Times New Roman" w:cs="Times New Roman"/>
          <w:sz w:val="22"/>
        </w:rPr>
        <w:t>) and with the treatment of gradient concentration of 5-FU (0-115.2 μM) for 48 hours.</w:t>
      </w:r>
    </w:p>
    <w:p w14:paraId="7518EF27" w14:textId="77777777" w:rsidR="00852870" w:rsidRDefault="00852870" w:rsidP="00852870">
      <w:pPr>
        <w:spacing w:line="360" w:lineRule="auto"/>
        <w:rPr>
          <w:rFonts w:ascii="Times New Roman" w:hAnsi="Times New Roman" w:cs="Times New Roman"/>
          <w:sz w:val="22"/>
        </w:rPr>
      </w:pPr>
      <w:r>
        <w:rPr>
          <w:noProof/>
          <w:lang w:eastAsia="en-US"/>
        </w:rPr>
        <w:lastRenderedPageBreak/>
        <w:drawing>
          <wp:inline distT="0" distB="0" distL="0" distR="0" wp14:anchorId="3F53F1F6" wp14:editId="12764E1A">
            <wp:extent cx="4131945" cy="8863330"/>
            <wp:effectExtent l="0" t="0" r="1905" b="0"/>
            <wp:docPr id="167788910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1945" cy="8863330"/>
                    </a:xfrm>
                    <a:prstGeom prst="rect">
                      <a:avLst/>
                    </a:prstGeom>
                    <a:noFill/>
                    <a:ln>
                      <a:noFill/>
                    </a:ln>
                  </pic:spPr>
                </pic:pic>
              </a:graphicData>
            </a:graphic>
          </wp:inline>
        </w:drawing>
      </w:r>
    </w:p>
    <w:p w14:paraId="589BB15D"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b/>
          <w:bCs/>
          <w:sz w:val="22"/>
        </w:rPr>
        <w:lastRenderedPageBreak/>
        <w:t xml:space="preserve">Figure S3. </w:t>
      </w:r>
      <w:r w:rsidRPr="00B45745">
        <w:rPr>
          <w:rFonts w:ascii="Times New Roman" w:hAnsi="Times New Roman" w:cs="Times New Roman"/>
          <w:b/>
          <w:bCs/>
          <w:sz w:val="22"/>
        </w:rPr>
        <w:t>SQLE enhance</w:t>
      </w:r>
      <w:r>
        <w:rPr>
          <w:rFonts w:ascii="Times New Roman" w:hAnsi="Times New Roman" w:cs="Times New Roman"/>
          <w:b/>
          <w:bCs/>
          <w:sz w:val="22"/>
        </w:rPr>
        <w:t>s</w:t>
      </w:r>
      <w:r w:rsidRPr="00B45745">
        <w:rPr>
          <w:rFonts w:ascii="Times New Roman" w:hAnsi="Times New Roman" w:cs="Times New Roman"/>
          <w:b/>
          <w:bCs/>
          <w:sz w:val="22"/>
        </w:rPr>
        <w:t xml:space="preserve"> 5-FU resistance of CRC by upregulating BIRC3 expression</w:t>
      </w:r>
      <w:r>
        <w:rPr>
          <w:rFonts w:ascii="Times New Roman" w:hAnsi="Times New Roman" w:cs="Times New Roman"/>
          <w:b/>
          <w:bCs/>
          <w:sz w:val="22"/>
        </w:rPr>
        <w:t>. Related to Figure 3.</w:t>
      </w:r>
    </w:p>
    <w:p w14:paraId="67F022E9"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(A) Volcano plot of the RNA-sequencing data analysis. The horizontal axis represented the multiple values of gene expression difference between the two samples (log2FoldChange), and the vertical axis indicated the significant level</w:t>
      </w:r>
      <w:r>
        <w:rPr>
          <w:rFonts w:ascii="Times New Roman" w:hAnsi="Times New Roman" w:cs="Times New Roman" w:hint="eastAsia"/>
          <w:sz w:val="22"/>
        </w:rPr>
        <w:t>s</w:t>
      </w:r>
      <w:r>
        <w:rPr>
          <w:rFonts w:ascii="Times New Roman" w:hAnsi="Times New Roman" w:cs="Times New Roman"/>
          <w:sz w:val="22"/>
        </w:rPr>
        <w:t xml:space="preserve"> of different gene expression (- log10padj). The up-regulated genes were represented by red dots, the down-regulated genes were represented by green dots, and the genes with no significant changes were represented by blue dots. </w:t>
      </w:r>
    </w:p>
    <w:p w14:paraId="02783497"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(B) Differential gene heat map analysis, also known as differential gene cluster analysis. Heat map color represented the level of gene expression. The horizontal axis represented the clustering results of samples before and after knockdown of SQLE, and the vertical axis represented the clustering results of different genes. In the heat map, red and blue indicated high and low expression of different genes, respectively.</w:t>
      </w:r>
    </w:p>
    <w:p w14:paraId="58864691" w14:textId="77777777" w:rsidR="00852870" w:rsidRDefault="00852870" w:rsidP="00852870">
      <w:pPr>
        <w:spacing w:line="360" w:lineRule="auto"/>
        <w:rPr>
          <w:rFonts w:ascii="Times New Roman" w:hAnsi="Times New Roman" w:cs="Times New Roman"/>
          <w:sz w:val="22"/>
        </w:rPr>
      </w:pPr>
      <w:r>
        <w:rPr>
          <w:noProof/>
          <w:lang w:eastAsia="en-US"/>
        </w:rPr>
        <w:lastRenderedPageBreak/>
        <w:drawing>
          <wp:inline distT="0" distB="0" distL="0" distR="0" wp14:anchorId="5F9EE5DA" wp14:editId="6DE4D50D">
            <wp:extent cx="4131945" cy="8863330"/>
            <wp:effectExtent l="0" t="0" r="1905" b="0"/>
            <wp:docPr id="149369118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31945" cy="8863330"/>
                    </a:xfrm>
                    <a:prstGeom prst="rect">
                      <a:avLst/>
                    </a:prstGeom>
                    <a:noFill/>
                    <a:ln>
                      <a:noFill/>
                    </a:ln>
                  </pic:spPr>
                </pic:pic>
              </a:graphicData>
            </a:graphic>
          </wp:inline>
        </w:drawing>
      </w:r>
    </w:p>
    <w:p w14:paraId="324E0DFB"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b/>
          <w:bCs/>
          <w:sz w:val="22"/>
        </w:rPr>
        <w:lastRenderedPageBreak/>
        <w:t xml:space="preserve">Figure S4. </w:t>
      </w:r>
      <w:r w:rsidRPr="00F90835">
        <w:rPr>
          <w:rFonts w:ascii="Times New Roman" w:hAnsi="Times New Roman" w:cs="Times New Roman"/>
          <w:b/>
          <w:bCs/>
          <w:sz w:val="22"/>
        </w:rPr>
        <w:t>SQLE activates NF-κB pathway to upregulate BIRC3 and enhance 5-FU resistance of CRC</w:t>
      </w:r>
      <w:r>
        <w:rPr>
          <w:rFonts w:ascii="Times New Roman" w:hAnsi="Times New Roman" w:cs="Times New Roman"/>
          <w:b/>
          <w:bCs/>
          <w:sz w:val="22"/>
        </w:rPr>
        <w:t>. Related to Figure 4.</w:t>
      </w:r>
    </w:p>
    <w:p w14:paraId="777B36D7"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(A) RKO cells were depleted of endogenous SQLE and overexpressed </w:t>
      </w:r>
      <w:r>
        <w:rPr>
          <w:rFonts w:ascii="Times New Roman" w:hAnsi="Times New Roman" w:cs="Times New Roman" w:hint="eastAsia"/>
          <w:sz w:val="22"/>
        </w:rPr>
        <w:t>with</w:t>
      </w:r>
      <w:r>
        <w:rPr>
          <w:rFonts w:ascii="Times New Roman" w:hAnsi="Times New Roman" w:cs="Times New Roman"/>
          <w:sz w:val="22"/>
        </w:rPr>
        <w:t xml:space="preserve"> HA-RelA. These cells were subcutaneously injected into randomized athymic nude mice (5 mice per group) with or without the treatment of 5-FU (40 mg, twice/week, 2 weeks). 23 days after the injection, 23 days after the injection, tumors were dissected for weight measurement and</w:t>
      </w:r>
      <w:r w:rsidRPr="007355EF">
        <w:rPr>
          <w:rFonts w:ascii="Times New Roman" w:hAnsi="Times New Roman" w:cs="Times New Roman"/>
          <w:sz w:val="22"/>
        </w:rPr>
        <w:t xml:space="preserve"> </w:t>
      </w:r>
      <w:r>
        <w:rPr>
          <w:rFonts w:ascii="Times New Roman" w:hAnsi="Times New Roman" w:cs="Times New Roman"/>
          <w:sz w:val="22"/>
        </w:rPr>
        <w:t>HE staining. Quantitative analyses of dissected tumor weight were performed (left panel), and representative images of HE staining of dissected tumors were shown (right panel). Data represented the means ± SD of 5 mice (unpaired Student’s t test, two-tailed). (NS, not significant; **p &lt; 0.01).</w:t>
      </w:r>
    </w:p>
    <w:p w14:paraId="4CF3BC15" w14:textId="77777777" w:rsidR="00852870" w:rsidRDefault="00852870" w:rsidP="00852870">
      <w:pPr>
        <w:spacing w:line="360" w:lineRule="auto"/>
        <w:rPr>
          <w:rFonts w:ascii="Times New Roman" w:hAnsi="Times New Roman" w:cs="Times New Roman"/>
          <w:sz w:val="22"/>
        </w:rPr>
      </w:pPr>
      <w:r>
        <w:rPr>
          <w:rFonts w:ascii="Times New Roman" w:hAnsi="Times New Roman" w:cs="Times New Roman"/>
          <w:sz w:val="22"/>
        </w:rPr>
        <w:t xml:space="preserve">(B) Immunoblotting analyses were performed in RKO and WiDr cells treated with or without NB-598 for </w:t>
      </w:r>
      <w:r>
        <w:rPr>
          <w:rFonts w:ascii="Times New Roman" w:hAnsi="Times New Roman" w:cs="Times New Roman" w:hint="eastAsia"/>
          <w:sz w:val="22"/>
        </w:rPr>
        <w:t>48 h</w:t>
      </w:r>
      <w:r>
        <w:rPr>
          <w:rFonts w:ascii="Times New Roman" w:hAnsi="Times New Roman" w:cs="Times New Roman"/>
          <w:sz w:val="22"/>
        </w:rPr>
        <w:t xml:space="preserve"> and treated with CHX (25 </w:t>
      </w:r>
      <w:r>
        <w:rPr>
          <w:rFonts w:ascii="Times New Roman" w:hAnsi="Times New Roman" w:cs="Times New Roman" w:hint="eastAsia"/>
          <w:sz w:val="22"/>
        </w:rPr>
        <w:t>μ</w:t>
      </w:r>
      <w:r>
        <w:rPr>
          <w:rFonts w:ascii="Times New Roman" w:hAnsi="Times New Roman" w:cs="Times New Roman"/>
          <w:sz w:val="22"/>
        </w:rPr>
        <w:t xml:space="preserve">g/mL) for 0, 12, 18, and </w:t>
      </w:r>
      <w:r>
        <w:rPr>
          <w:rFonts w:ascii="Times New Roman" w:hAnsi="Times New Roman" w:cs="Times New Roman" w:hint="eastAsia"/>
          <w:sz w:val="22"/>
        </w:rPr>
        <w:t>24 h</w:t>
      </w:r>
      <w:r>
        <w:rPr>
          <w:rFonts w:ascii="Times New Roman" w:hAnsi="Times New Roman" w:cs="Times New Roman"/>
          <w:sz w:val="22"/>
        </w:rPr>
        <w:t xml:space="preserve">. </w:t>
      </w:r>
    </w:p>
    <w:p w14:paraId="3D8353B6" w14:textId="77777777" w:rsidR="00852870" w:rsidRDefault="00852870" w:rsidP="00852870">
      <w:pPr>
        <w:spacing w:line="360" w:lineRule="auto"/>
        <w:rPr>
          <w:rFonts w:ascii="Times New Roman" w:hAnsi="Times New Roman" w:cs="Times New Roman"/>
          <w:sz w:val="22"/>
        </w:rPr>
      </w:pPr>
    </w:p>
    <w:p w14:paraId="722F3E09" w14:textId="77777777" w:rsidR="00852870" w:rsidRDefault="00852870" w:rsidP="00852870">
      <w:pPr>
        <w:spacing w:line="360" w:lineRule="auto"/>
        <w:rPr>
          <w:rFonts w:ascii="Times New Roman" w:hAnsi="Times New Roman" w:cs="Times New Roman"/>
          <w:sz w:val="22"/>
        </w:rPr>
      </w:pPr>
    </w:p>
    <w:p w14:paraId="196BE611" w14:textId="77777777" w:rsidR="00852870" w:rsidRDefault="00852870" w:rsidP="00852870">
      <w:pPr>
        <w:spacing w:line="360" w:lineRule="auto"/>
        <w:rPr>
          <w:rFonts w:ascii="Times New Roman" w:hAnsi="Times New Roman" w:cs="Times New Roman"/>
          <w:sz w:val="22"/>
        </w:rPr>
      </w:pPr>
    </w:p>
    <w:p w14:paraId="5B65EB52" w14:textId="77777777" w:rsidR="00852870" w:rsidRDefault="00852870" w:rsidP="00852870">
      <w:pPr>
        <w:spacing w:line="360" w:lineRule="auto"/>
        <w:rPr>
          <w:rFonts w:ascii="Times New Roman" w:hAnsi="Times New Roman" w:cs="Times New Roman"/>
          <w:sz w:val="22"/>
        </w:rPr>
      </w:pPr>
    </w:p>
    <w:p w14:paraId="70019E20" w14:textId="77777777" w:rsidR="00852870" w:rsidRDefault="00852870" w:rsidP="00852870">
      <w:pPr>
        <w:spacing w:line="360" w:lineRule="auto"/>
        <w:rPr>
          <w:rFonts w:ascii="Times New Roman" w:hAnsi="Times New Roman" w:cs="Times New Roman"/>
          <w:sz w:val="22"/>
        </w:rPr>
      </w:pPr>
    </w:p>
    <w:p w14:paraId="091C1CB4" w14:textId="77777777" w:rsidR="00852870" w:rsidRDefault="00852870" w:rsidP="00852870">
      <w:pPr>
        <w:spacing w:line="360" w:lineRule="auto"/>
        <w:rPr>
          <w:rFonts w:ascii="Times New Roman" w:hAnsi="Times New Roman" w:cs="Times New Roman"/>
          <w:sz w:val="22"/>
        </w:rPr>
      </w:pPr>
    </w:p>
    <w:p w14:paraId="1685C83C" w14:textId="77777777" w:rsidR="00852870" w:rsidRDefault="00852870" w:rsidP="00852870">
      <w:pPr>
        <w:spacing w:line="360" w:lineRule="auto"/>
        <w:rPr>
          <w:rFonts w:ascii="Times New Roman" w:hAnsi="Times New Roman" w:cs="Times New Roman"/>
          <w:sz w:val="22"/>
        </w:rPr>
      </w:pPr>
    </w:p>
    <w:p w14:paraId="255F6B08" w14:textId="77777777" w:rsidR="00852870" w:rsidRDefault="00852870" w:rsidP="00852870">
      <w:pPr>
        <w:spacing w:line="360" w:lineRule="auto"/>
        <w:rPr>
          <w:rFonts w:ascii="Times New Roman" w:hAnsi="Times New Roman" w:cs="Times New Roman"/>
          <w:sz w:val="22"/>
        </w:rPr>
      </w:pPr>
    </w:p>
    <w:p w14:paraId="5899E573" w14:textId="77777777" w:rsidR="00852870" w:rsidRDefault="00852870" w:rsidP="00852870">
      <w:pPr>
        <w:spacing w:line="360" w:lineRule="auto"/>
        <w:rPr>
          <w:rFonts w:ascii="Times New Roman" w:hAnsi="Times New Roman" w:cs="Times New Roman"/>
          <w:sz w:val="22"/>
        </w:rPr>
      </w:pPr>
    </w:p>
    <w:p w14:paraId="23045AED" w14:textId="77777777" w:rsidR="00852870" w:rsidRDefault="00852870" w:rsidP="00852870">
      <w:pPr>
        <w:spacing w:line="360" w:lineRule="auto"/>
        <w:rPr>
          <w:rFonts w:ascii="Times New Roman" w:hAnsi="Times New Roman" w:cs="Times New Roman"/>
          <w:sz w:val="22"/>
        </w:rPr>
      </w:pPr>
    </w:p>
    <w:p w14:paraId="7920EA05" w14:textId="77777777" w:rsidR="00852870" w:rsidRDefault="00852870" w:rsidP="00852870">
      <w:pPr>
        <w:spacing w:line="360" w:lineRule="auto"/>
        <w:rPr>
          <w:rFonts w:ascii="Times New Roman" w:hAnsi="Times New Roman" w:cs="Times New Roman"/>
          <w:sz w:val="22"/>
        </w:rPr>
      </w:pPr>
    </w:p>
    <w:p w14:paraId="7EBEBD4B" w14:textId="77777777" w:rsidR="00852870" w:rsidRDefault="00852870" w:rsidP="00852870">
      <w:pPr>
        <w:spacing w:line="360" w:lineRule="auto"/>
        <w:rPr>
          <w:rFonts w:ascii="Times New Roman" w:hAnsi="Times New Roman" w:cs="Times New Roman"/>
          <w:sz w:val="22"/>
        </w:rPr>
      </w:pPr>
    </w:p>
    <w:p w14:paraId="7670F3A2" w14:textId="77777777" w:rsidR="00852870" w:rsidRDefault="00852870" w:rsidP="00852870">
      <w:pPr>
        <w:spacing w:line="360" w:lineRule="auto"/>
        <w:rPr>
          <w:rFonts w:ascii="Times New Roman" w:hAnsi="Times New Roman" w:cs="Times New Roman"/>
          <w:sz w:val="22"/>
        </w:rPr>
      </w:pPr>
    </w:p>
    <w:p w14:paraId="663F84C3" w14:textId="77777777" w:rsidR="00852870" w:rsidRDefault="00852870" w:rsidP="00852870">
      <w:pPr>
        <w:spacing w:line="360" w:lineRule="auto"/>
        <w:rPr>
          <w:rFonts w:ascii="Times New Roman" w:hAnsi="Times New Roman" w:cs="Times New Roman"/>
          <w:sz w:val="22"/>
        </w:rPr>
      </w:pPr>
    </w:p>
    <w:p w14:paraId="2DD510DF" w14:textId="77777777" w:rsidR="00852870" w:rsidRDefault="00852870" w:rsidP="00852870">
      <w:pPr>
        <w:spacing w:line="360" w:lineRule="auto"/>
        <w:rPr>
          <w:rFonts w:ascii="Times New Roman" w:hAnsi="Times New Roman" w:cs="Times New Roman"/>
          <w:sz w:val="22"/>
        </w:rPr>
      </w:pPr>
    </w:p>
    <w:p w14:paraId="61F5014B" w14:textId="77777777" w:rsidR="00852870" w:rsidRDefault="00852870" w:rsidP="00852870">
      <w:pPr>
        <w:spacing w:line="360" w:lineRule="auto"/>
        <w:rPr>
          <w:rFonts w:ascii="Times New Roman" w:hAnsi="Times New Roman" w:cs="Times New Roman"/>
          <w:sz w:val="22"/>
        </w:rPr>
      </w:pPr>
    </w:p>
    <w:p w14:paraId="0F3F82A0" w14:textId="77777777" w:rsidR="00852870" w:rsidRDefault="00852870" w:rsidP="00852870">
      <w:pPr>
        <w:spacing w:line="360" w:lineRule="auto"/>
        <w:rPr>
          <w:rFonts w:ascii="Times New Roman" w:hAnsi="Times New Roman" w:cs="Times New Roman"/>
          <w:sz w:val="22"/>
        </w:rPr>
      </w:pPr>
    </w:p>
    <w:p w14:paraId="1282E894" w14:textId="77777777" w:rsidR="00852870" w:rsidRDefault="00852870" w:rsidP="00852870">
      <w:pPr>
        <w:spacing w:line="360" w:lineRule="auto"/>
        <w:rPr>
          <w:rFonts w:ascii="Times New Roman" w:hAnsi="Times New Roman" w:cs="Times New Roman"/>
          <w:sz w:val="22"/>
        </w:rPr>
      </w:pPr>
    </w:p>
    <w:p w14:paraId="43212EF0" w14:textId="77777777" w:rsidR="00852870" w:rsidRDefault="00852870" w:rsidP="00852870">
      <w:pPr>
        <w:spacing w:line="360" w:lineRule="auto"/>
        <w:rPr>
          <w:rFonts w:ascii="Times New Roman" w:hAnsi="Times New Roman" w:cs="Times New Roman"/>
          <w:sz w:val="22"/>
        </w:rPr>
      </w:pPr>
    </w:p>
    <w:p w14:paraId="6B12775D" w14:textId="77777777" w:rsidR="00852870" w:rsidRDefault="00852870" w:rsidP="00852870">
      <w:pPr>
        <w:jc w:val="left"/>
        <w:rPr>
          <w:b/>
          <w:bCs/>
        </w:rPr>
      </w:pPr>
      <w:r w:rsidRPr="0076035C">
        <w:rPr>
          <w:b/>
          <w:bCs/>
        </w:rPr>
        <w:t>SUPPLEMENTAL TABLE</w:t>
      </w:r>
    </w:p>
    <w:p w14:paraId="3E7A243F" w14:textId="77777777" w:rsidR="00852870" w:rsidRPr="00907E3B" w:rsidRDefault="00852870" w:rsidP="00852870">
      <w:pPr>
        <w:jc w:val="left"/>
        <w:rPr>
          <w:b/>
          <w:bCs/>
        </w:rPr>
      </w:pPr>
      <w:r w:rsidRPr="00907E3B">
        <w:rPr>
          <w:b/>
          <w:bCs/>
        </w:rPr>
        <w:t>List of antibodies</w:t>
      </w:r>
      <w:r>
        <w:rPr>
          <w:b/>
          <w:bCs/>
        </w:rPr>
        <w:t>.</w:t>
      </w:r>
    </w:p>
    <w:tbl>
      <w:tblPr>
        <w:tblStyle w:val="TableGrid"/>
        <w:tblW w:w="0" w:type="auto"/>
        <w:jc w:val="center"/>
        <w:tblLook w:val="04A0" w:firstRow="1" w:lastRow="0" w:firstColumn="1" w:lastColumn="0" w:noHBand="0" w:noVBand="1"/>
      </w:tblPr>
      <w:tblGrid>
        <w:gridCol w:w="4177"/>
        <w:gridCol w:w="1744"/>
        <w:gridCol w:w="2385"/>
      </w:tblGrid>
      <w:tr w:rsidR="00852870" w:rsidRPr="003337B3" w14:paraId="0E3DCB3F" w14:textId="77777777" w:rsidTr="000D059D">
        <w:trPr>
          <w:jc w:val="center"/>
        </w:trPr>
        <w:tc>
          <w:tcPr>
            <w:tcW w:w="4177" w:type="dxa"/>
            <w:tcBorders>
              <w:top w:val="single" w:sz="18" w:space="0" w:color="auto"/>
              <w:left w:val="nil"/>
              <w:bottom w:val="single" w:sz="18" w:space="0" w:color="auto"/>
              <w:right w:val="nil"/>
            </w:tcBorders>
          </w:tcPr>
          <w:p w14:paraId="6ECD494B" w14:textId="77777777" w:rsidR="00852870" w:rsidRPr="00907E3B" w:rsidRDefault="00852870" w:rsidP="000D059D">
            <w:pPr>
              <w:spacing w:line="400" w:lineRule="exact"/>
              <w:rPr>
                <w:rFonts w:ascii="SimSun" w:eastAsia="SimSun" w:hAnsi="SimSun"/>
                <w:b/>
                <w:bCs/>
                <w:sz w:val="24"/>
                <w:szCs w:val="24"/>
              </w:rPr>
            </w:pPr>
            <w:r w:rsidRPr="00907E3B">
              <w:rPr>
                <w:rFonts w:ascii="SimSun" w:eastAsia="SimSun" w:hAnsi="SimSun"/>
                <w:b/>
                <w:bCs/>
                <w:sz w:val="24"/>
                <w:szCs w:val="24"/>
              </w:rPr>
              <w:t>Antibodies</w:t>
            </w:r>
          </w:p>
        </w:tc>
        <w:tc>
          <w:tcPr>
            <w:tcW w:w="1744" w:type="dxa"/>
            <w:tcBorders>
              <w:top w:val="single" w:sz="18" w:space="0" w:color="auto"/>
              <w:left w:val="nil"/>
              <w:bottom w:val="single" w:sz="18" w:space="0" w:color="auto"/>
              <w:right w:val="nil"/>
            </w:tcBorders>
          </w:tcPr>
          <w:p w14:paraId="5481BC3A" w14:textId="77777777" w:rsidR="00852870" w:rsidRPr="00907E3B" w:rsidRDefault="00852870" w:rsidP="000D059D">
            <w:pPr>
              <w:spacing w:line="400" w:lineRule="exact"/>
              <w:rPr>
                <w:rFonts w:ascii="SimSun" w:eastAsia="SimSun" w:hAnsi="SimSun"/>
                <w:b/>
                <w:bCs/>
                <w:sz w:val="24"/>
                <w:szCs w:val="24"/>
              </w:rPr>
            </w:pPr>
            <w:r w:rsidRPr="00907E3B">
              <w:rPr>
                <w:rFonts w:ascii="SimSun" w:eastAsia="SimSun" w:hAnsi="SimSun"/>
                <w:b/>
                <w:bCs/>
                <w:sz w:val="24"/>
                <w:szCs w:val="24"/>
              </w:rPr>
              <w:t>Cat. Number</w:t>
            </w:r>
          </w:p>
        </w:tc>
        <w:tc>
          <w:tcPr>
            <w:tcW w:w="2385" w:type="dxa"/>
            <w:tcBorders>
              <w:top w:val="single" w:sz="18" w:space="0" w:color="auto"/>
              <w:left w:val="nil"/>
              <w:bottom w:val="single" w:sz="18" w:space="0" w:color="auto"/>
              <w:right w:val="nil"/>
            </w:tcBorders>
          </w:tcPr>
          <w:p w14:paraId="101EF230" w14:textId="77777777" w:rsidR="00852870" w:rsidRPr="00907E3B" w:rsidRDefault="00852870" w:rsidP="000D059D">
            <w:pPr>
              <w:spacing w:line="400" w:lineRule="exact"/>
              <w:rPr>
                <w:rFonts w:ascii="SimSun" w:eastAsia="SimSun" w:hAnsi="SimSun"/>
                <w:b/>
                <w:bCs/>
                <w:sz w:val="24"/>
                <w:szCs w:val="24"/>
              </w:rPr>
            </w:pPr>
            <w:r w:rsidRPr="00907E3B">
              <w:rPr>
                <w:rFonts w:ascii="SimSun" w:eastAsia="SimSun" w:hAnsi="SimSun"/>
                <w:b/>
                <w:bCs/>
                <w:sz w:val="24"/>
                <w:szCs w:val="24"/>
              </w:rPr>
              <w:t>Company</w:t>
            </w:r>
          </w:p>
        </w:tc>
      </w:tr>
      <w:tr w:rsidR="00852870" w:rsidRPr="00907E3B" w14:paraId="1C8128BC" w14:textId="77777777" w:rsidTr="000D059D">
        <w:trPr>
          <w:jc w:val="center"/>
        </w:trPr>
        <w:tc>
          <w:tcPr>
            <w:tcW w:w="4177" w:type="dxa"/>
            <w:tcBorders>
              <w:top w:val="single" w:sz="18" w:space="0" w:color="auto"/>
              <w:left w:val="nil"/>
              <w:bottom w:val="nil"/>
              <w:right w:val="nil"/>
            </w:tcBorders>
          </w:tcPr>
          <w:p w14:paraId="73AADF04"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anti-Flag</w:t>
            </w:r>
          </w:p>
        </w:tc>
        <w:tc>
          <w:tcPr>
            <w:tcW w:w="1744" w:type="dxa"/>
            <w:tcBorders>
              <w:top w:val="single" w:sz="18" w:space="0" w:color="auto"/>
              <w:left w:val="nil"/>
              <w:bottom w:val="nil"/>
              <w:right w:val="nil"/>
            </w:tcBorders>
          </w:tcPr>
          <w:p w14:paraId="7D3A7FF4" w14:textId="77777777" w:rsidR="00852870" w:rsidRPr="00907E3B" w:rsidRDefault="00852870" w:rsidP="000D059D">
            <w:pPr>
              <w:tabs>
                <w:tab w:val="left" w:pos="857"/>
              </w:tabs>
              <w:spacing w:line="400" w:lineRule="exact"/>
              <w:rPr>
                <w:rFonts w:ascii="Times New Roman" w:eastAsia="SimSun" w:hAnsi="Times New Roman" w:cs="Times New Roman"/>
                <w:sz w:val="24"/>
                <w:szCs w:val="24"/>
              </w:rPr>
            </w:pPr>
            <w:bookmarkStart w:id="1" w:name="OLE_LINK18"/>
            <w:r w:rsidRPr="00907E3B">
              <w:rPr>
                <w:rFonts w:ascii="Times New Roman" w:eastAsia="SimSun" w:hAnsi="Times New Roman" w:cs="Times New Roman"/>
                <w:sz w:val="24"/>
                <w:szCs w:val="24"/>
              </w:rPr>
              <w:t>F1804</w:t>
            </w:r>
            <w:bookmarkEnd w:id="1"/>
          </w:p>
        </w:tc>
        <w:tc>
          <w:tcPr>
            <w:tcW w:w="2385" w:type="dxa"/>
            <w:tcBorders>
              <w:top w:val="single" w:sz="18" w:space="0" w:color="auto"/>
              <w:left w:val="nil"/>
              <w:bottom w:val="nil"/>
              <w:right w:val="nil"/>
            </w:tcBorders>
          </w:tcPr>
          <w:p w14:paraId="484BBC3C" w14:textId="77777777" w:rsidR="00852870" w:rsidRPr="00907E3B" w:rsidRDefault="00852870" w:rsidP="000D059D">
            <w:pPr>
              <w:tabs>
                <w:tab w:val="left" w:pos="857"/>
              </w:tabs>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Sigma </w:t>
            </w:r>
          </w:p>
        </w:tc>
      </w:tr>
      <w:tr w:rsidR="00852870" w:rsidRPr="00907E3B" w14:paraId="2BB230DE" w14:textId="77777777" w:rsidTr="000D059D">
        <w:trPr>
          <w:jc w:val="center"/>
        </w:trPr>
        <w:tc>
          <w:tcPr>
            <w:tcW w:w="4177" w:type="dxa"/>
            <w:tcBorders>
              <w:top w:val="nil"/>
              <w:left w:val="nil"/>
              <w:bottom w:val="nil"/>
              <w:right w:val="nil"/>
            </w:tcBorders>
          </w:tcPr>
          <w:p w14:paraId="22046D18"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anti-HA</w:t>
            </w:r>
          </w:p>
        </w:tc>
        <w:tc>
          <w:tcPr>
            <w:tcW w:w="1744" w:type="dxa"/>
            <w:tcBorders>
              <w:top w:val="nil"/>
              <w:left w:val="nil"/>
              <w:bottom w:val="nil"/>
              <w:right w:val="nil"/>
            </w:tcBorders>
          </w:tcPr>
          <w:p w14:paraId="1ED9FF6C"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3724</w:t>
            </w:r>
          </w:p>
        </w:tc>
        <w:tc>
          <w:tcPr>
            <w:tcW w:w="2385" w:type="dxa"/>
            <w:tcBorders>
              <w:top w:val="nil"/>
              <w:left w:val="nil"/>
              <w:bottom w:val="nil"/>
              <w:right w:val="nil"/>
            </w:tcBorders>
          </w:tcPr>
          <w:p w14:paraId="2C289393"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CST </w:t>
            </w:r>
          </w:p>
        </w:tc>
      </w:tr>
      <w:tr w:rsidR="00852870" w:rsidRPr="00907E3B" w14:paraId="6AAEA022" w14:textId="77777777" w:rsidTr="000D059D">
        <w:trPr>
          <w:jc w:val="center"/>
        </w:trPr>
        <w:tc>
          <w:tcPr>
            <w:tcW w:w="4177" w:type="dxa"/>
            <w:tcBorders>
              <w:top w:val="nil"/>
              <w:left w:val="nil"/>
              <w:bottom w:val="nil"/>
              <w:right w:val="nil"/>
            </w:tcBorders>
          </w:tcPr>
          <w:p w14:paraId="6E096C8B"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anti-Tubulin</w:t>
            </w:r>
          </w:p>
        </w:tc>
        <w:tc>
          <w:tcPr>
            <w:tcW w:w="1744" w:type="dxa"/>
            <w:tcBorders>
              <w:top w:val="nil"/>
              <w:left w:val="nil"/>
              <w:bottom w:val="nil"/>
              <w:right w:val="nil"/>
            </w:tcBorders>
          </w:tcPr>
          <w:p w14:paraId="7A95FDAA"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sc-23948</w:t>
            </w:r>
          </w:p>
        </w:tc>
        <w:tc>
          <w:tcPr>
            <w:tcW w:w="2385" w:type="dxa"/>
            <w:tcBorders>
              <w:top w:val="nil"/>
              <w:left w:val="nil"/>
              <w:bottom w:val="nil"/>
              <w:right w:val="nil"/>
            </w:tcBorders>
          </w:tcPr>
          <w:p w14:paraId="6731559F"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Santa Cruz </w:t>
            </w:r>
          </w:p>
        </w:tc>
      </w:tr>
      <w:tr w:rsidR="00852870" w:rsidRPr="00907E3B" w14:paraId="137B8CC6" w14:textId="77777777" w:rsidTr="000D059D">
        <w:trPr>
          <w:jc w:val="center"/>
        </w:trPr>
        <w:tc>
          <w:tcPr>
            <w:tcW w:w="4177" w:type="dxa"/>
            <w:tcBorders>
              <w:top w:val="nil"/>
              <w:left w:val="nil"/>
              <w:bottom w:val="nil"/>
              <w:right w:val="nil"/>
            </w:tcBorders>
          </w:tcPr>
          <w:p w14:paraId="48421D5B"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BetaActinMouseMonoclonalAntibody</w:t>
            </w:r>
          </w:p>
        </w:tc>
        <w:tc>
          <w:tcPr>
            <w:tcW w:w="1744" w:type="dxa"/>
            <w:tcBorders>
              <w:top w:val="nil"/>
              <w:left w:val="nil"/>
              <w:bottom w:val="nil"/>
              <w:right w:val="nil"/>
            </w:tcBorders>
          </w:tcPr>
          <w:p w14:paraId="2B6D0034"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66009-1-Ig</w:t>
            </w:r>
          </w:p>
        </w:tc>
        <w:tc>
          <w:tcPr>
            <w:tcW w:w="2385" w:type="dxa"/>
            <w:tcBorders>
              <w:top w:val="nil"/>
              <w:left w:val="nil"/>
              <w:bottom w:val="nil"/>
              <w:right w:val="nil"/>
            </w:tcBorders>
          </w:tcPr>
          <w:p w14:paraId="0FADA40F"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Proteintech </w:t>
            </w:r>
          </w:p>
        </w:tc>
      </w:tr>
      <w:tr w:rsidR="00852870" w:rsidRPr="00907E3B" w14:paraId="4C986FF8" w14:textId="77777777" w:rsidTr="000D059D">
        <w:trPr>
          <w:jc w:val="center"/>
        </w:trPr>
        <w:tc>
          <w:tcPr>
            <w:tcW w:w="4177" w:type="dxa"/>
            <w:tcBorders>
              <w:top w:val="nil"/>
              <w:left w:val="nil"/>
              <w:bottom w:val="nil"/>
              <w:right w:val="nil"/>
            </w:tcBorders>
          </w:tcPr>
          <w:p w14:paraId="05D439B0"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anti-IKBKB</w:t>
            </w:r>
          </w:p>
        </w:tc>
        <w:tc>
          <w:tcPr>
            <w:tcW w:w="1744" w:type="dxa"/>
            <w:tcBorders>
              <w:top w:val="nil"/>
              <w:left w:val="nil"/>
              <w:bottom w:val="nil"/>
              <w:right w:val="nil"/>
            </w:tcBorders>
          </w:tcPr>
          <w:p w14:paraId="39B5B96E"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15649-1-AP</w:t>
            </w:r>
          </w:p>
        </w:tc>
        <w:tc>
          <w:tcPr>
            <w:tcW w:w="2385" w:type="dxa"/>
            <w:tcBorders>
              <w:top w:val="nil"/>
              <w:left w:val="nil"/>
              <w:bottom w:val="nil"/>
              <w:right w:val="nil"/>
            </w:tcBorders>
          </w:tcPr>
          <w:p w14:paraId="0B97760C"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Proteintech </w:t>
            </w:r>
          </w:p>
        </w:tc>
      </w:tr>
      <w:tr w:rsidR="00852870" w:rsidRPr="00907E3B" w14:paraId="70459BB4" w14:textId="77777777" w:rsidTr="000D059D">
        <w:trPr>
          <w:jc w:val="center"/>
        </w:trPr>
        <w:tc>
          <w:tcPr>
            <w:tcW w:w="4177" w:type="dxa"/>
            <w:tcBorders>
              <w:top w:val="nil"/>
              <w:left w:val="nil"/>
              <w:bottom w:val="nil"/>
              <w:right w:val="nil"/>
            </w:tcBorders>
          </w:tcPr>
          <w:p w14:paraId="0F0C4D1F"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anti-Ubiquitin</w:t>
            </w:r>
          </w:p>
        </w:tc>
        <w:tc>
          <w:tcPr>
            <w:tcW w:w="1744" w:type="dxa"/>
            <w:tcBorders>
              <w:top w:val="nil"/>
              <w:left w:val="nil"/>
              <w:bottom w:val="nil"/>
              <w:right w:val="nil"/>
            </w:tcBorders>
          </w:tcPr>
          <w:p w14:paraId="65F75170"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ab134953</w:t>
            </w:r>
          </w:p>
        </w:tc>
        <w:tc>
          <w:tcPr>
            <w:tcW w:w="2385" w:type="dxa"/>
            <w:tcBorders>
              <w:top w:val="nil"/>
              <w:left w:val="nil"/>
              <w:bottom w:val="nil"/>
              <w:right w:val="nil"/>
            </w:tcBorders>
          </w:tcPr>
          <w:p w14:paraId="5BFC11D9"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Abcam </w:t>
            </w:r>
          </w:p>
        </w:tc>
      </w:tr>
      <w:tr w:rsidR="00852870" w:rsidRPr="00907E3B" w14:paraId="3A419316" w14:textId="77777777" w:rsidTr="000D0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77" w:type="dxa"/>
          </w:tcPr>
          <w:p w14:paraId="39733B7B"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anti-SQLE</w:t>
            </w:r>
          </w:p>
        </w:tc>
        <w:tc>
          <w:tcPr>
            <w:tcW w:w="1744" w:type="dxa"/>
          </w:tcPr>
          <w:p w14:paraId="14BDB787"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12544-1-AP</w:t>
            </w:r>
          </w:p>
        </w:tc>
        <w:tc>
          <w:tcPr>
            <w:tcW w:w="2385" w:type="dxa"/>
          </w:tcPr>
          <w:p w14:paraId="4D36615A"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Proteintech </w:t>
            </w:r>
          </w:p>
        </w:tc>
      </w:tr>
      <w:tr w:rsidR="00852870" w:rsidRPr="00907E3B" w14:paraId="7814DFD4" w14:textId="77777777" w:rsidTr="000D0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77" w:type="dxa"/>
          </w:tcPr>
          <w:p w14:paraId="00B48139"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anti-c-IAP2</w:t>
            </w:r>
          </w:p>
        </w:tc>
        <w:tc>
          <w:tcPr>
            <w:tcW w:w="1744" w:type="dxa"/>
          </w:tcPr>
          <w:p w14:paraId="27CE0D19"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#3130</w:t>
            </w:r>
          </w:p>
        </w:tc>
        <w:tc>
          <w:tcPr>
            <w:tcW w:w="2385" w:type="dxa"/>
          </w:tcPr>
          <w:p w14:paraId="26D94410"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Cell Signaling Technology </w:t>
            </w:r>
          </w:p>
        </w:tc>
      </w:tr>
      <w:tr w:rsidR="00852870" w:rsidRPr="00907E3B" w14:paraId="65CC1AE2" w14:textId="77777777" w:rsidTr="000D0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77" w:type="dxa"/>
          </w:tcPr>
          <w:p w14:paraId="53DBD18C"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anti-phospho-IκBα</w:t>
            </w:r>
          </w:p>
        </w:tc>
        <w:tc>
          <w:tcPr>
            <w:tcW w:w="1744" w:type="dxa"/>
          </w:tcPr>
          <w:p w14:paraId="3302BDF4"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#9246</w:t>
            </w:r>
          </w:p>
        </w:tc>
        <w:tc>
          <w:tcPr>
            <w:tcW w:w="2385" w:type="dxa"/>
          </w:tcPr>
          <w:p w14:paraId="0B3E082B"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Cell Signaling Technology </w:t>
            </w:r>
          </w:p>
        </w:tc>
      </w:tr>
      <w:tr w:rsidR="00852870" w:rsidRPr="00907E3B" w14:paraId="206ADB01" w14:textId="77777777" w:rsidTr="000D0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77" w:type="dxa"/>
          </w:tcPr>
          <w:p w14:paraId="623031F5"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anti- IκBα</w:t>
            </w:r>
          </w:p>
        </w:tc>
        <w:tc>
          <w:tcPr>
            <w:tcW w:w="1744" w:type="dxa"/>
          </w:tcPr>
          <w:p w14:paraId="6DF96662"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10268-1-AP</w:t>
            </w:r>
          </w:p>
        </w:tc>
        <w:tc>
          <w:tcPr>
            <w:tcW w:w="2385" w:type="dxa"/>
          </w:tcPr>
          <w:p w14:paraId="13D9AA67"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 xml:space="preserve">Proteintech </w:t>
            </w:r>
          </w:p>
        </w:tc>
      </w:tr>
      <w:tr w:rsidR="00852870" w:rsidRPr="00907E3B" w14:paraId="35E243F3" w14:textId="77777777" w:rsidTr="000D05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4177" w:type="dxa"/>
            <w:tcBorders>
              <w:bottom w:val="single" w:sz="18" w:space="0" w:color="auto"/>
            </w:tcBorders>
          </w:tcPr>
          <w:p w14:paraId="3E6087EF" w14:textId="77777777" w:rsidR="00852870" w:rsidRPr="00907E3B" w:rsidRDefault="00852870" w:rsidP="000D059D">
            <w:pPr>
              <w:spacing w:line="400" w:lineRule="exact"/>
              <w:rPr>
                <w:rFonts w:ascii="Times New Roman" w:eastAsia="SimSun" w:hAnsi="Times New Roman" w:cs="Times New Roman"/>
                <w:sz w:val="24"/>
                <w:szCs w:val="24"/>
                <w:highlight w:val="yellow"/>
              </w:rPr>
            </w:pPr>
            <w:r w:rsidRPr="00907E3B">
              <w:rPr>
                <w:rFonts w:ascii="Times New Roman" w:eastAsia="SimSun" w:hAnsi="Times New Roman" w:cs="Times New Roman"/>
                <w:sz w:val="24"/>
                <w:szCs w:val="24"/>
              </w:rPr>
              <w:t>IKKα/β pSer176/180</w:t>
            </w:r>
          </w:p>
        </w:tc>
        <w:tc>
          <w:tcPr>
            <w:tcW w:w="1744" w:type="dxa"/>
            <w:tcBorders>
              <w:bottom w:val="single" w:sz="18" w:space="0" w:color="auto"/>
            </w:tcBorders>
          </w:tcPr>
          <w:p w14:paraId="184BBC1C" w14:textId="77777777" w:rsidR="00852870" w:rsidRPr="00907E3B" w:rsidRDefault="00852870" w:rsidP="000D059D">
            <w:pPr>
              <w:spacing w:line="400" w:lineRule="exact"/>
              <w:rPr>
                <w:rFonts w:ascii="Times New Roman" w:eastAsia="SimSun" w:hAnsi="Times New Roman" w:cs="Times New Roman"/>
                <w:sz w:val="24"/>
                <w:szCs w:val="24"/>
              </w:rPr>
            </w:pPr>
            <w:r w:rsidRPr="00907E3B">
              <w:rPr>
                <w:rFonts w:ascii="Times New Roman" w:eastAsia="SimSun" w:hAnsi="Times New Roman" w:cs="Times New Roman"/>
                <w:sz w:val="24"/>
                <w:szCs w:val="24"/>
              </w:rPr>
              <w:t>2697S</w:t>
            </w:r>
          </w:p>
        </w:tc>
        <w:tc>
          <w:tcPr>
            <w:tcW w:w="2385" w:type="dxa"/>
            <w:tcBorders>
              <w:bottom w:val="single" w:sz="18" w:space="0" w:color="auto"/>
            </w:tcBorders>
          </w:tcPr>
          <w:p w14:paraId="2C7C414F" w14:textId="77777777" w:rsidR="00852870" w:rsidRPr="00907E3B" w:rsidRDefault="00852870" w:rsidP="000D059D">
            <w:pPr>
              <w:spacing w:line="400" w:lineRule="exact"/>
              <w:rPr>
                <w:rFonts w:ascii="Times New Roman" w:eastAsia="SimSun" w:hAnsi="Times New Roman" w:cs="Times New Roman"/>
                <w:sz w:val="24"/>
                <w:szCs w:val="24"/>
                <w:highlight w:val="yellow"/>
              </w:rPr>
            </w:pPr>
            <w:r w:rsidRPr="00907E3B">
              <w:rPr>
                <w:rFonts w:ascii="Times New Roman" w:eastAsia="SimSun" w:hAnsi="Times New Roman" w:cs="Times New Roman"/>
                <w:sz w:val="24"/>
                <w:szCs w:val="24"/>
              </w:rPr>
              <w:t xml:space="preserve">Cell Signaling Technology </w:t>
            </w:r>
          </w:p>
        </w:tc>
      </w:tr>
    </w:tbl>
    <w:p w14:paraId="4455895C" w14:textId="77777777" w:rsidR="00852870" w:rsidRDefault="00852870" w:rsidP="00852870"/>
    <w:p w14:paraId="20835E39" w14:textId="77777777" w:rsidR="00852870" w:rsidRDefault="00852870" w:rsidP="00852870"/>
    <w:p w14:paraId="6AC27557" w14:textId="77777777" w:rsidR="00852870" w:rsidRDefault="00852870" w:rsidP="00852870">
      <w:pPr>
        <w:spacing w:line="360" w:lineRule="auto"/>
        <w:rPr>
          <w:rFonts w:ascii="Times New Roman" w:hAnsi="Times New Roman" w:cs="Times New Roman"/>
          <w:sz w:val="22"/>
        </w:rPr>
      </w:pPr>
    </w:p>
    <w:p w14:paraId="1B135560" w14:textId="77777777" w:rsidR="00BF22AD" w:rsidRDefault="00BF22AD"/>
    <w:sectPr w:rsidR="00BF22A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46EFB" w14:textId="77777777" w:rsidR="00657C95" w:rsidRDefault="00657C95" w:rsidP="00852870">
      <w:r>
        <w:separator/>
      </w:r>
    </w:p>
  </w:endnote>
  <w:endnote w:type="continuationSeparator" w:id="0">
    <w:p w14:paraId="63DEFDCC" w14:textId="77777777" w:rsidR="00657C95" w:rsidRDefault="00657C95" w:rsidP="0085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572CE2" w14:textId="77777777" w:rsidR="00657C95" w:rsidRDefault="00657C95" w:rsidP="00852870">
      <w:r>
        <w:separator/>
      </w:r>
    </w:p>
  </w:footnote>
  <w:footnote w:type="continuationSeparator" w:id="0">
    <w:p w14:paraId="775BAE9B" w14:textId="77777777" w:rsidR="00657C95" w:rsidRDefault="00657C95" w:rsidP="008528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otal_Editing_Time" w:val="7"/>
  </w:docVars>
  <w:rsids>
    <w:rsidRoot w:val="00BE6F9B"/>
    <w:rsid w:val="003A71BF"/>
    <w:rsid w:val="00657C95"/>
    <w:rsid w:val="00797DC5"/>
    <w:rsid w:val="00852870"/>
    <w:rsid w:val="009D2DE6"/>
    <w:rsid w:val="00B5379C"/>
    <w:rsid w:val="00BE6F9B"/>
    <w:rsid w:val="00BF22AD"/>
    <w:rsid w:val="00C9358A"/>
    <w:rsid w:val="00F337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E5366"/>
  <w15:chartTrackingRefBased/>
  <w15:docId w15:val="{8E1F4CBE-2A7F-45C6-89A1-B80F52EB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87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87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852870"/>
    <w:rPr>
      <w:sz w:val="18"/>
      <w:szCs w:val="18"/>
    </w:rPr>
  </w:style>
  <w:style w:type="paragraph" w:styleId="Footer">
    <w:name w:val="footer"/>
    <w:basedOn w:val="Normal"/>
    <w:link w:val="FooterChar"/>
    <w:uiPriority w:val="99"/>
    <w:unhideWhenUsed/>
    <w:rsid w:val="0085287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852870"/>
    <w:rPr>
      <w:sz w:val="18"/>
      <w:szCs w:val="18"/>
    </w:rPr>
  </w:style>
  <w:style w:type="table" w:styleId="TableGrid">
    <w:name w:val="Table Grid"/>
    <w:basedOn w:val="TableNormal"/>
    <w:uiPriority w:val="39"/>
    <w:rsid w:val="00852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71BF"/>
  </w:style>
  <w:style w:type="paragraph" w:styleId="BalloonText">
    <w:name w:val="Balloon Text"/>
    <w:basedOn w:val="Normal"/>
    <w:link w:val="BalloonTextChar"/>
    <w:uiPriority w:val="99"/>
    <w:semiHidden/>
    <w:unhideWhenUsed/>
    <w:rsid w:val="00797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D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586</Words>
  <Characters>3382</Characters>
  <Application>Microsoft Office Word</Application>
  <DocSecurity>0</DocSecurity>
  <Lines>116</Lines>
  <Paragraphs>61</Paragraphs>
  <ScaleCrop>false</ScaleCrop>
  <Company/>
  <LinksUpToDate>false</LinksUpToDate>
  <CharactersWithSpaces>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琪</dc:creator>
  <cp:keywords/>
  <dc:description/>
  <cp:lastModifiedBy>Helen Alcancia</cp:lastModifiedBy>
  <cp:revision>5</cp:revision>
  <dcterms:created xsi:type="dcterms:W3CDTF">2023-06-23T18:03:00Z</dcterms:created>
  <dcterms:modified xsi:type="dcterms:W3CDTF">2024-05-06T08:31:00Z</dcterms:modified>
</cp:coreProperties>
</file>