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bookmarkStart w:id="0" w:name="OLE_LINK11"/>
      <w:r>
        <w:rPr>
          <w:rFonts w:ascii="Times New Roman" w:hAnsi="Times New Roman" w:cs="Times New Roman"/>
          <w:b/>
          <w:bCs/>
          <w:sz w:val="24"/>
        </w:rPr>
        <w:t>Supp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orting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Information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1 Supplementary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Materials and Methods</w:t>
      </w:r>
    </w:p>
    <w:p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BM-MSCs characterization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steogenic, </w:t>
      </w:r>
      <w:bookmarkStart w:id="1" w:name="OLE_LINK10"/>
      <w:bookmarkStart w:id="2" w:name="OLE_LINK7"/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adipogenic</w:t>
      </w:r>
      <w:bookmarkEnd w:id="1"/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, and chondrogenic </w:t>
      </w:r>
      <w:bookmarkStart w:id="3" w:name="OLE_LINK5"/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differentiation</w:t>
      </w:r>
      <w:bookmarkEnd w:id="2"/>
      <w:bookmarkEnd w:id="3"/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abilities of BM-MSCs were respectively identified by mMSC osteogenic differentiation kit (MUXMX-90021, China), adipogenic differentiation kit (</w:t>
      </w:r>
      <w:bookmarkStart w:id="4" w:name="OLE_LINK6"/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MUXMX-90031, China</w:t>
      </w:r>
      <w:bookmarkEnd w:id="4"/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) and chondrogenic differentiation kit (MUXMX-90041, China) according to the instructions.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Cell culture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MLE-12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cells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were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maintained in DMEM-F12 (Gibco, USA) supplemented with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% FBS (ExCell, China), 1% penicillin and streptomycin (Gibco, USA) and incubated at 37 °C in 5% CO2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Detection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LPS concentration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LPS concentrations in LPS-EVs samples with different particle numbers were detected using a bacterial LPS concentration detection kit (MEIMIAN, China). A second round of ultracentrifugation (200,000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×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g at 4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°C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for 2 hours) was performed to precipitate EVs, and </w:t>
      </w:r>
      <w:bookmarkStart w:id="5" w:name="OLE_LINK9"/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the supernatant of the LPS-EVs group after the second ultracentrifugation was taken as the positive control</w:t>
      </w:r>
      <w:bookmarkEnd w:id="5"/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2 </w:t>
      </w:r>
      <w:bookmarkStart w:id="6" w:name="OLE_LINK3"/>
      <w:bookmarkStart w:id="7" w:name="OLE_LINK2"/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Supplementary</w:t>
      </w:r>
      <w:bookmarkEnd w:id="6"/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Figures</w:t>
      </w:r>
      <w:bookmarkEnd w:id="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Arial" w:hAnsi="Arial" w:cs="Arial" w:eastAsiaTheme="minorEastAsia"/>
          <w:sz w:val="16"/>
          <w:szCs w:val="16"/>
          <w:lang w:eastAsia="zh-CN"/>
        </w:rPr>
      </w:pPr>
      <w:r>
        <w:rPr>
          <w:rFonts w:hint="eastAsia" w:ascii="Arial" w:hAnsi="Arial" w:cs="Arial" w:eastAsiaTheme="minorEastAsia"/>
          <w:sz w:val="16"/>
          <w:szCs w:val="16"/>
          <w:lang w:eastAsia="zh-CN"/>
        </w:rPr>
        <w:drawing>
          <wp:inline distT="0" distB="0" distL="114300" distR="114300">
            <wp:extent cx="5269865" cy="4048125"/>
            <wp:effectExtent l="0" t="0" r="6985" b="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8" w:name="OLE_LINK12"/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Observation of the 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orphology and </w:t>
      </w:r>
      <w:r>
        <w:rPr>
          <w:rStyle w:val="13"/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dentification of 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ifferentiation 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Style w:val="13"/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apabilities of BM-MSCs</w:t>
      </w:r>
      <w:r>
        <w:rPr>
          <w:rStyle w:val="1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Style w:val="13"/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3"/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Style w:val="13"/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Morphological observation of BM-MSCs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Scale bar: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μm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Osteogenic differentiation of BM-MSCs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Scale bar: 100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μ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Adipogenic differentiation of BM-MSCs. Scale bar: 100 </w:t>
      </w:r>
      <w:r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μm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Chondrogenic differentiation of BM-MSCs. Scale bar: 200 </w:t>
      </w:r>
      <w:r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μm.</w:t>
      </w:r>
    </w:p>
    <w:bookmarkEnd w:id="8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Arial" w:hAnsi="Arial" w:cs="Arial" w:eastAsiaTheme="minorEastAsia"/>
          <w:sz w:val="16"/>
          <w:szCs w:val="1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4759325" cy="5669280"/>
            <wp:effectExtent l="0" t="0" r="3175" b="7620"/>
            <wp:docPr id="4" name="图片 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9325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  <w:bookmarkStart w:id="9" w:name="OLE_LINK1"/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bookmarkEnd w:id="9"/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>Dynamic uptake assay shows the ability of of BM-MSCs to take up Control-EVs and LPS-EVs.</w:t>
      </w:r>
      <w:r>
        <w:rPr>
          <w:rStyle w:val="13"/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Style w:val="13"/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Style w:val="13"/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Representative images of DiD-labeled iMPMEC-EVs uptake by BM-MSCs. </w:t>
      </w:r>
      <w:r>
        <w:rPr>
          <w:rFonts w:hint="eastAsia" w:ascii="Times New Roman" w:hAnsi="Times New Roman" w:cs="Times New Roman"/>
          <w:color w:val="auto"/>
          <w:sz w:val="24"/>
        </w:rPr>
        <w:t xml:space="preserve">Scale bar: 50 </w:t>
      </w:r>
      <w:r>
        <w:rPr>
          <w:rFonts w:ascii="Times New Roman" w:hAnsi="Times New Roman" w:cs="Times New Roman"/>
          <w:color w:val="auto"/>
          <w:sz w:val="24"/>
        </w:rPr>
        <w:t>μm</w:t>
      </w:r>
      <w:r>
        <w:rPr>
          <w:rFonts w:hint="eastAsia" w:ascii="Times New Roman" w:hAnsi="Times New Roman" w:cs="Times New Roman"/>
          <w:color w:val="auto"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</w:rPr>
        <w:t xml:space="preserve"> Cumulative fluorescent intensity of DiD-labeled iMPMEC-EVs uptake by BM-MSCs over a 24-hour period.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4937760" cy="5196840"/>
            <wp:effectExtent l="0" t="0" r="5715" b="3810"/>
            <wp:docPr id="10" name="图片 10" descr="Supple-MLE-12-终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-MLE-12-终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Fig. S3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The effect of EV treatment on the viability and migration of MLE-12. The migration of MLE-12 was examined by </w:t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>in vitro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scratch assay.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A-B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The wo</w:t>
      </w:r>
      <w:bookmarkStart w:id="10" w:name="OLE_LINK8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und areas were photographed at 0 and 12 hours </w:t>
      </w:r>
      <w:bookmarkEnd w:id="10"/>
      <w:r>
        <w:rPr>
          <w:rFonts w:hint="eastAsia" w:ascii="Times New Roman" w:hAnsi="Times New Roman" w:cs="Times New Roman"/>
          <w:sz w:val="24"/>
          <w:lang w:val="en-US" w:eastAsia="zh-CN"/>
        </w:rPr>
        <w:t>and quantified by measuring the wound area in each group. (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= 3). Scale bar: 200 </w:t>
      </w:r>
      <w:r>
        <w:rPr>
          <w:rFonts w:hint="default" w:ascii="Times New Roman" w:hAnsi="Times New Roman" w:cs="Times New Roman"/>
          <w:sz w:val="24"/>
          <w:lang w:val="en-US" w:eastAsia="zh-CN"/>
        </w:rPr>
        <w:t>μ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m.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Cell viability of MLE-12 incubated with Control-EVs or LPS-EVs was measured using the CCK-8 assay. (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= 3). Data are presented as mean </w:t>
      </w:r>
      <w:r>
        <w:rPr>
          <w:rFonts w:hint="default" w:ascii="Times New Roman" w:hAnsi="Times New Roman" w:cs="Times New Roman"/>
          <w:sz w:val="24"/>
          <w:lang w:val="en-US" w:eastAsia="zh-CN"/>
        </w:rPr>
        <w:t>±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SD using one-way ANOVA followed by the Tukey</w:t>
      </w:r>
      <w:r>
        <w:rPr>
          <w:rFonts w:hint="default" w:ascii="Times New Roman" w:hAnsi="Times New Roman" w:cs="Times New Roman"/>
          <w:sz w:val="24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lang w:val="en-US" w:eastAsia="zh-CN"/>
        </w:rPr>
        <w:t>s multiple comparisons test.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tabs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4718050" cy="3435350"/>
            <wp:effectExtent l="0" t="0" r="6350" b="3175"/>
            <wp:docPr id="5" name="图片 5" descr="Figure S4-修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4-修改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LPS-EVs weaken the repair effect of BM-MSCs in ALI mice.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A-C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Il1b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Il6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</w:rPr>
        <w:t>Tnf</w:t>
      </w:r>
      <w:r>
        <w:rPr>
          <w:rFonts w:ascii="Times New Roman" w:hAnsi="Times New Roman" w:cs="Times New Roman"/>
          <w:sz w:val="24"/>
        </w:rPr>
        <w:t xml:space="preserve"> expression 24 hours post BM-MSCs treatment in the lung tissue of ALI mice were measured using RT-qPCR.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D</w:t>
      </w:r>
      <w:r>
        <w:rPr>
          <w:rFonts w:ascii="Times New Roman" w:hAnsi="Times New Roman" w:cs="Times New Roman"/>
          <w:sz w:val="24"/>
        </w:rPr>
        <w:t xml:space="preserve"> The ratios of LWW/BW 24 hours post BM-MSCs treatment in the lung tissue of ALI mice.</w:t>
      </w:r>
      <w:r>
        <w:rPr>
          <w:rFonts w:hint="eastAsia"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= 3).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E</w:t>
      </w:r>
      <w:r>
        <w:rPr>
          <w:rFonts w:ascii="Times New Roman" w:hAnsi="Times New Roman" w:cs="Times New Roman"/>
          <w:sz w:val="24"/>
        </w:rPr>
        <w:t xml:space="preserve"> The ratios of LWW/BW 72 hours post BM-MSCs treatment in the lung tissue of ALI mice. </w:t>
      </w:r>
      <w:r>
        <w:rPr>
          <w:rFonts w:hint="eastAsia"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= 3). </w:t>
      </w:r>
      <w:r>
        <w:rPr>
          <w:rFonts w:ascii="Times New Roman" w:hAnsi="Times New Roman" w:cs="Times New Roman"/>
          <w:sz w:val="24"/>
        </w:rPr>
        <w:t>Data are presented as mean ± SD using one-way ANOVA followed by the Tukey’s multiple comparisons test. 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＜0.05, 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＜0.01, ***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＜0.001, ****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&lt;0.0001.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269230" cy="5325745"/>
            <wp:effectExtent l="0" t="0" r="7620" b="8255"/>
            <wp:docPr id="6" name="图片 6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LPS-EVs have no effect on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T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</w:rPr>
        <w:t>et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Tet2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, or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Tet3</w:t>
      </w:r>
      <w:r>
        <w:rPr>
          <w:rFonts w:ascii="Times New Roman" w:hAnsi="Times New Roman" w:cs="Times New Roman"/>
          <w:b w:val="0"/>
          <w:bCs w:val="0"/>
          <w:color w:val="5B9BD5" w:themeColor="accent1"/>
          <w:sz w:val="24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expression in BM-MSCs.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A</w:t>
      </w:r>
      <w:r>
        <w:rPr>
          <w:rFonts w:ascii="Times New Roman" w:hAnsi="Times New Roman" w:cs="Times New Roman"/>
          <w:sz w:val="24"/>
        </w:rPr>
        <w:t xml:space="preserve"> Immunofluorescence staining demonstrates the expression of T</w:t>
      </w:r>
      <w:r>
        <w:rPr>
          <w:rFonts w:hint="eastAsia"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sz w:val="24"/>
        </w:rPr>
        <w:t>1, T</w:t>
      </w:r>
      <w:r>
        <w:rPr>
          <w:rFonts w:hint="eastAsia"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sz w:val="24"/>
        </w:rPr>
        <w:t>2, and T</w:t>
      </w:r>
      <w:r>
        <w:rPr>
          <w:rFonts w:hint="eastAsia"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sz w:val="24"/>
        </w:rPr>
        <w:t>3 in BM-MSCs.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bookmarkStart w:id="12" w:name="_GoBack"/>
      <w:bookmarkEnd w:id="12"/>
      <w:r>
        <w:rPr>
          <w:rFonts w:ascii="Times New Roman" w:hAnsi="Times New Roman" w:cs="Times New Roman"/>
          <w:sz w:val="24"/>
        </w:rPr>
        <w:t>3). Scale bar: 50 μm.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B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Representative western blot of T</w:t>
      </w:r>
      <w:r>
        <w:rPr>
          <w:rFonts w:hint="eastAsia"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sz w:val="24"/>
        </w:rPr>
        <w:t>1, T</w:t>
      </w:r>
      <w:r>
        <w:rPr>
          <w:rFonts w:hint="eastAsia"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sz w:val="24"/>
        </w:rPr>
        <w:t>2, and T</w:t>
      </w:r>
      <w:r>
        <w:rPr>
          <w:rFonts w:hint="eastAsia"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sz w:val="24"/>
        </w:rPr>
        <w:t>3 in BM-MSCs incubated with Control-EVs or LPS-EVs for 24 hours.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C-E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Tet1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Tet2</w:t>
      </w:r>
      <w:r>
        <w:rPr>
          <w:rFonts w:ascii="Times New Roman" w:hAnsi="Times New Roman" w:cs="Times New Roman"/>
          <w:sz w:val="24"/>
        </w:rPr>
        <w:t>, and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Tet3</w:t>
      </w:r>
      <w:r>
        <w:rPr>
          <w:rFonts w:ascii="Times New Roman" w:hAnsi="Times New Roman" w:cs="Times New Roman"/>
          <w:sz w:val="24"/>
        </w:rPr>
        <w:t xml:space="preserve"> expressions in BM-MSCs after treated with Control-EVs or LPS-EVs for 24 hours were measured using RT-qPCR.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 Data are presented as mean ± SD using one-way ANOVA followed by the Tukey’s multiple comparisons test.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3775075" cy="1900555"/>
            <wp:effectExtent l="0" t="0" r="6350" b="4445"/>
            <wp:docPr id="1" name="图片 1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LPS-EVs have no effect on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Idh</w:t>
      </w:r>
      <w:r>
        <w:rPr>
          <w:rFonts w:ascii="Times New Roman" w:hAnsi="Times New Roman" w:cs="Times New Roman"/>
          <w:b w:val="0"/>
          <w:bCs w:val="0"/>
          <w:i/>
          <w:sz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and </w:t>
      </w:r>
      <w:r>
        <w:rPr>
          <w:rFonts w:ascii="Times New Roman" w:hAnsi="Times New Roman" w:cs="Times New Roman"/>
          <w:b w:val="0"/>
          <w:bCs w:val="0"/>
          <w:i/>
          <w:sz w:val="24"/>
        </w:rPr>
        <w:t>Idh3a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expression of BM-MSCs.</w:t>
      </w:r>
      <w:r>
        <w:rPr>
          <w:rFonts w:hint="eastAsia" w:ascii="Arial" w:hAnsi="Arial" w:cs="Arial"/>
          <w:b/>
          <w:bCs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Idh1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(A)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and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Idh3a</w:t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lang w:val="en-US" w:eastAsia="zh-CN"/>
        </w:rPr>
        <w:t>(B)</w:t>
      </w:r>
      <w:r>
        <w:rPr>
          <w:rFonts w:ascii="Times New Roman" w:hAnsi="Times New Roman" w:cs="Times New Roman"/>
          <w:sz w:val="24"/>
        </w:rPr>
        <w:t xml:space="preserve"> expressions in BM-MSCs after treated with Control-EVs and LPS-EVs for 24 hours were measured using RT-qPCR.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 Data are presented as mean ± SD using one-way ANOVA followed by the Tukey’s multiple comparisons test.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Arial" w:hAnsi="Arial" w:cs="Arial" w:eastAsiaTheme="minorEastAsia"/>
          <w:sz w:val="16"/>
          <w:szCs w:val="16"/>
          <w:lang w:eastAsia="zh-CN"/>
        </w:rPr>
      </w:pPr>
      <w:r>
        <w:rPr>
          <w:rFonts w:hint="eastAsia" w:ascii="Arial" w:hAnsi="Arial" w:cs="Arial" w:eastAsiaTheme="minorEastAsia"/>
          <w:sz w:val="16"/>
          <w:szCs w:val="16"/>
          <w:lang w:eastAsia="zh-CN"/>
        </w:rPr>
        <w:drawing>
          <wp:inline distT="0" distB="0" distL="114300" distR="114300">
            <wp:extent cx="5272405" cy="5157470"/>
            <wp:effectExtent l="0" t="0" r="4445" b="5080"/>
            <wp:docPr id="8" name="图片 8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5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Measurement of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Idh2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expression in BM-MSCs after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 xml:space="preserve"> Idh2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gene knockdown or overexpression.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Representative western blot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(A)</w:t>
      </w:r>
      <w:r>
        <w:rPr>
          <w:rFonts w:ascii="Times New Roman" w:hAnsi="Times New Roman" w:cs="Times New Roman"/>
          <w:sz w:val="24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quantitative analysis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(B)</w:t>
      </w:r>
      <w:r>
        <w:rPr>
          <w:rFonts w:ascii="Times New Roman" w:hAnsi="Times New Roman" w:cs="Times New Roman"/>
          <w:sz w:val="24"/>
        </w:rPr>
        <w:t xml:space="preserve"> of I</w:t>
      </w:r>
      <w:r>
        <w:rPr>
          <w:rFonts w:hint="eastAsia" w:ascii="Times New Roman" w:hAnsi="Times New Roman" w:cs="Times New Roman"/>
          <w:sz w:val="24"/>
        </w:rPr>
        <w:t>DH</w:t>
      </w:r>
      <w:r>
        <w:rPr>
          <w:rFonts w:ascii="Times New Roman" w:hAnsi="Times New Roman" w:cs="Times New Roman"/>
          <w:sz w:val="24"/>
        </w:rPr>
        <w:t>2 protein levels in the Control, siCtrl, and siIdh2 groups.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3).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Idh2</w:t>
      </w:r>
      <w:r>
        <w:rPr>
          <w:rFonts w:ascii="Times New Roman" w:hAnsi="Times New Roman" w:cs="Times New Roman"/>
          <w:sz w:val="24"/>
        </w:rPr>
        <w:t xml:space="preserve"> expression in the Control, siCtrl, and siIdh2 groups</w:t>
      </w:r>
      <w:r>
        <w:rPr>
          <w:rFonts w:hint="eastAsia" w:ascii="Times New Roman" w:hAnsi="Times New Roman" w:cs="Times New Roman"/>
          <w:sz w:val="24"/>
        </w:rPr>
        <w:t xml:space="preserve"> in BM-MSCs</w:t>
      </w:r>
      <w:r>
        <w:rPr>
          <w:rFonts w:ascii="Times New Roman" w:hAnsi="Times New Roman" w:cs="Times New Roman"/>
          <w:sz w:val="24"/>
        </w:rPr>
        <w:t>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3).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D</w:t>
      </w:r>
      <w:r>
        <w:rPr>
          <w:rFonts w:ascii="Times New Roman" w:hAnsi="Times New Roman" w:cs="Times New Roman"/>
          <w:sz w:val="24"/>
        </w:rPr>
        <w:t xml:space="preserve"> Representative fluorescence images of Vector-MSCs and OE-Idh2-MSCs. </w:t>
      </w:r>
      <w:r>
        <w:rPr>
          <w:rFonts w:hint="eastAsia" w:ascii="Times New Roman" w:hAnsi="Times New Roman" w:cs="Times New Roman"/>
          <w:sz w:val="24"/>
        </w:rPr>
        <w:t xml:space="preserve">Scale bar: 50 </w:t>
      </w:r>
      <w:r>
        <w:rPr>
          <w:rFonts w:ascii="Times New Roman" w:hAnsi="Times New Roman" w:cs="Times New Roman"/>
          <w:sz w:val="24"/>
        </w:rPr>
        <w:t>μm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Representative western blot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(E)</w:t>
      </w:r>
      <w:r>
        <w:rPr>
          <w:rFonts w:ascii="Times New Roman" w:hAnsi="Times New Roman" w:cs="Times New Roman"/>
          <w:sz w:val="24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quantitative analysis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(F)</w:t>
      </w:r>
      <w:r>
        <w:rPr>
          <w:rFonts w:ascii="Times New Roman" w:hAnsi="Times New Roman" w:cs="Times New Roman"/>
          <w:sz w:val="24"/>
        </w:rPr>
        <w:t xml:space="preserve"> of I</w:t>
      </w:r>
      <w:r>
        <w:rPr>
          <w:rFonts w:hint="eastAsia" w:ascii="Times New Roman" w:hAnsi="Times New Roman" w:cs="Times New Roman"/>
          <w:sz w:val="24"/>
        </w:rPr>
        <w:t>DH</w:t>
      </w:r>
      <w:r>
        <w:rPr>
          <w:rFonts w:ascii="Times New Roman" w:hAnsi="Times New Roman" w:cs="Times New Roman"/>
          <w:sz w:val="24"/>
        </w:rPr>
        <w:t>2 protein levels in the Control, Vector, and OE-Idh2 groups</w:t>
      </w:r>
      <w:r>
        <w:rPr>
          <w:rFonts w:hint="eastAsia" w:ascii="Times New Roman" w:hAnsi="Times New Roman" w:cs="Times New Roman"/>
          <w:sz w:val="24"/>
        </w:rPr>
        <w:t xml:space="preserve"> in BM-MSCs</w:t>
      </w:r>
      <w:r>
        <w:rPr>
          <w:rFonts w:ascii="Times New Roman" w:hAnsi="Times New Roman" w:cs="Times New Roman"/>
          <w:sz w:val="24"/>
        </w:rPr>
        <w:t>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3).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G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 xml:space="preserve">Idh2 </w:t>
      </w:r>
      <w:r>
        <w:rPr>
          <w:rFonts w:ascii="Times New Roman" w:hAnsi="Times New Roman" w:cs="Times New Roman"/>
          <w:sz w:val="24"/>
        </w:rPr>
        <w:t xml:space="preserve">expression in the Control, </w:t>
      </w:r>
      <w:r>
        <w:rPr>
          <w:rFonts w:hint="eastAsia" w:ascii="Times New Roman" w:hAnsi="Times New Roman" w:cs="Times New Roman"/>
          <w:sz w:val="24"/>
        </w:rPr>
        <w:t>Vector</w:t>
      </w:r>
      <w:r>
        <w:rPr>
          <w:rFonts w:ascii="Times New Roman" w:hAnsi="Times New Roman" w:cs="Times New Roman"/>
          <w:sz w:val="24"/>
        </w:rPr>
        <w:t xml:space="preserve">, and </w:t>
      </w:r>
      <w:r>
        <w:rPr>
          <w:rFonts w:hint="eastAsia" w:ascii="Times New Roman" w:hAnsi="Times New Roman" w:cs="Times New Roman"/>
          <w:sz w:val="24"/>
        </w:rPr>
        <w:t>OE-Idh2</w:t>
      </w:r>
      <w:r>
        <w:rPr>
          <w:rFonts w:ascii="Times New Roman" w:hAnsi="Times New Roman" w:cs="Times New Roman"/>
          <w:sz w:val="24"/>
        </w:rPr>
        <w:t xml:space="preserve"> groups.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H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Representative images of BM-MSCs after</w:t>
      </w:r>
      <w:r>
        <w:rPr>
          <w:rFonts w:ascii="Times New Roman" w:hAnsi="Times New Roman" w:cs="Times New Roman"/>
          <w:i/>
          <w:iCs/>
          <w:sz w:val="24"/>
        </w:rPr>
        <w:t xml:space="preserve"> Idh2</w:t>
      </w:r>
      <w:r>
        <w:rPr>
          <w:rFonts w:ascii="Times New Roman" w:hAnsi="Times New Roman" w:cs="Times New Roman"/>
          <w:sz w:val="24"/>
        </w:rPr>
        <w:t xml:space="preserve"> gene knockdown or overexpression.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3). </w:t>
      </w:r>
      <w:r>
        <w:rPr>
          <w:rFonts w:hint="eastAsia" w:ascii="Times New Roman" w:hAnsi="Times New Roman" w:cs="Times New Roman"/>
          <w:sz w:val="24"/>
        </w:rPr>
        <w:t xml:space="preserve">Scale bar: 100 </w:t>
      </w:r>
      <w:r>
        <w:rPr>
          <w:rFonts w:ascii="Times New Roman" w:hAnsi="Times New Roman" w:cs="Times New Roman"/>
          <w:sz w:val="24"/>
        </w:rPr>
        <w:t>μm</w:t>
      </w:r>
      <w:r>
        <w:rPr>
          <w:rFonts w:hint="eastAsia" w:ascii="Times New Roman" w:hAnsi="Times New Roman" w:cs="Times New Roman"/>
          <w:sz w:val="24"/>
        </w:rPr>
        <w:t xml:space="preserve"> and 25 </w:t>
      </w:r>
      <w:r>
        <w:rPr>
          <w:rFonts w:ascii="Times New Roman" w:hAnsi="Times New Roman" w:cs="Times New Roman"/>
          <w:sz w:val="24"/>
        </w:rPr>
        <w:t>μm</w:t>
      </w:r>
      <w:r>
        <w:rPr>
          <w:rFonts w:hint="eastAsia" w:ascii="Times New Roman" w:hAnsi="Times New Roman" w:cs="Times New Roman"/>
          <w:sz w:val="24"/>
        </w:rPr>
        <w:t xml:space="preserve"> (insert). </w:t>
      </w:r>
      <w:r>
        <w:rPr>
          <w:rFonts w:ascii="Times New Roman" w:hAnsi="Times New Roman" w:cs="Times New Roman"/>
          <w:sz w:val="24"/>
        </w:rPr>
        <w:t>Data are presented as mean ± SD using one-way ANOVA followed by the Tukey’s multiple comparisons test. 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＜0.05, 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＜0.01, **</w:t>
      </w:r>
      <w:r>
        <w:rPr>
          <w:rFonts w:hint="eastAsia"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＜0.0</w:t>
      </w:r>
      <w:r>
        <w:rPr>
          <w:rFonts w:hint="eastAsia"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sz w:val="16"/>
          <w:szCs w:val="1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271135" cy="1555115"/>
            <wp:effectExtent l="0" t="0" r="5715" b="6985"/>
            <wp:docPr id="9" name="图片 9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8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Knockdown of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Idh2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in BM-MSCs has no effect on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Tet1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Tet2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, or </w:t>
      </w:r>
      <w:r>
        <w:rPr>
          <w:rFonts w:ascii="Times New Roman" w:hAnsi="Times New Roman" w:cs="Times New Roman"/>
          <w:b w:val="0"/>
          <w:bCs w:val="0"/>
          <w:i/>
          <w:iCs/>
          <w:sz w:val="24"/>
        </w:rPr>
        <w:t>Tet3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expression.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Tet1</w:t>
      </w:r>
      <w:r>
        <w:rPr>
          <w:rFonts w:hint="eastAsia" w:ascii="Times New Roman" w:hAnsi="Times New Roman" w:cs="Times New Roman"/>
          <w:b/>
          <w:bCs/>
          <w:i/>
          <w:i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lang w:val="en-US" w:eastAsia="zh-CN"/>
        </w:rPr>
        <w:t>(A)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Tet2</w:t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lang w:val="en-US" w:eastAsia="zh-CN"/>
        </w:rPr>
        <w:t>(B)</w:t>
      </w:r>
      <w:r>
        <w:rPr>
          <w:rFonts w:ascii="Times New Roman" w:hAnsi="Times New Roman" w:cs="Times New Roman"/>
          <w:sz w:val="24"/>
        </w:rPr>
        <w:t>, and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Tet3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lang w:val="en-US" w:eastAsia="zh-CN"/>
        </w:rPr>
        <w:t>(C)</w:t>
      </w:r>
      <w:r>
        <w:rPr>
          <w:rFonts w:ascii="Times New Roman" w:hAnsi="Times New Roman" w:cs="Times New Roman"/>
          <w:sz w:val="24"/>
        </w:rPr>
        <w:t xml:space="preserve"> expressions in BM-MSCs after treatment with siCtrl and siIdh2 for 48 hours were measured using RT-qPCR.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3). Data are presented as mean ± SD using one-way ANOVA followed by the Tukey’s multiple comparisons test.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Style w:val="13"/>
        </w:rPr>
      </w:pPr>
      <w:r>
        <w:rPr>
          <w:rFonts w:ascii="Arial" w:hAnsi="Arial" w:cs="Arial"/>
          <w:sz w:val="16"/>
          <w:szCs w:val="16"/>
        </w:rPr>
        <w:drawing>
          <wp:inline distT="0" distB="0" distL="114300" distR="114300">
            <wp:extent cx="5272405" cy="5772150"/>
            <wp:effectExtent l="0" t="0" r="4445" b="0"/>
            <wp:docPr id="20" name="图片 20" descr="mmu01200-carbon metabol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mmu01200-carbon metabolism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13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9</w:t>
      </w:r>
      <w:r>
        <w:rPr>
          <w:rFonts w:ascii="Times New Roman" w:hAnsi="Times New Roman" w:cs="Times New Roman"/>
          <w:b/>
          <w:bCs/>
          <w:sz w:val="24"/>
        </w:rPr>
        <w:t xml:space="preserve"> Pathways enriched by DEGs in carbon metabolism.</w:t>
      </w: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3 Supplementary </w:t>
      </w: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Supplementary Table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 w:bidi="ar"/>
        </w:rPr>
        <w:t>1.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rial Bold" w:cs="Times New Roman"/>
          <w:color w:val="000000"/>
          <w:kern w:val="0"/>
          <w:sz w:val="24"/>
          <w:lang w:bidi="ar"/>
        </w:rPr>
        <w:t>Antibodies used in this study.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  <w:gridCol w:w="2862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Antibody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Source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Catalog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TSG101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Santa Cruz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sc-6037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CD63 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Ab217345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CD63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Ab134045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Calnexin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2679S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ALIX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ab88743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ZO-1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21773-1-AP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Occludin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ab216327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Claudin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ab131259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TET1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ABclonal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A1506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TET2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21207-1-AP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TET3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ABclonal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A7612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5-hm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C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Ab214728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IDH2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15932-1-AP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GAPDH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60004-Ig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Beta Actin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66009-1-Ig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HRP-conjugated Affinipure Goat Anti Mouse IgG(H+L)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SA00001-1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HRP-conjugated Affinipure Goat Anti Rabbit IgG(H+L)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SA00001-2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Alexa Fluor 555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-conjugated </w:t>
            </w:r>
            <w:r>
              <w:rPr>
                <w:rFonts w:ascii="Times New Roman" w:hAnsi="Times New Roman" w:cs="Times New Roman"/>
                <w:sz w:val="24"/>
              </w:rPr>
              <w:t xml:space="preserve">goat anti-rabbit IgG </w:t>
            </w: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H</w:t>
            </w:r>
            <w:r>
              <w:rPr>
                <w:rFonts w:hint="eastAsia" w:ascii="Times New Roman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>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Invitrogen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A32732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FITC anti-mouse CD31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Biolegend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FITC anti-human CD31</w:t>
            </w:r>
          </w:p>
        </w:tc>
        <w:tc>
          <w:tcPr>
            <w:tcW w:w="286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Biolegend</w:t>
            </w:r>
          </w:p>
        </w:tc>
        <w:tc>
          <w:tcPr>
            <w:tcW w:w="1857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303103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2.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Arial Bold" w:cs="Times New Roman"/>
          <w:color w:val="000000"/>
          <w:kern w:val="0"/>
          <w:sz w:val="24"/>
          <w:lang w:bidi="ar"/>
        </w:rPr>
        <w:t>Primer sequences used in this study.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3260"/>
        <w:gridCol w:w="3316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Forward primer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Reverse primer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Il1b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GAAATGCCACCTTTTGACAGTG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TGGATGCTCTCATCAGGACAG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Il6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CTGCAAGAGACTTCCATCCAG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AGTGGTATAGACAGGTCTGTTGG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Tnf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CAGGCGGTGCCTATGTCTC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CGATCACCCCGAAGTTCAGTAG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Tet1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TGGGAGAGCTCCCTTTGATGGTTT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TTGGGTCAATTGTGCTGCGACATC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Tet2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TGTTGTTGTCAGGGTGAGAATC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TCTTGCTTCTGGCAAACTTACA 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Tet3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AACCAGAACGCCAAGGTCAGTAGT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TTGATCTTCTCTGGCGTGCTCAGT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Idh1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GAGCTCTCTTGGACCGACTTC  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CAACCCTCTTCTCATCGGGG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Idh2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GTACAACACCGACGAGTCCAT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AGCCTCAGCCTCAATTGTCT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Idh3a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CCTTTATGCCAATGTCCGGC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ACAACCCCATCAACGATCACA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Actb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GGCTGTATTCCCCTCCATCG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CCAGTTGGTAACAATGCCATGT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Gapdh</w:t>
            </w:r>
          </w:p>
        </w:tc>
        <w:tc>
          <w:tcPr>
            <w:tcW w:w="32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CCAGTTGGTAACAATGCCATGT</w:t>
            </w:r>
          </w:p>
        </w:tc>
        <w:tc>
          <w:tcPr>
            <w:tcW w:w="33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CCAGTTGGTAACAATGCCATGT</w:t>
            </w:r>
          </w:p>
        </w:tc>
        <w:tc>
          <w:tcPr>
            <w:tcW w:w="8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qPCR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sz w:val="16"/>
          <w:szCs w:val="16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3.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Sequences of Small interfering RNA (siRNA).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782"/>
        <w:gridCol w:w="4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178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</w:t>
            </w:r>
          </w:p>
        </w:tc>
        <w:tc>
          <w:tcPr>
            <w:tcW w:w="422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518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782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siCtrl</w:t>
            </w:r>
          </w:p>
        </w:tc>
        <w:tc>
          <w:tcPr>
            <w:tcW w:w="422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sense (5’ to 3’)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UUCUCCGAACGUGUCACGUTT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2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antisense (5’ to 3’)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ACGUGACACGUUCGGAGAATT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Idh2</w:t>
            </w:r>
          </w:p>
        </w:tc>
        <w:tc>
          <w:tcPr>
            <w:tcW w:w="1782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siIdh2</w:t>
            </w:r>
          </w:p>
        </w:tc>
        <w:tc>
          <w:tcPr>
            <w:tcW w:w="422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sense (5’ to 3’)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GGUAUGAACAUCGGCUCAUTT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22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antisense (5’ to 3’)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2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AUGAGCCGAUGUUCAUACCTT</w:t>
            </w:r>
          </w:p>
        </w:tc>
      </w:tr>
    </w:tbl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bookmarkStart w:id="11" w:name="OLE_LINK4"/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4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 xml:space="preserve"> 4. </w:t>
      </w:r>
      <w:bookmarkEnd w:id="11"/>
      <w:r>
        <w:rPr>
          <w:rFonts w:hint="eastAsia" w:ascii="Times New Roman" w:hAnsi="Times New Roman" w:cs="Times New Roman"/>
          <w:b w:val="0"/>
          <w:bCs w:val="0"/>
          <w:color w:val="auto"/>
          <w:sz w:val="24"/>
          <w:lang w:val="en-US" w:eastAsia="zh-CN"/>
        </w:rPr>
        <w:t>C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linical characteristics of patients with ARDS and non-ARDS controls </w:t>
      </w:r>
    </w:p>
    <w:tbl>
      <w:tblPr>
        <w:tblStyle w:val="9"/>
        <w:tblpPr w:leftFromText="180" w:rightFromText="180" w:vertAnchor="text" w:horzAnchor="page" w:tblpX="1933" w:tblpY="170"/>
        <w:tblOverlap w:val="never"/>
        <w:tblW w:w="8250" w:type="dxa"/>
        <w:tblInd w:w="0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2"/>
        <w:gridCol w:w="2533"/>
        <w:gridCol w:w="2325"/>
      </w:tblGrid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single" w:color="auto" w:sz="4" w:space="0"/>
              <w:left w:val="nil"/>
              <w:bottom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characteristic</w:t>
            </w:r>
          </w:p>
        </w:tc>
        <w:tc>
          <w:tcPr>
            <w:tcW w:w="253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Non-ARDS (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= 4)</w:t>
            </w:r>
          </w:p>
        </w:tc>
        <w:tc>
          <w:tcPr>
            <w:tcW w:w="2325" w:type="dxa"/>
            <w:tcBorders>
              <w:top w:val="single" w:color="auto" w:sz="4" w:space="0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ARDS (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= 5)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single" w:color="auto" w:sz="4" w:space="0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Age (year)</w:t>
            </w:r>
          </w:p>
        </w:tc>
        <w:tc>
          <w:tcPr>
            <w:tcW w:w="2533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60.5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23.5</w:t>
            </w:r>
          </w:p>
        </w:tc>
        <w:tc>
          <w:tcPr>
            <w:tcW w:w="2325" w:type="dxa"/>
            <w:tcBorders>
              <w:top w:val="single" w:color="auto" w:sz="4" w:space="0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72.0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5.7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Gender, male, n (%)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 (0.0)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 (80.0)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Cause of pneumonia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Gram-negative bacilli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 (40.0)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Gram-positive bacilli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 (20.0)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Unknow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 (40.0)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SOFA score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3.5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1.0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7.4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2.1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PaO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/FiO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(mmHg)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360.4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43.4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199.9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48.9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ICU length of stay (day)</w:t>
            </w:r>
          </w:p>
        </w:tc>
        <w:tc>
          <w:tcPr>
            <w:tcW w:w="253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16.3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18.9</w:t>
            </w:r>
          </w:p>
        </w:tc>
        <w:tc>
          <w:tcPr>
            <w:tcW w:w="2325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21.4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11.3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  <w:tcBorders>
              <w:top w:val="nil"/>
              <w:left w:val="nil"/>
              <w:bottom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Mortality, n (%)</w:t>
            </w:r>
          </w:p>
        </w:tc>
        <w:tc>
          <w:tcPr>
            <w:tcW w:w="2533" w:type="dxa"/>
            <w:tcBorders>
              <w:top w:val="nil"/>
              <w:bottom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 (0.0)</w:t>
            </w:r>
          </w:p>
        </w:tc>
        <w:tc>
          <w:tcPr>
            <w:tcW w:w="2325" w:type="dxa"/>
            <w:tcBorders>
              <w:top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 (20.0)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Categorical variables are expressed as n (%), and continuous variables are presented as the mean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±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SD. ICU, intensive care unit; PaO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/FiO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 the ratio of partial pressure of oxygen of fractional inspired oxygen; SOFA, sequential organ failure assessment.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Supplementary Table 5. The concentrations of LPS in the LPS-EV samples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16"/>
        <w:gridCol w:w="30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>Group</w:t>
            </w:r>
          </w:p>
        </w:tc>
        <w:tc>
          <w:tcPr>
            <w:tcW w:w="221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>EVs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>(particles/ml)</w:t>
            </w:r>
          </w:p>
        </w:tc>
        <w:tc>
          <w:tcPr>
            <w:tcW w:w="3068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>LPS concentration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>(EU/m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Control-EVs</w:t>
            </w:r>
          </w:p>
        </w:tc>
        <w:tc>
          <w:tcPr>
            <w:tcW w:w="2216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10^8</w:t>
            </w:r>
          </w:p>
        </w:tc>
        <w:tc>
          <w:tcPr>
            <w:tcW w:w="3068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10^8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10^8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LPS-EVs</w:t>
            </w: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10^8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10^8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10^8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10^9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10^9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10^9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10^10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10^10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10^10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Positive Control</w:t>
            </w: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30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The supernatant of the LPS-EVs group after the second ultracentrifugation was taken as the positive control.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old">
    <w:altName w:val="Arial"/>
    <w:panose1 w:val="020B07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YWIyMDFiYzBjYmM1OWIyOWJjZjVlNjViMjY2MzcifQ=="/>
  </w:docVars>
  <w:rsids>
    <w:rsidRoot w:val="76181B36"/>
    <w:rsid w:val="00002E80"/>
    <w:rsid w:val="00013654"/>
    <w:rsid w:val="00043F33"/>
    <w:rsid w:val="00050997"/>
    <w:rsid w:val="00062FC9"/>
    <w:rsid w:val="00073A7D"/>
    <w:rsid w:val="00080B1D"/>
    <w:rsid w:val="00081A85"/>
    <w:rsid w:val="00086D62"/>
    <w:rsid w:val="000B3E16"/>
    <w:rsid w:val="000C09B6"/>
    <w:rsid w:val="000D3F68"/>
    <w:rsid w:val="000E5A78"/>
    <w:rsid w:val="00115B93"/>
    <w:rsid w:val="0013363F"/>
    <w:rsid w:val="00136408"/>
    <w:rsid w:val="00152DBD"/>
    <w:rsid w:val="00156656"/>
    <w:rsid w:val="00183298"/>
    <w:rsid w:val="001924D4"/>
    <w:rsid w:val="001A2C04"/>
    <w:rsid w:val="001A35CF"/>
    <w:rsid w:val="001A3B44"/>
    <w:rsid w:val="001B1390"/>
    <w:rsid w:val="001B7D21"/>
    <w:rsid w:val="001E58E6"/>
    <w:rsid w:val="001E5C40"/>
    <w:rsid w:val="002061F9"/>
    <w:rsid w:val="002411AE"/>
    <w:rsid w:val="00255190"/>
    <w:rsid w:val="00263C29"/>
    <w:rsid w:val="00270E13"/>
    <w:rsid w:val="00284CA2"/>
    <w:rsid w:val="002A454C"/>
    <w:rsid w:val="002A594A"/>
    <w:rsid w:val="002B50B5"/>
    <w:rsid w:val="002D77EB"/>
    <w:rsid w:val="00300933"/>
    <w:rsid w:val="003012F3"/>
    <w:rsid w:val="00336E32"/>
    <w:rsid w:val="00353EC9"/>
    <w:rsid w:val="00365E6A"/>
    <w:rsid w:val="003663C5"/>
    <w:rsid w:val="003744FB"/>
    <w:rsid w:val="003C2590"/>
    <w:rsid w:val="003C63C8"/>
    <w:rsid w:val="003F45E7"/>
    <w:rsid w:val="00404C42"/>
    <w:rsid w:val="00406051"/>
    <w:rsid w:val="00413789"/>
    <w:rsid w:val="004238A8"/>
    <w:rsid w:val="00423A56"/>
    <w:rsid w:val="00425BD8"/>
    <w:rsid w:val="00467E72"/>
    <w:rsid w:val="00472D7D"/>
    <w:rsid w:val="004B5685"/>
    <w:rsid w:val="004E4B5F"/>
    <w:rsid w:val="00513FCF"/>
    <w:rsid w:val="005307FD"/>
    <w:rsid w:val="00571400"/>
    <w:rsid w:val="005B183A"/>
    <w:rsid w:val="005C7D8E"/>
    <w:rsid w:val="00604D6E"/>
    <w:rsid w:val="006112CD"/>
    <w:rsid w:val="00642664"/>
    <w:rsid w:val="00642F61"/>
    <w:rsid w:val="006479ED"/>
    <w:rsid w:val="006569FF"/>
    <w:rsid w:val="0068765C"/>
    <w:rsid w:val="0069392F"/>
    <w:rsid w:val="006B57AC"/>
    <w:rsid w:val="006C7EBA"/>
    <w:rsid w:val="006D6F3B"/>
    <w:rsid w:val="006F7E04"/>
    <w:rsid w:val="00703ABD"/>
    <w:rsid w:val="0072506D"/>
    <w:rsid w:val="00726CD6"/>
    <w:rsid w:val="0079296D"/>
    <w:rsid w:val="00795DBD"/>
    <w:rsid w:val="00845B1E"/>
    <w:rsid w:val="00850350"/>
    <w:rsid w:val="00860C22"/>
    <w:rsid w:val="008A32F1"/>
    <w:rsid w:val="008A5E4E"/>
    <w:rsid w:val="008A6544"/>
    <w:rsid w:val="008D3A65"/>
    <w:rsid w:val="008E046C"/>
    <w:rsid w:val="009031FF"/>
    <w:rsid w:val="00921E97"/>
    <w:rsid w:val="00940DF9"/>
    <w:rsid w:val="009563A3"/>
    <w:rsid w:val="009602E1"/>
    <w:rsid w:val="00972E1C"/>
    <w:rsid w:val="00975886"/>
    <w:rsid w:val="00976607"/>
    <w:rsid w:val="00977C67"/>
    <w:rsid w:val="009B261E"/>
    <w:rsid w:val="00A04F97"/>
    <w:rsid w:val="00A41789"/>
    <w:rsid w:val="00AB6FD4"/>
    <w:rsid w:val="00AE3B07"/>
    <w:rsid w:val="00B032BF"/>
    <w:rsid w:val="00B56BC6"/>
    <w:rsid w:val="00B7369C"/>
    <w:rsid w:val="00B93F2F"/>
    <w:rsid w:val="00BD4ADE"/>
    <w:rsid w:val="00C44680"/>
    <w:rsid w:val="00C62789"/>
    <w:rsid w:val="00C770F2"/>
    <w:rsid w:val="00C94D0D"/>
    <w:rsid w:val="00CA095C"/>
    <w:rsid w:val="00CA0C66"/>
    <w:rsid w:val="00CB68E2"/>
    <w:rsid w:val="00CC6C62"/>
    <w:rsid w:val="00CD1CBD"/>
    <w:rsid w:val="00D21D1A"/>
    <w:rsid w:val="00D27B1B"/>
    <w:rsid w:val="00D3683B"/>
    <w:rsid w:val="00D614E5"/>
    <w:rsid w:val="00D73B6B"/>
    <w:rsid w:val="00D95730"/>
    <w:rsid w:val="00DE2463"/>
    <w:rsid w:val="00DF3D65"/>
    <w:rsid w:val="00E31B74"/>
    <w:rsid w:val="00E719B2"/>
    <w:rsid w:val="00E71AE1"/>
    <w:rsid w:val="00E9515D"/>
    <w:rsid w:val="00E96157"/>
    <w:rsid w:val="00EA1E0E"/>
    <w:rsid w:val="00EB3741"/>
    <w:rsid w:val="00F0524E"/>
    <w:rsid w:val="00F11729"/>
    <w:rsid w:val="00F520AC"/>
    <w:rsid w:val="00F67A9E"/>
    <w:rsid w:val="00F829F4"/>
    <w:rsid w:val="00F96A62"/>
    <w:rsid w:val="00FB7A31"/>
    <w:rsid w:val="00FD20DB"/>
    <w:rsid w:val="00FE1A04"/>
    <w:rsid w:val="00FE2139"/>
    <w:rsid w:val="01207B0A"/>
    <w:rsid w:val="01221134"/>
    <w:rsid w:val="015104EA"/>
    <w:rsid w:val="015974C0"/>
    <w:rsid w:val="017D43BA"/>
    <w:rsid w:val="017D69CF"/>
    <w:rsid w:val="01A82E44"/>
    <w:rsid w:val="01C42535"/>
    <w:rsid w:val="01D029AF"/>
    <w:rsid w:val="0208054B"/>
    <w:rsid w:val="022C27C5"/>
    <w:rsid w:val="0237368D"/>
    <w:rsid w:val="02761592"/>
    <w:rsid w:val="0288005D"/>
    <w:rsid w:val="02A23A3C"/>
    <w:rsid w:val="02A97FD3"/>
    <w:rsid w:val="02C15D5B"/>
    <w:rsid w:val="02CB02AD"/>
    <w:rsid w:val="02DA23DE"/>
    <w:rsid w:val="02DF109A"/>
    <w:rsid w:val="03140A3C"/>
    <w:rsid w:val="031C69F7"/>
    <w:rsid w:val="03372BDE"/>
    <w:rsid w:val="03373831"/>
    <w:rsid w:val="03686315"/>
    <w:rsid w:val="040A4AA1"/>
    <w:rsid w:val="0414297A"/>
    <w:rsid w:val="04506958"/>
    <w:rsid w:val="045A77D7"/>
    <w:rsid w:val="04987FD7"/>
    <w:rsid w:val="049E6016"/>
    <w:rsid w:val="04B35139"/>
    <w:rsid w:val="04F05A45"/>
    <w:rsid w:val="04F648D9"/>
    <w:rsid w:val="050E411D"/>
    <w:rsid w:val="05123C0E"/>
    <w:rsid w:val="05174316"/>
    <w:rsid w:val="052D4B75"/>
    <w:rsid w:val="053C1033"/>
    <w:rsid w:val="055C30DB"/>
    <w:rsid w:val="05C438E3"/>
    <w:rsid w:val="05FD41D9"/>
    <w:rsid w:val="06093262"/>
    <w:rsid w:val="0643470E"/>
    <w:rsid w:val="06622973"/>
    <w:rsid w:val="068F658C"/>
    <w:rsid w:val="069C0F5B"/>
    <w:rsid w:val="069F6081"/>
    <w:rsid w:val="0701218C"/>
    <w:rsid w:val="07645CD3"/>
    <w:rsid w:val="077F25A1"/>
    <w:rsid w:val="07CC0CBC"/>
    <w:rsid w:val="07ED14C0"/>
    <w:rsid w:val="07F863A6"/>
    <w:rsid w:val="080E4A29"/>
    <w:rsid w:val="082209D1"/>
    <w:rsid w:val="0828199A"/>
    <w:rsid w:val="083420ED"/>
    <w:rsid w:val="08410120"/>
    <w:rsid w:val="08627F12"/>
    <w:rsid w:val="08837EDD"/>
    <w:rsid w:val="088A5A8D"/>
    <w:rsid w:val="08AC6D67"/>
    <w:rsid w:val="08F33D56"/>
    <w:rsid w:val="092A65D8"/>
    <w:rsid w:val="0970144A"/>
    <w:rsid w:val="099D39BD"/>
    <w:rsid w:val="09AD03A9"/>
    <w:rsid w:val="09D05E45"/>
    <w:rsid w:val="0A0250B2"/>
    <w:rsid w:val="0A302067"/>
    <w:rsid w:val="0A6B75FC"/>
    <w:rsid w:val="0AD23916"/>
    <w:rsid w:val="0B097BE1"/>
    <w:rsid w:val="0B154B72"/>
    <w:rsid w:val="0B1C3A38"/>
    <w:rsid w:val="0B2C6D5D"/>
    <w:rsid w:val="0B3A3EBE"/>
    <w:rsid w:val="0B860EB1"/>
    <w:rsid w:val="0BE1433A"/>
    <w:rsid w:val="0C1404FD"/>
    <w:rsid w:val="0C2F32F7"/>
    <w:rsid w:val="0C4072B2"/>
    <w:rsid w:val="0C5C523A"/>
    <w:rsid w:val="0C6236CC"/>
    <w:rsid w:val="0CFC4FF4"/>
    <w:rsid w:val="0D1424ED"/>
    <w:rsid w:val="0D183295"/>
    <w:rsid w:val="0D9A0C44"/>
    <w:rsid w:val="0DA6583B"/>
    <w:rsid w:val="0DBF6C3D"/>
    <w:rsid w:val="0DF6632D"/>
    <w:rsid w:val="0E1831E9"/>
    <w:rsid w:val="0E211365"/>
    <w:rsid w:val="0E835B7C"/>
    <w:rsid w:val="0ECB4993"/>
    <w:rsid w:val="0ECB7EDB"/>
    <w:rsid w:val="0ED93549"/>
    <w:rsid w:val="0F29227F"/>
    <w:rsid w:val="0F2B4B13"/>
    <w:rsid w:val="0F904E98"/>
    <w:rsid w:val="0FA43FFC"/>
    <w:rsid w:val="0FB96D88"/>
    <w:rsid w:val="103E15C6"/>
    <w:rsid w:val="10667503"/>
    <w:rsid w:val="106A19A1"/>
    <w:rsid w:val="10944070"/>
    <w:rsid w:val="10B938A1"/>
    <w:rsid w:val="10BD6F35"/>
    <w:rsid w:val="11702869"/>
    <w:rsid w:val="11E4732B"/>
    <w:rsid w:val="125E320E"/>
    <w:rsid w:val="126F6B43"/>
    <w:rsid w:val="128217C4"/>
    <w:rsid w:val="129B2345"/>
    <w:rsid w:val="129E4708"/>
    <w:rsid w:val="12C16AC3"/>
    <w:rsid w:val="12D83AF6"/>
    <w:rsid w:val="12E371B5"/>
    <w:rsid w:val="13021412"/>
    <w:rsid w:val="135F0966"/>
    <w:rsid w:val="1376180B"/>
    <w:rsid w:val="13765CAF"/>
    <w:rsid w:val="13A808C4"/>
    <w:rsid w:val="13AD4714"/>
    <w:rsid w:val="13B44B2B"/>
    <w:rsid w:val="13BB206E"/>
    <w:rsid w:val="14302D6A"/>
    <w:rsid w:val="14411E19"/>
    <w:rsid w:val="144750CD"/>
    <w:rsid w:val="1452128F"/>
    <w:rsid w:val="147246C9"/>
    <w:rsid w:val="14750D5A"/>
    <w:rsid w:val="149503B7"/>
    <w:rsid w:val="149915F0"/>
    <w:rsid w:val="152D239E"/>
    <w:rsid w:val="164C30A7"/>
    <w:rsid w:val="16ED0036"/>
    <w:rsid w:val="16FC471D"/>
    <w:rsid w:val="170A5AD6"/>
    <w:rsid w:val="176E7096"/>
    <w:rsid w:val="17F17FFA"/>
    <w:rsid w:val="17FA7FA2"/>
    <w:rsid w:val="185A012E"/>
    <w:rsid w:val="185F31B6"/>
    <w:rsid w:val="1869193F"/>
    <w:rsid w:val="187D188E"/>
    <w:rsid w:val="18820C52"/>
    <w:rsid w:val="188F52D8"/>
    <w:rsid w:val="189B3ABB"/>
    <w:rsid w:val="18CB084B"/>
    <w:rsid w:val="18D30901"/>
    <w:rsid w:val="18DA0A8E"/>
    <w:rsid w:val="18E45469"/>
    <w:rsid w:val="19831126"/>
    <w:rsid w:val="19AC2A86"/>
    <w:rsid w:val="19CD414F"/>
    <w:rsid w:val="19EA4D01"/>
    <w:rsid w:val="1A064CB9"/>
    <w:rsid w:val="1A2957DE"/>
    <w:rsid w:val="1A3B7D69"/>
    <w:rsid w:val="1A5C0592"/>
    <w:rsid w:val="1A890844"/>
    <w:rsid w:val="1AA14C2C"/>
    <w:rsid w:val="1AA2738A"/>
    <w:rsid w:val="1AA55149"/>
    <w:rsid w:val="1AA650CC"/>
    <w:rsid w:val="1AC3611C"/>
    <w:rsid w:val="1AF077EF"/>
    <w:rsid w:val="1AFA5F43"/>
    <w:rsid w:val="1AFC6A9A"/>
    <w:rsid w:val="1B0421DB"/>
    <w:rsid w:val="1B2613A8"/>
    <w:rsid w:val="1BA3709D"/>
    <w:rsid w:val="1BBE08A4"/>
    <w:rsid w:val="1BC9118B"/>
    <w:rsid w:val="1C4260DE"/>
    <w:rsid w:val="1C536B8E"/>
    <w:rsid w:val="1C9654E2"/>
    <w:rsid w:val="1CB515F6"/>
    <w:rsid w:val="1CCC06EE"/>
    <w:rsid w:val="1D1632F3"/>
    <w:rsid w:val="1D1A58FD"/>
    <w:rsid w:val="1D57445C"/>
    <w:rsid w:val="1D7D3EDE"/>
    <w:rsid w:val="1D9E3B64"/>
    <w:rsid w:val="1DAB1E82"/>
    <w:rsid w:val="1DAD7E0C"/>
    <w:rsid w:val="1DFF2482"/>
    <w:rsid w:val="1E217D0B"/>
    <w:rsid w:val="1E312B1D"/>
    <w:rsid w:val="1E312B23"/>
    <w:rsid w:val="1E3E0571"/>
    <w:rsid w:val="1E721D7B"/>
    <w:rsid w:val="1E9B1AE1"/>
    <w:rsid w:val="1F071EB1"/>
    <w:rsid w:val="1F0B0367"/>
    <w:rsid w:val="1F244811"/>
    <w:rsid w:val="1F2B624B"/>
    <w:rsid w:val="1F58270D"/>
    <w:rsid w:val="1FBB633A"/>
    <w:rsid w:val="1FC14756"/>
    <w:rsid w:val="1FD56262"/>
    <w:rsid w:val="202B5346"/>
    <w:rsid w:val="205253AE"/>
    <w:rsid w:val="20623843"/>
    <w:rsid w:val="206334A0"/>
    <w:rsid w:val="208F03B0"/>
    <w:rsid w:val="20B41BC5"/>
    <w:rsid w:val="20B56069"/>
    <w:rsid w:val="20CE3F85"/>
    <w:rsid w:val="20E83DA2"/>
    <w:rsid w:val="21843C8D"/>
    <w:rsid w:val="21C10A3D"/>
    <w:rsid w:val="21CB284F"/>
    <w:rsid w:val="21D05231"/>
    <w:rsid w:val="21D520B1"/>
    <w:rsid w:val="21DB0155"/>
    <w:rsid w:val="220E3E9E"/>
    <w:rsid w:val="22496E75"/>
    <w:rsid w:val="22631AF5"/>
    <w:rsid w:val="227139FF"/>
    <w:rsid w:val="22A0786A"/>
    <w:rsid w:val="231E77CA"/>
    <w:rsid w:val="23311CBD"/>
    <w:rsid w:val="236553F8"/>
    <w:rsid w:val="239D1036"/>
    <w:rsid w:val="23A411CC"/>
    <w:rsid w:val="23A61C99"/>
    <w:rsid w:val="23AB4B8D"/>
    <w:rsid w:val="23B73EA6"/>
    <w:rsid w:val="24002E90"/>
    <w:rsid w:val="2419690F"/>
    <w:rsid w:val="24355299"/>
    <w:rsid w:val="243C25FD"/>
    <w:rsid w:val="24447AE2"/>
    <w:rsid w:val="246D6944"/>
    <w:rsid w:val="24702247"/>
    <w:rsid w:val="247C0C4C"/>
    <w:rsid w:val="24D25416"/>
    <w:rsid w:val="24E72569"/>
    <w:rsid w:val="25002263"/>
    <w:rsid w:val="252D109A"/>
    <w:rsid w:val="256040C9"/>
    <w:rsid w:val="25D52D09"/>
    <w:rsid w:val="25EB3B3B"/>
    <w:rsid w:val="261C4494"/>
    <w:rsid w:val="262510C4"/>
    <w:rsid w:val="26797B39"/>
    <w:rsid w:val="26902A34"/>
    <w:rsid w:val="26F826B4"/>
    <w:rsid w:val="27250529"/>
    <w:rsid w:val="273E5806"/>
    <w:rsid w:val="274504CE"/>
    <w:rsid w:val="275D4EC3"/>
    <w:rsid w:val="27805F0E"/>
    <w:rsid w:val="27913B1D"/>
    <w:rsid w:val="27B05B28"/>
    <w:rsid w:val="27DD7C53"/>
    <w:rsid w:val="281063D6"/>
    <w:rsid w:val="282F380E"/>
    <w:rsid w:val="283E338B"/>
    <w:rsid w:val="286D34D7"/>
    <w:rsid w:val="28793E20"/>
    <w:rsid w:val="287C1DDC"/>
    <w:rsid w:val="28D63020"/>
    <w:rsid w:val="28DF2921"/>
    <w:rsid w:val="296072FA"/>
    <w:rsid w:val="29930F11"/>
    <w:rsid w:val="29F64FB2"/>
    <w:rsid w:val="2A0616E3"/>
    <w:rsid w:val="2A070FB7"/>
    <w:rsid w:val="2A1A7C10"/>
    <w:rsid w:val="2A1F41BD"/>
    <w:rsid w:val="2A59783B"/>
    <w:rsid w:val="2A7E571E"/>
    <w:rsid w:val="2A862824"/>
    <w:rsid w:val="2AA42CAA"/>
    <w:rsid w:val="2AEE1B0E"/>
    <w:rsid w:val="2AFC6642"/>
    <w:rsid w:val="2B30012B"/>
    <w:rsid w:val="2B3B467B"/>
    <w:rsid w:val="2B534724"/>
    <w:rsid w:val="2BD30977"/>
    <w:rsid w:val="2BE315B0"/>
    <w:rsid w:val="2C2F10D4"/>
    <w:rsid w:val="2C567FD4"/>
    <w:rsid w:val="2C93195A"/>
    <w:rsid w:val="2CC47634"/>
    <w:rsid w:val="2D0A773C"/>
    <w:rsid w:val="2D0D0FDB"/>
    <w:rsid w:val="2D44554B"/>
    <w:rsid w:val="2DBC4548"/>
    <w:rsid w:val="2DC0292D"/>
    <w:rsid w:val="2DEF06E0"/>
    <w:rsid w:val="2DFB0E33"/>
    <w:rsid w:val="2E1B3904"/>
    <w:rsid w:val="2E5C4EFF"/>
    <w:rsid w:val="2E5F7614"/>
    <w:rsid w:val="2E6E3CFB"/>
    <w:rsid w:val="2ED92583"/>
    <w:rsid w:val="2EED1C49"/>
    <w:rsid w:val="2F2F5238"/>
    <w:rsid w:val="2F883EA8"/>
    <w:rsid w:val="2FB80E13"/>
    <w:rsid w:val="2FC600BD"/>
    <w:rsid w:val="2FD1009E"/>
    <w:rsid w:val="2FE51D9B"/>
    <w:rsid w:val="2FFD0E93"/>
    <w:rsid w:val="3002294D"/>
    <w:rsid w:val="300F481D"/>
    <w:rsid w:val="30330D58"/>
    <w:rsid w:val="3049057C"/>
    <w:rsid w:val="30633B77"/>
    <w:rsid w:val="3083493D"/>
    <w:rsid w:val="30A567B5"/>
    <w:rsid w:val="30B44B89"/>
    <w:rsid w:val="30C419B0"/>
    <w:rsid w:val="30CB0F77"/>
    <w:rsid w:val="30EE5DDC"/>
    <w:rsid w:val="30F5717C"/>
    <w:rsid w:val="30F6750D"/>
    <w:rsid w:val="310C576F"/>
    <w:rsid w:val="31115856"/>
    <w:rsid w:val="318B0720"/>
    <w:rsid w:val="31913CEF"/>
    <w:rsid w:val="31A649C7"/>
    <w:rsid w:val="31CE2CA7"/>
    <w:rsid w:val="31DB6A55"/>
    <w:rsid w:val="32127826"/>
    <w:rsid w:val="321D3A6E"/>
    <w:rsid w:val="322F37A1"/>
    <w:rsid w:val="32A61CB5"/>
    <w:rsid w:val="32C37B36"/>
    <w:rsid w:val="33265020"/>
    <w:rsid w:val="33704071"/>
    <w:rsid w:val="33947D60"/>
    <w:rsid w:val="33B20E36"/>
    <w:rsid w:val="33E228F6"/>
    <w:rsid w:val="34143BD3"/>
    <w:rsid w:val="341E587B"/>
    <w:rsid w:val="342310E4"/>
    <w:rsid w:val="34605E94"/>
    <w:rsid w:val="34763909"/>
    <w:rsid w:val="348245D2"/>
    <w:rsid w:val="352232FB"/>
    <w:rsid w:val="35740700"/>
    <w:rsid w:val="35A973C7"/>
    <w:rsid w:val="35FB549E"/>
    <w:rsid w:val="36076808"/>
    <w:rsid w:val="3639699D"/>
    <w:rsid w:val="3671336D"/>
    <w:rsid w:val="36C07ABB"/>
    <w:rsid w:val="36C930F7"/>
    <w:rsid w:val="3747333B"/>
    <w:rsid w:val="3748158D"/>
    <w:rsid w:val="374C0952"/>
    <w:rsid w:val="376E2676"/>
    <w:rsid w:val="37797999"/>
    <w:rsid w:val="377F2AD5"/>
    <w:rsid w:val="37CD5B8D"/>
    <w:rsid w:val="38B86F38"/>
    <w:rsid w:val="38BD056F"/>
    <w:rsid w:val="38D55311"/>
    <w:rsid w:val="38E56968"/>
    <w:rsid w:val="391C6827"/>
    <w:rsid w:val="3936187C"/>
    <w:rsid w:val="39772813"/>
    <w:rsid w:val="398628F2"/>
    <w:rsid w:val="3A052A73"/>
    <w:rsid w:val="3A106F28"/>
    <w:rsid w:val="3A217E73"/>
    <w:rsid w:val="3A233BEC"/>
    <w:rsid w:val="3A2741E2"/>
    <w:rsid w:val="3A2B0CF2"/>
    <w:rsid w:val="3A5A625B"/>
    <w:rsid w:val="3A5B15D7"/>
    <w:rsid w:val="3A837A28"/>
    <w:rsid w:val="3A8B1791"/>
    <w:rsid w:val="3AA30888"/>
    <w:rsid w:val="3AA33248"/>
    <w:rsid w:val="3ADB2718"/>
    <w:rsid w:val="3AFA0037"/>
    <w:rsid w:val="3B286C5A"/>
    <w:rsid w:val="3B38334B"/>
    <w:rsid w:val="3B5D4EDB"/>
    <w:rsid w:val="3B6A75F8"/>
    <w:rsid w:val="3B722F28"/>
    <w:rsid w:val="3B7C2623"/>
    <w:rsid w:val="3B9956C9"/>
    <w:rsid w:val="3BAB20EB"/>
    <w:rsid w:val="3BB43A35"/>
    <w:rsid w:val="3BD322AF"/>
    <w:rsid w:val="3BED565D"/>
    <w:rsid w:val="3BF70E8C"/>
    <w:rsid w:val="3C274470"/>
    <w:rsid w:val="3C395948"/>
    <w:rsid w:val="3C533DA8"/>
    <w:rsid w:val="3C662A48"/>
    <w:rsid w:val="3C9C1A33"/>
    <w:rsid w:val="3CB02E28"/>
    <w:rsid w:val="3CB625BC"/>
    <w:rsid w:val="3CBD29AA"/>
    <w:rsid w:val="3D0715A3"/>
    <w:rsid w:val="3D29776B"/>
    <w:rsid w:val="3D2E4D81"/>
    <w:rsid w:val="3D385C00"/>
    <w:rsid w:val="3D3F1702"/>
    <w:rsid w:val="3D54230E"/>
    <w:rsid w:val="3D827BF5"/>
    <w:rsid w:val="3D9848F1"/>
    <w:rsid w:val="3DBE682D"/>
    <w:rsid w:val="3DE71FBC"/>
    <w:rsid w:val="3DF37D79"/>
    <w:rsid w:val="3E572299"/>
    <w:rsid w:val="3E6D1A7C"/>
    <w:rsid w:val="3E810EE1"/>
    <w:rsid w:val="3E8C358E"/>
    <w:rsid w:val="3EC534C3"/>
    <w:rsid w:val="3EC82FB3"/>
    <w:rsid w:val="3ECF4C3A"/>
    <w:rsid w:val="3F026D24"/>
    <w:rsid w:val="3F06588A"/>
    <w:rsid w:val="3F1210ED"/>
    <w:rsid w:val="3F2830F9"/>
    <w:rsid w:val="3FA21DFE"/>
    <w:rsid w:val="3FB3688B"/>
    <w:rsid w:val="3FDE7F95"/>
    <w:rsid w:val="3FF51B86"/>
    <w:rsid w:val="40261A08"/>
    <w:rsid w:val="402E34F4"/>
    <w:rsid w:val="405151E1"/>
    <w:rsid w:val="407F76A2"/>
    <w:rsid w:val="408810DD"/>
    <w:rsid w:val="410F791B"/>
    <w:rsid w:val="411B781C"/>
    <w:rsid w:val="415D3E87"/>
    <w:rsid w:val="41831414"/>
    <w:rsid w:val="418701F1"/>
    <w:rsid w:val="418C2076"/>
    <w:rsid w:val="41975402"/>
    <w:rsid w:val="41AB2105"/>
    <w:rsid w:val="41C757A4"/>
    <w:rsid w:val="41DC61E3"/>
    <w:rsid w:val="41DD5280"/>
    <w:rsid w:val="41DE7F50"/>
    <w:rsid w:val="420F365B"/>
    <w:rsid w:val="42164AF4"/>
    <w:rsid w:val="423050F8"/>
    <w:rsid w:val="424826BA"/>
    <w:rsid w:val="424B26B5"/>
    <w:rsid w:val="42B533F0"/>
    <w:rsid w:val="42F8446B"/>
    <w:rsid w:val="43296F07"/>
    <w:rsid w:val="432E1E4F"/>
    <w:rsid w:val="4379360A"/>
    <w:rsid w:val="43BA51F0"/>
    <w:rsid w:val="44101C89"/>
    <w:rsid w:val="443360D8"/>
    <w:rsid w:val="443609BF"/>
    <w:rsid w:val="44B6448D"/>
    <w:rsid w:val="44CD20C7"/>
    <w:rsid w:val="44D04970"/>
    <w:rsid w:val="44F73D6C"/>
    <w:rsid w:val="452B1BA6"/>
    <w:rsid w:val="45657AEB"/>
    <w:rsid w:val="456C0ED5"/>
    <w:rsid w:val="45B527CD"/>
    <w:rsid w:val="45C27613"/>
    <w:rsid w:val="45DD1CEE"/>
    <w:rsid w:val="45F63209"/>
    <w:rsid w:val="46314134"/>
    <w:rsid w:val="46340F2E"/>
    <w:rsid w:val="46A460B4"/>
    <w:rsid w:val="46B53E1D"/>
    <w:rsid w:val="46B739C7"/>
    <w:rsid w:val="46BC1650"/>
    <w:rsid w:val="46D579F7"/>
    <w:rsid w:val="46DF4F94"/>
    <w:rsid w:val="477261B2"/>
    <w:rsid w:val="47BA5463"/>
    <w:rsid w:val="47D46DB8"/>
    <w:rsid w:val="480706A9"/>
    <w:rsid w:val="48284AC3"/>
    <w:rsid w:val="48CA11E7"/>
    <w:rsid w:val="48FF79AF"/>
    <w:rsid w:val="49044CF9"/>
    <w:rsid w:val="491357D2"/>
    <w:rsid w:val="49263B08"/>
    <w:rsid w:val="492B43F9"/>
    <w:rsid w:val="49312A5F"/>
    <w:rsid w:val="493443AD"/>
    <w:rsid w:val="49372A29"/>
    <w:rsid w:val="49382AE4"/>
    <w:rsid w:val="495A6EFE"/>
    <w:rsid w:val="498126DD"/>
    <w:rsid w:val="49F033BE"/>
    <w:rsid w:val="49FB270E"/>
    <w:rsid w:val="4A2A7EF5"/>
    <w:rsid w:val="4A2B6EBA"/>
    <w:rsid w:val="4A4221D9"/>
    <w:rsid w:val="4A547DF1"/>
    <w:rsid w:val="4A742241"/>
    <w:rsid w:val="4AAC4D70"/>
    <w:rsid w:val="4B0E0F22"/>
    <w:rsid w:val="4B226A7C"/>
    <w:rsid w:val="4B4D4EC5"/>
    <w:rsid w:val="4B6B0F4E"/>
    <w:rsid w:val="4BA021F2"/>
    <w:rsid w:val="4BEB0573"/>
    <w:rsid w:val="4BEF499C"/>
    <w:rsid w:val="4C080E93"/>
    <w:rsid w:val="4C216D3B"/>
    <w:rsid w:val="4C554C45"/>
    <w:rsid w:val="4C6C31D0"/>
    <w:rsid w:val="4C995F8F"/>
    <w:rsid w:val="4CB23C2D"/>
    <w:rsid w:val="4CCA7EF7"/>
    <w:rsid w:val="4D0B3D7D"/>
    <w:rsid w:val="4D553C64"/>
    <w:rsid w:val="4D646E93"/>
    <w:rsid w:val="4D784E5B"/>
    <w:rsid w:val="4D9736C9"/>
    <w:rsid w:val="4DB35B43"/>
    <w:rsid w:val="4DD02869"/>
    <w:rsid w:val="4DEE5DF2"/>
    <w:rsid w:val="4DF02264"/>
    <w:rsid w:val="4E745DED"/>
    <w:rsid w:val="4E8B1908"/>
    <w:rsid w:val="4E9B3304"/>
    <w:rsid w:val="4EA824BA"/>
    <w:rsid w:val="4ED80FF1"/>
    <w:rsid w:val="4EE96D5A"/>
    <w:rsid w:val="4EF75DA1"/>
    <w:rsid w:val="4EFB6C2C"/>
    <w:rsid w:val="4F217382"/>
    <w:rsid w:val="4F3F4BCC"/>
    <w:rsid w:val="4F471CD3"/>
    <w:rsid w:val="4F927145"/>
    <w:rsid w:val="4F942FD3"/>
    <w:rsid w:val="4FAD422B"/>
    <w:rsid w:val="4FB82BD0"/>
    <w:rsid w:val="4FBA7845"/>
    <w:rsid w:val="4FC109A1"/>
    <w:rsid w:val="4FC9594E"/>
    <w:rsid w:val="4FD549ED"/>
    <w:rsid w:val="4FD942A1"/>
    <w:rsid w:val="4FF82FCD"/>
    <w:rsid w:val="502C45F4"/>
    <w:rsid w:val="505B508B"/>
    <w:rsid w:val="50812FC2"/>
    <w:rsid w:val="508257A8"/>
    <w:rsid w:val="50845A68"/>
    <w:rsid w:val="508E7502"/>
    <w:rsid w:val="50947199"/>
    <w:rsid w:val="5101065B"/>
    <w:rsid w:val="51220301"/>
    <w:rsid w:val="5132515F"/>
    <w:rsid w:val="516B614C"/>
    <w:rsid w:val="518C2CC3"/>
    <w:rsid w:val="51B66C9C"/>
    <w:rsid w:val="520E0078"/>
    <w:rsid w:val="520E6AD8"/>
    <w:rsid w:val="521A36CE"/>
    <w:rsid w:val="5221680B"/>
    <w:rsid w:val="52AF2069"/>
    <w:rsid w:val="52EA4BA0"/>
    <w:rsid w:val="52F42171"/>
    <w:rsid w:val="52FD40FF"/>
    <w:rsid w:val="536926DE"/>
    <w:rsid w:val="53DA720B"/>
    <w:rsid w:val="53DB1BAB"/>
    <w:rsid w:val="53EA44B8"/>
    <w:rsid w:val="540A330D"/>
    <w:rsid w:val="543929EE"/>
    <w:rsid w:val="54484523"/>
    <w:rsid w:val="544E01F0"/>
    <w:rsid w:val="54510944"/>
    <w:rsid w:val="546B5E83"/>
    <w:rsid w:val="5473762D"/>
    <w:rsid w:val="54AF0B23"/>
    <w:rsid w:val="550121BC"/>
    <w:rsid w:val="551B70A5"/>
    <w:rsid w:val="551C150B"/>
    <w:rsid w:val="55411085"/>
    <w:rsid w:val="55434CEA"/>
    <w:rsid w:val="554A6079"/>
    <w:rsid w:val="55684B92"/>
    <w:rsid w:val="556C4241"/>
    <w:rsid w:val="557E5D22"/>
    <w:rsid w:val="558805A5"/>
    <w:rsid w:val="55B55408"/>
    <w:rsid w:val="55C5183A"/>
    <w:rsid w:val="55D87E1A"/>
    <w:rsid w:val="55FB670D"/>
    <w:rsid w:val="560C1580"/>
    <w:rsid w:val="56270168"/>
    <w:rsid w:val="565F3DA6"/>
    <w:rsid w:val="56B23ED5"/>
    <w:rsid w:val="57250B4B"/>
    <w:rsid w:val="573524A7"/>
    <w:rsid w:val="57601B83"/>
    <w:rsid w:val="57607DD5"/>
    <w:rsid w:val="5765363E"/>
    <w:rsid w:val="57831D16"/>
    <w:rsid w:val="57D30256"/>
    <w:rsid w:val="57D367F9"/>
    <w:rsid w:val="57EC3417"/>
    <w:rsid w:val="585A4825"/>
    <w:rsid w:val="587D1DB6"/>
    <w:rsid w:val="588D419D"/>
    <w:rsid w:val="58AF1A4C"/>
    <w:rsid w:val="58B54151"/>
    <w:rsid w:val="58F9403E"/>
    <w:rsid w:val="592C4742"/>
    <w:rsid w:val="593D2BEE"/>
    <w:rsid w:val="594F1EAF"/>
    <w:rsid w:val="59611BE3"/>
    <w:rsid w:val="59611F42"/>
    <w:rsid w:val="59A57D21"/>
    <w:rsid w:val="59CB316F"/>
    <w:rsid w:val="59CE258C"/>
    <w:rsid w:val="59E208A7"/>
    <w:rsid w:val="59EF0B22"/>
    <w:rsid w:val="5A252C10"/>
    <w:rsid w:val="5A276988"/>
    <w:rsid w:val="5A4B613A"/>
    <w:rsid w:val="5A530D01"/>
    <w:rsid w:val="5A6F0DB4"/>
    <w:rsid w:val="5A9A7A80"/>
    <w:rsid w:val="5AA4622B"/>
    <w:rsid w:val="5AB13AE4"/>
    <w:rsid w:val="5AF812E0"/>
    <w:rsid w:val="5B3A093D"/>
    <w:rsid w:val="5B4F263B"/>
    <w:rsid w:val="5B6634E0"/>
    <w:rsid w:val="5B7A14D1"/>
    <w:rsid w:val="5B834092"/>
    <w:rsid w:val="5B865A20"/>
    <w:rsid w:val="5BAC15F8"/>
    <w:rsid w:val="5BAD2CD9"/>
    <w:rsid w:val="5BCE7A03"/>
    <w:rsid w:val="5BD3501A"/>
    <w:rsid w:val="5C14118E"/>
    <w:rsid w:val="5C380620"/>
    <w:rsid w:val="5C3E68B9"/>
    <w:rsid w:val="5C517AE3"/>
    <w:rsid w:val="5C5872CD"/>
    <w:rsid w:val="5C9D2C29"/>
    <w:rsid w:val="5CCC6A0E"/>
    <w:rsid w:val="5D091650"/>
    <w:rsid w:val="5D4B4293"/>
    <w:rsid w:val="5D8A5BAC"/>
    <w:rsid w:val="5DD834F7"/>
    <w:rsid w:val="5DDE2CEB"/>
    <w:rsid w:val="5DE54B90"/>
    <w:rsid w:val="5E530FC6"/>
    <w:rsid w:val="5E7D44EB"/>
    <w:rsid w:val="5E7E6B23"/>
    <w:rsid w:val="5E857041"/>
    <w:rsid w:val="5E9C496B"/>
    <w:rsid w:val="5EA047A9"/>
    <w:rsid w:val="5EE80A93"/>
    <w:rsid w:val="5F535BFA"/>
    <w:rsid w:val="5F5A335C"/>
    <w:rsid w:val="5F7E34EF"/>
    <w:rsid w:val="5F7E529D"/>
    <w:rsid w:val="5FC724A3"/>
    <w:rsid w:val="5FE11C47"/>
    <w:rsid w:val="60002155"/>
    <w:rsid w:val="60065E0F"/>
    <w:rsid w:val="600E4496"/>
    <w:rsid w:val="601C48A4"/>
    <w:rsid w:val="602639AA"/>
    <w:rsid w:val="60335DCE"/>
    <w:rsid w:val="60563B24"/>
    <w:rsid w:val="608B2917"/>
    <w:rsid w:val="608B7FAD"/>
    <w:rsid w:val="60C64108"/>
    <w:rsid w:val="60E23609"/>
    <w:rsid w:val="611807AB"/>
    <w:rsid w:val="619C614C"/>
    <w:rsid w:val="61B96A60"/>
    <w:rsid w:val="61ED04B8"/>
    <w:rsid w:val="62746E66"/>
    <w:rsid w:val="62C96492"/>
    <w:rsid w:val="62D11B87"/>
    <w:rsid w:val="63051831"/>
    <w:rsid w:val="63360C3B"/>
    <w:rsid w:val="639A5746"/>
    <w:rsid w:val="63A423C9"/>
    <w:rsid w:val="643248A8"/>
    <w:rsid w:val="64793BAB"/>
    <w:rsid w:val="648A46E4"/>
    <w:rsid w:val="64A9042B"/>
    <w:rsid w:val="64CB26DD"/>
    <w:rsid w:val="65165F77"/>
    <w:rsid w:val="651B533C"/>
    <w:rsid w:val="6525440C"/>
    <w:rsid w:val="655578D8"/>
    <w:rsid w:val="65C71020"/>
    <w:rsid w:val="66511725"/>
    <w:rsid w:val="66542216"/>
    <w:rsid w:val="66976C44"/>
    <w:rsid w:val="671000BB"/>
    <w:rsid w:val="672500BF"/>
    <w:rsid w:val="67472418"/>
    <w:rsid w:val="674D05B9"/>
    <w:rsid w:val="675B2D96"/>
    <w:rsid w:val="67631F20"/>
    <w:rsid w:val="6795499F"/>
    <w:rsid w:val="67AA29A7"/>
    <w:rsid w:val="67ED7463"/>
    <w:rsid w:val="687952FC"/>
    <w:rsid w:val="68902444"/>
    <w:rsid w:val="6894168D"/>
    <w:rsid w:val="68980CEA"/>
    <w:rsid w:val="68D62446"/>
    <w:rsid w:val="68ED6FEF"/>
    <w:rsid w:val="68EF2524"/>
    <w:rsid w:val="694B01CA"/>
    <w:rsid w:val="69814A3B"/>
    <w:rsid w:val="69966849"/>
    <w:rsid w:val="699A2F00"/>
    <w:rsid w:val="699E02E9"/>
    <w:rsid w:val="69B01336"/>
    <w:rsid w:val="69B02DB9"/>
    <w:rsid w:val="69D47947"/>
    <w:rsid w:val="6A161E4A"/>
    <w:rsid w:val="6A1F142A"/>
    <w:rsid w:val="6A2C68C9"/>
    <w:rsid w:val="6A3A2708"/>
    <w:rsid w:val="6A57516F"/>
    <w:rsid w:val="6A6F45A5"/>
    <w:rsid w:val="6A7C5719"/>
    <w:rsid w:val="6A8B4D12"/>
    <w:rsid w:val="6ACC3B31"/>
    <w:rsid w:val="6AD0313D"/>
    <w:rsid w:val="6AD119EC"/>
    <w:rsid w:val="6AF24D91"/>
    <w:rsid w:val="6AF91C7B"/>
    <w:rsid w:val="6B1B3DAE"/>
    <w:rsid w:val="6B206D9D"/>
    <w:rsid w:val="6B572E46"/>
    <w:rsid w:val="6B776E7D"/>
    <w:rsid w:val="6BB81B36"/>
    <w:rsid w:val="6BD6170F"/>
    <w:rsid w:val="6BEC60F2"/>
    <w:rsid w:val="6BFB12CE"/>
    <w:rsid w:val="6C044D7B"/>
    <w:rsid w:val="6C060AF4"/>
    <w:rsid w:val="6C4E327A"/>
    <w:rsid w:val="6CAD6CAC"/>
    <w:rsid w:val="6CBF6EF4"/>
    <w:rsid w:val="6CEF5C33"/>
    <w:rsid w:val="6D1C037E"/>
    <w:rsid w:val="6D365409"/>
    <w:rsid w:val="6D420DAF"/>
    <w:rsid w:val="6D5B09CB"/>
    <w:rsid w:val="6DFC1081"/>
    <w:rsid w:val="6E072901"/>
    <w:rsid w:val="6E0E5823"/>
    <w:rsid w:val="6E354149"/>
    <w:rsid w:val="6E386F5E"/>
    <w:rsid w:val="6E6C52F9"/>
    <w:rsid w:val="6E8D72AA"/>
    <w:rsid w:val="6E9F6FDD"/>
    <w:rsid w:val="6ECB392F"/>
    <w:rsid w:val="6F2B7182"/>
    <w:rsid w:val="6F524050"/>
    <w:rsid w:val="6F593630"/>
    <w:rsid w:val="6F9208F0"/>
    <w:rsid w:val="6F9B77A5"/>
    <w:rsid w:val="6FB272F9"/>
    <w:rsid w:val="6FBE3493"/>
    <w:rsid w:val="6FDB63B6"/>
    <w:rsid w:val="70074E3A"/>
    <w:rsid w:val="703D6AAE"/>
    <w:rsid w:val="70460525"/>
    <w:rsid w:val="705D4A5A"/>
    <w:rsid w:val="7060279C"/>
    <w:rsid w:val="70B52528"/>
    <w:rsid w:val="71031003"/>
    <w:rsid w:val="710C4966"/>
    <w:rsid w:val="71213054"/>
    <w:rsid w:val="71272C80"/>
    <w:rsid w:val="7146022A"/>
    <w:rsid w:val="714663E7"/>
    <w:rsid w:val="715416A2"/>
    <w:rsid w:val="71775FF0"/>
    <w:rsid w:val="71B65A5E"/>
    <w:rsid w:val="71D052C3"/>
    <w:rsid w:val="722E11C0"/>
    <w:rsid w:val="7235622E"/>
    <w:rsid w:val="72461E3B"/>
    <w:rsid w:val="725320D0"/>
    <w:rsid w:val="727D13E4"/>
    <w:rsid w:val="729A3D44"/>
    <w:rsid w:val="72BD3ED6"/>
    <w:rsid w:val="72F3283D"/>
    <w:rsid w:val="734E4B2E"/>
    <w:rsid w:val="73BF3BE6"/>
    <w:rsid w:val="73C371D9"/>
    <w:rsid w:val="73DB4659"/>
    <w:rsid w:val="73E32E08"/>
    <w:rsid w:val="73F01CFC"/>
    <w:rsid w:val="747800B5"/>
    <w:rsid w:val="749B3DA3"/>
    <w:rsid w:val="74DA48CB"/>
    <w:rsid w:val="74F6605C"/>
    <w:rsid w:val="74FE218A"/>
    <w:rsid w:val="75024E71"/>
    <w:rsid w:val="75510906"/>
    <w:rsid w:val="758B4A63"/>
    <w:rsid w:val="75A373B3"/>
    <w:rsid w:val="75D37248"/>
    <w:rsid w:val="76181B36"/>
    <w:rsid w:val="761C3E57"/>
    <w:rsid w:val="76A519F0"/>
    <w:rsid w:val="76F459ED"/>
    <w:rsid w:val="770A48E1"/>
    <w:rsid w:val="77104126"/>
    <w:rsid w:val="771340C5"/>
    <w:rsid w:val="77161E07"/>
    <w:rsid w:val="774633D3"/>
    <w:rsid w:val="77982CE7"/>
    <w:rsid w:val="77B91110"/>
    <w:rsid w:val="77DA2997"/>
    <w:rsid w:val="77E12415"/>
    <w:rsid w:val="78120820"/>
    <w:rsid w:val="78414C61"/>
    <w:rsid w:val="7860333A"/>
    <w:rsid w:val="786165D5"/>
    <w:rsid w:val="788A2AAC"/>
    <w:rsid w:val="788D434B"/>
    <w:rsid w:val="78A036FC"/>
    <w:rsid w:val="78C9689B"/>
    <w:rsid w:val="78CC05E7"/>
    <w:rsid w:val="78EC2E1F"/>
    <w:rsid w:val="793B7903"/>
    <w:rsid w:val="796926C2"/>
    <w:rsid w:val="79B41A4E"/>
    <w:rsid w:val="79C74A9A"/>
    <w:rsid w:val="79D51B05"/>
    <w:rsid w:val="7A3531B8"/>
    <w:rsid w:val="7A505630"/>
    <w:rsid w:val="7ADA0A3D"/>
    <w:rsid w:val="7B1B79EC"/>
    <w:rsid w:val="7B222D20"/>
    <w:rsid w:val="7B497A36"/>
    <w:rsid w:val="7B5911D5"/>
    <w:rsid w:val="7B5F1FCE"/>
    <w:rsid w:val="7B7406C4"/>
    <w:rsid w:val="7BD70348"/>
    <w:rsid w:val="7BD965DC"/>
    <w:rsid w:val="7BDA5FBB"/>
    <w:rsid w:val="7BDC717B"/>
    <w:rsid w:val="7BE2675B"/>
    <w:rsid w:val="7C321B14"/>
    <w:rsid w:val="7C52568F"/>
    <w:rsid w:val="7C61572E"/>
    <w:rsid w:val="7C9711FC"/>
    <w:rsid w:val="7D20753B"/>
    <w:rsid w:val="7D592A4D"/>
    <w:rsid w:val="7DF240AF"/>
    <w:rsid w:val="7DF3559C"/>
    <w:rsid w:val="7DF6029C"/>
    <w:rsid w:val="7DFA5FDE"/>
    <w:rsid w:val="7E684EF7"/>
    <w:rsid w:val="7E7C44CC"/>
    <w:rsid w:val="7EAA512E"/>
    <w:rsid w:val="7ED7114B"/>
    <w:rsid w:val="7F04742E"/>
    <w:rsid w:val="7F1B7FBA"/>
    <w:rsid w:val="7FB0171A"/>
    <w:rsid w:val="7FD12D03"/>
    <w:rsid w:val="7FF17C71"/>
    <w:rsid w:val="7FF470C5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GB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qFormat/>
    <w:uiPriority w:val="0"/>
    <w:pPr>
      <w:jc w:val="left"/>
    </w:p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paragraph" w:styleId="7">
    <w:name w:val="annotation subject"/>
    <w:basedOn w:val="2"/>
    <w:next w:val="2"/>
    <w:link w:val="15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0"/>
    <w:rPr>
      <w:i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character" w:styleId="13">
    <w:name w:val="annotation reference"/>
    <w:basedOn w:val="10"/>
    <w:autoRedefine/>
    <w:qFormat/>
    <w:uiPriority w:val="0"/>
    <w:rPr>
      <w:sz w:val="21"/>
      <w:szCs w:val="21"/>
    </w:rPr>
  </w:style>
  <w:style w:type="character" w:customStyle="1" w:styleId="14">
    <w:name w:val="批注文字 字符"/>
    <w:basedOn w:val="10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7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6">
    <w:name w:val="批注框文本 字符"/>
    <w:basedOn w:val="10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眉 字符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0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2D161C-4248-40E1-A732-772DCEC078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1176</Words>
  <Characters>6606</Characters>
  <Lines>113</Lines>
  <Paragraphs>31</Paragraphs>
  <TotalTime>162</TotalTime>
  <ScaleCrop>false</ScaleCrop>
  <LinksUpToDate>false</LinksUpToDate>
  <CharactersWithSpaces>7562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2023-02-13T01:50:00Z</dcterms:created>
  <dc:creator>五条小鱼游啊游</dc:creator>
  <cp:lastModifiedBy>五条小鱼游啊游</cp:lastModifiedBy>
  <dcterms:modified xsi:type="dcterms:W3CDTF">2024-05-25T07:27:29Z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A37C9A18D561495B8EBFF6BA64DB8041</vt:lpwstr>
  </property>
</Properties>
</file>