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5FE" w:rsidRDefault="001705FE" w:rsidP="001705F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Supplementary Information for</w:t>
      </w:r>
    </w:p>
    <w:p w:rsidR="00C572B3" w:rsidRDefault="00C572B3" w:rsidP="005672D8">
      <w:pPr>
        <w:rPr>
          <w:rFonts w:ascii="Arial" w:hAnsi="Arial" w:cs="Arial"/>
          <w:b/>
          <w:sz w:val="28"/>
          <w:szCs w:val="28"/>
        </w:rPr>
      </w:pPr>
      <w:r w:rsidRPr="00C572B3">
        <w:rPr>
          <w:rFonts w:ascii="Arial" w:hAnsi="Arial" w:cs="Arial"/>
          <w:b/>
          <w:sz w:val="28"/>
          <w:szCs w:val="28"/>
        </w:rPr>
        <w:t>Immunomodulatory effects of trastuzumab deruxtecan through the cGAS-STING pathway in gastric cancer cells</w:t>
      </w:r>
    </w:p>
    <w:p w:rsidR="00A1755D" w:rsidRDefault="00A1755D" w:rsidP="00A1755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Kyoung-Seok Oh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 Ah-Rong Nam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 Ju-Hee Bang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 Yoojin Jeong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 Sea Young Choo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 Hyo Jung Kim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 Su In Lee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 Jae-Min Kim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  <w:vertAlign w:val="superscript"/>
        </w:rPr>
        <w:t xml:space="preserve"> </w:t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>, Jeesun Yoon</w:t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>, Tae-Yong Kim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  <w:vertAlign w:val="superscript"/>
        </w:rPr>
        <w:t xml:space="preserve"> </w:t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>, and Do-Youn Oh</w:t>
      </w: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  <w:vertAlign w:val="superscript"/>
        </w:rPr>
        <w:t xml:space="preserve"> </w:t>
      </w: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  <w:vertAlign w:val="superscript"/>
        </w:rPr>
        <w:t xml:space="preserve"> </w:t>
      </w: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>*</w:t>
      </w:r>
    </w:p>
    <w:p w:rsidR="00A1755D" w:rsidRDefault="00A1755D" w:rsidP="00A1755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vertAlign w:val="subscript"/>
        </w:rPr>
        <w:t>1</w:t>
      </w:r>
      <w:r>
        <w:rPr>
          <w:rFonts w:ascii="Arial" w:hAnsi="Arial" w:cs="Arial"/>
          <w:szCs w:val="20"/>
        </w:rPr>
        <w:t>Cancer Research Institute, Seoul National University College of Medicine, Seoul 03080, Korea</w:t>
      </w:r>
    </w:p>
    <w:p w:rsidR="00A1755D" w:rsidRDefault="00A1755D" w:rsidP="00A1755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vertAlign w:val="subscript"/>
        </w:rPr>
        <w:t>2</w:t>
      </w:r>
      <w:r>
        <w:rPr>
          <w:rFonts w:ascii="Arial" w:hAnsi="Arial" w:cs="Arial"/>
          <w:szCs w:val="20"/>
        </w:rPr>
        <w:t>Integrated Major in Innovative Medical Science, Seoul National University Graduate School, Seoul 03080, Korea</w:t>
      </w:r>
    </w:p>
    <w:p w:rsidR="00A1755D" w:rsidRDefault="00A1755D" w:rsidP="00A1755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vertAlign w:val="subscript"/>
        </w:rPr>
        <w:t>3</w:t>
      </w:r>
      <w:r>
        <w:rPr>
          <w:rFonts w:ascii="Arial" w:hAnsi="Arial" w:cs="Arial"/>
          <w:szCs w:val="20"/>
        </w:rPr>
        <w:t>Department of Internal Medicine, Seoul National University Hospital, Seoul 03080, Korea</w:t>
      </w:r>
    </w:p>
    <w:p w:rsidR="005672D8" w:rsidRPr="005672D8" w:rsidRDefault="005672D8" w:rsidP="005672D8">
      <w:pPr>
        <w:rPr>
          <w:rFonts w:ascii="Arial" w:hAnsi="Arial" w:cs="Arial"/>
          <w:szCs w:val="20"/>
        </w:rPr>
      </w:pPr>
      <w:r w:rsidRPr="005672D8">
        <w:rPr>
          <w:rFonts w:ascii="Arial" w:hAnsi="Arial" w:cs="Arial"/>
          <w:szCs w:val="20"/>
        </w:rPr>
        <w:t xml:space="preserve">Do-Youn Oh, MD, Ph.D. </w:t>
      </w:r>
    </w:p>
    <w:p w:rsidR="005672D8" w:rsidRPr="005672D8" w:rsidRDefault="005672D8" w:rsidP="005672D8">
      <w:pPr>
        <w:rPr>
          <w:rFonts w:ascii="Arial" w:hAnsi="Arial" w:cs="Arial"/>
          <w:szCs w:val="20"/>
        </w:rPr>
      </w:pPr>
      <w:r w:rsidRPr="005672D8">
        <w:rPr>
          <w:rFonts w:ascii="Arial" w:hAnsi="Arial" w:cs="Arial"/>
          <w:szCs w:val="20"/>
        </w:rPr>
        <w:t xml:space="preserve">Professor, </w:t>
      </w:r>
    </w:p>
    <w:p w:rsidR="005672D8" w:rsidRPr="005672D8" w:rsidRDefault="005672D8" w:rsidP="005672D8">
      <w:pPr>
        <w:rPr>
          <w:rFonts w:ascii="Arial" w:hAnsi="Arial" w:cs="Arial"/>
          <w:szCs w:val="20"/>
        </w:rPr>
      </w:pPr>
      <w:r w:rsidRPr="005672D8">
        <w:rPr>
          <w:rFonts w:ascii="Arial" w:hAnsi="Arial" w:cs="Arial"/>
          <w:szCs w:val="20"/>
        </w:rPr>
        <w:t>Department of Internal Medicine, Seoul National University Hospital, Seoul, Korea</w:t>
      </w:r>
    </w:p>
    <w:p w:rsidR="005672D8" w:rsidRPr="005672D8" w:rsidRDefault="005672D8" w:rsidP="005672D8">
      <w:pPr>
        <w:rPr>
          <w:rFonts w:ascii="Arial" w:hAnsi="Arial" w:cs="Arial"/>
          <w:szCs w:val="20"/>
        </w:rPr>
      </w:pPr>
      <w:r w:rsidRPr="005672D8">
        <w:rPr>
          <w:rFonts w:ascii="Arial" w:hAnsi="Arial" w:cs="Arial"/>
          <w:szCs w:val="20"/>
        </w:rPr>
        <w:t>Cancer Research Institute, Seoul National University College of Medicine, Seoul, Korea</w:t>
      </w:r>
    </w:p>
    <w:p w:rsidR="005672D8" w:rsidRPr="005672D8" w:rsidRDefault="005672D8" w:rsidP="005672D8">
      <w:pPr>
        <w:rPr>
          <w:rFonts w:ascii="Arial" w:hAnsi="Arial" w:cs="Arial"/>
          <w:szCs w:val="20"/>
        </w:rPr>
      </w:pPr>
      <w:r w:rsidRPr="005672D8">
        <w:rPr>
          <w:rFonts w:ascii="Arial" w:hAnsi="Arial" w:cs="Arial"/>
          <w:szCs w:val="20"/>
        </w:rPr>
        <w:t xml:space="preserve">101 Daehak-ro, Jongno-gu, Seoul 03080, Korea; </w:t>
      </w:r>
    </w:p>
    <w:p w:rsidR="00171E88" w:rsidRPr="005672D8" w:rsidRDefault="005672D8" w:rsidP="005672D8">
      <w:pPr>
        <w:rPr>
          <w:rFonts w:ascii="Arial" w:hAnsi="Arial" w:cs="Arial"/>
          <w:szCs w:val="20"/>
        </w:rPr>
      </w:pPr>
      <w:r w:rsidRPr="005672D8">
        <w:rPr>
          <w:rFonts w:ascii="Arial" w:hAnsi="Arial" w:cs="Arial"/>
          <w:szCs w:val="20"/>
        </w:rPr>
        <w:t>Tel: +82-2-2072-0701; Fax: +82-2-762-9662;</w:t>
      </w:r>
    </w:p>
    <w:p w:rsidR="001705FE" w:rsidRDefault="005672D8" w:rsidP="00FF26C1">
      <w:pPr>
        <w:rPr>
          <w:rStyle w:val="a3"/>
          <w:rFonts w:ascii="Arial" w:hAnsi="Arial" w:cs="Arial"/>
          <w:szCs w:val="20"/>
        </w:rPr>
      </w:pPr>
      <w:r w:rsidRPr="005672D8">
        <w:rPr>
          <w:rFonts w:ascii="Arial" w:hAnsi="Arial" w:cs="Arial" w:hint="eastAsia"/>
          <w:szCs w:val="20"/>
        </w:rPr>
        <w:t xml:space="preserve">Email: </w:t>
      </w:r>
      <w:hyperlink r:id="rId8" w:history="1">
        <w:r w:rsidRPr="005672D8">
          <w:rPr>
            <w:rStyle w:val="a3"/>
            <w:rFonts w:ascii="Arial" w:hAnsi="Arial" w:cs="Arial" w:hint="eastAsia"/>
            <w:szCs w:val="20"/>
          </w:rPr>
          <w:t>ohdoyoun@snu.ac.kr</w:t>
        </w:r>
      </w:hyperlink>
    </w:p>
    <w:p w:rsidR="00197CA0" w:rsidRDefault="00197CA0" w:rsidP="003C67C6">
      <w:pPr>
        <w:rPr>
          <w:rFonts w:ascii="Arial" w:hAnsi="Arial" w:cs="Arial"/>
          <w:b/>
          <w:color w:val="000000" w:themeColor="text1"/>
          <w:szCs w:val="20"/>
        </w:rPr>
      </w:pPr>
    </w:p>
    <w:p w:rsidR="00197CA0" w:rsidRDefault="00197CA0" w:rsidP="00197CA0">
      <w:pPr>
        <w:jc w:val="center"/>
        <w:rPr>
          <w:rFonts w:ascii="Arial" w:hAnsi="Arial" w:cs="Arial"/>
          <w:b/>
          <w:color w:val="000000" w:themeColor="text1"/>
          <w:szCs w:val="20"/>
        </w:rPr>
      </w:pPr>
    </w:p>
    <w:p w:rsidR="004A3973" w:rsidRDefault="009F4F46" w:rsidP="00703D62">
      <w:pPr>
        <w:rPr>
          <w:rFonts w:ascii="Arial" w:hAnsi="Arial" w:cs="Arial"/>
          <w:color w:val="000000"/>
          <w:szCs w:val="20"/>
        </w:rPr>
      </w:pPr>
      <w:r w:rsidRPr="009F4F46">
        <w:rPr>
          <w:rFonts w:ascii="Arial" w:hAnsi="Arial" w:cs="Arial"/>
          <w:b/>
          <w:noProof/>
          <w:color w:val="000000" w:themeColor="text1"/>
          <w:szCs w:val="20"/>
        </w:rPr>
        <w:lastRenderedPageBreak/>
        <w:drawing>
          <wp:inline distT="0" distB="0" distL="0" distR="0">
            <wp:extent cx="5057775" cy="5267325"/>
            <wp:effectExtent l="0" t="0" r="0" b="0"/>
            <wp:docPr id="4" name="그림 4" descr="C:\Users\micro\Desktop\그림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\Desktop\그림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D62" w:rsidRPr="00703D62">
        <w:rPr>
          <w:rFonts w:ascii="Arial" w:hAnsi="Arial" w:cs="Arial"/>
          <w:b/>
          <w:color w:val="000000" w:themeColor="text1"/>
          <w:szCs w:val="20"/>
        </w:rPr>
        <w:t>Supplementary Figure 1. RNA-</w:t>
      </w:r>
      <w:r w:rsidR="007A3F2F">
        <w:rPr>
          <w:rFonts w:ascii="Arial" w:hAnsi="Arial" w:cs="Arial" w:hint="eastAsia"/>
          <w:b/>
          <w:color w:val="000000" w:themeColor="text1"/>
          <w:szCs w:val="20"/>
        </w:rPr>
        <w:t>S</w:t>
      </w:r>
      <w:r w:rsidR="00703D62" w:rsidRPr="00703D62">
        <w:rPr>
          <w:rFonts w:ascii="Arial" w:hAnsi="Arial" w:cs="Arial"/>
          <w:b/>
          <w:color w:val="000000" w:themeColor="text1"/>
          <w:szCs w:val="20"/>
        </w:rPr>
        <w:t>eq identifies T-D</w:t>
      </w:r>
      <w:r w:rsidR="007A3F2F">
        <w:rPr>
          <w:rFonts w:ascii="Arial" w:hAnsi="Arial" w:cs="Arial" w:hint="eastAsia"/>
          <w:b/>
          <w:color w:val="000000" w:themeColor="text1"/>
          <w:szCs w:val="20"/>
        </w:rPr>
        <w:t>X</w:t>
      </w:r>
      <w:r w:rsidR="00703D62" w:rsidRPr="00703D62">
        <w:rPr>
          <w:rFonts w:ascii="Arial" w:hAnsi="Arial" w:cs="Arial"/>
          <w:b/>
          <w:color w:val="000000" w:themeColor="text1"/>
          <w:szCs w:val="20"/>
        </w:rPr>
        <w:t xml:space="preserve">d treatment-induced gene sets associated with antitumor immunity in HER2-moderate expressing GC cell line, SNU-484. </w:t>
      </w:r>
      <w:r w:rsidR="00703D62" w:rsidRPr="00703D62">
        <w:rPr>
          <w:rFonts w:ascii="Arial" w:hAnsi="Arial" w:cs="Arial"/>
          <w:color w:val="000000" w:themeColor="text1"/>
          <w:szCs w:val="20"/>
        </w:rPr>
        <w:t>R</w:t>
      </w:r>
      <w:r w:rsidR="004925CC">
        <w:rPr>
          <w:rFonts w:ascii="Arial" w:hAnsi="Arial" w:cs="Arial"/>
          <w:color w:val="000000" w:themeColor="text1"/>
          <w:szCs w:val="20"/>
        </w:rPr>
        <w:t>NA-</w:t>
      </w:r>
      <w:r w:rsidR="00C572B3">
        <w:rPr>
          <w:rFonts w:ascii="Arial" w:hAnsi="Arial" w:cs="Arial"/>
          <w:color w:val="000000" w:themeColor="text1"/>
          <w:szCs w:val="20"/>
        </w:rPr>
        <w:t>S</w:t>
      </w:r>
      <w:r w:rsidR="004925CC">
        <w:rPr>
          <w:rFonts w:ascii="Arial" w:hAnsi="Arial" w:cs="Arial"/>
          <w:color w:val="000000" w:themeColor="text1"/>
          <w:szCs w:val="20"/>
        </w:rPr>
        <w:t xml:space="preserve">eq analysis was performed </w:t>
      </w:r>
      <w:r w:rsidR="004925CC">
        <w:rPr>
          <w:rFonts w:ascii="Arial" w:hAnsi="Arial" w:cs="Arial" w:hint="eastAsia"/>
          <w:color w:val="000000" w:themeColor="text1"/>
          <w:szCs w:val="20"/>
        </w:rPr>
        <w:t>using</w:t>
      </w:r>
      <w:r w:rsidR="00703D62" w:rsidRPr="00703D62">
        <w:rPr>
          <w:rFonts w:ascii="Arial" w:hAnsi="Arial" w:cs="Arial"/>
          <w:color w:val="000000" w:themeColor="text1"/>
          <w:szCs w:val="20"/>
        </w:rPr>
        <w:t xml:space="preserve"> SNU-484 cells treated with vehicle or T-D</w:t>
      </w:r>
      <w:r w:rsidR="007A3F2F">
        <w:rPr>
          <w:rFonts w:ascii="Arial" w:hAnsi="Arial" w:cs="Arial" w:hint="eastAsia"/>
          <w:color w:val="000000" w:themeColor="text1"/>
          <w:szCs w:val="20"/>
        </w:rPr>
        <w:t>X</w:t>
      </w:r>
      <w:r w:rsidR="00703D62" w:rsidRPr="00703D62">
        <w:rPr>
          <w:rFonts w:ascii="Arial" w:hAnsi="Arial" w:cs="Arial"/>
          <w:color w:val="000000" w:themeColor="text1"/>
          <w:szCs w:val="20"/>
        </w:rPr>
        <w:t>d (1 µg/ml) for 72 h. (A) Top 20 enriched Hallmark gene sets ranked by normalized enrichment score from GSEA in response to T-D</w:t>
      </w:r>
      <w:r w:rsidR="007A3F2F">
        <w:rPr>
          <w:rFonts w:ascii="Arial" w:hAnsi="Arial" w:cs="Arial" w:hint="eastAsia"/>
          <w:color w:val="000000" w:themeColor="text1"/>
          <w:szCs w:val="20"/>
        </w:rPr>
        <w:t>X</w:t>
      </w:r>
      <w:r w:rsidR="00703D62" w:rsidRPr="00703D62">
        <w:rPr>
          <w:rFonts w:ascii="Arial" w:hAnsi="Arial" w:cs="Arial"/>
          <w:color w:val="000000" w:themeColor="text1"/>
          <w:szCs w:val="20"/>
        </w:rPr>
        <w:t>d. (B) Representative images from GSEA showing enrichment of gene signatures associated with antitumor immune response. (C) Top 20 enriched GO: Biological Process gene sets ranked by NES from GSEA</w:t>
      </w:r>
      <w:r w:rsidR="00703D62" w:rsidRPr="00703D62">
        <w:rPr>
          <w:rFonts w:ascii="Arial" w:hAnsi="Arial" w:cs="Arial"/>
          <w:b/>
          <w:color w:val="000000" w:themeColor="text1"/>
          <w:szCs w:val="20"/>
        </w:rPr>
        <w:t xml:space="preserve"> </w:t>
      </w:r>
      <w:r w:rsidR="00703D62" w:rsidRPr="00703D62">
        <w:rPr>
          <w:rFonts w:ascii="Arial" w:hAnsi="Arial" w:cs="Arial"/>
          <w:color w:val="000000" w:themeColor="text1"/>
          <w:szCs w:val="20"/>
        </w:rPr>
        <w:t>in response to T-D</w:t>
      </w:r>
      <w:r w:rsidR="007A3F2F">
        <w:rPr>
          <w:rFonts w:ascii="Arial" w:hAnsi="Arial" w:cs="Arial" w:hint="eastAsia"/>
          <w:color w:val="000000" w:themeColor="text1"/>
          <w:szCs w:val="20"/>
        </w:rPr>
        <w:t>X</w:t>
      </w:r>
      <w:r w:rsidR="00703D62" w:rsidRPr="00703D62">
        <w:rPr>
          <w:rFonts w:ascii="Arial" w:hAnsi="Arial" w:cs="Arial"/>
          <w:color w:val="000000" w:themeColor="text1"/>
          <w:szCs w:val="20"/>
        </w:rPr>
        <w:t>d.</w:t>
      </w:r>
      <w:r w:rsidR="00197CA0">
        <w:rPr>
          <w:rFonts w:ascii="Arial" w:hAnsi="Arial" w:cs="Arial"/>
          <w:color w:val="000000"/>
          <w:szCs w:val="20"/>
        </w:rPr>
        <w:br w:type="page"/>
      </w:r>
    </w:p>
    <w:p w:rsidR="00BB6EE7" w:rsidRDefault="00DA1BE3" w:rsidP="00BB6EE7">
      <w:pPr>
        <w:jc w:val="center"/>
        <w:rPr>
          <w:rFonts w:ascii="Arial" w:hAnsi="Arial" w:cs="Arial"/>
          <w:b/>
          <w:color w:val="000000" w:themeColor="text1"/>
          <w:szCs w:val="20"/>
        </w:rPr>
      </w:pPr>
      <w:r>
        <w:rPr>
          <w:noProof/>
        </w:rPr>
        <w:lastRenderedPageBreak/>
        <w:drawing>
          <wp:inline distT="0" distB="0" distL="0" distR="0" wp14:anchorId="4FF69D06">
            <wp:extent cx="5756400" cy="2595600"/>
            <wp:effectExtent l="0" t="0" r="0" b="0"/>
            <wp:docPr id="75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00" cy="25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1BE3">
        <w:rPr>
          <w:noProof/>
        </w:rPr>
        <w:t xml:space="preserve"> </w:t>
      </w:r>
    </w:p>
    <w:p w:rsidR="00831E31" w:rsidRDefault="00703D62" w:rsidP="00CA3C49">
      <w:pPr>
        <w:rPr>
          <w:rFonts w:ascii="Arial" w:hAnsi="Arial" w:cs="Arial"/>
          <w:color w:val="000000"/>
          <w:szCs w:val="20"/>
        </w:rPr>
      </w:pPr>
      <w:r w:rsidRPr="00703D62">
        <w:rPr>
          <w:rFonts w:ascii="Arial" w:hAnsi="Arial" w:cs="Arial"/>
          <w:b/>
          <w:color w:val="000000" w:themeColor="text1"/>
          <w:szCs w:val="20"/>
        </w:rPr>
        <w:t xml:space="preserve">Supplementary Figure 2. </w:t>
      </w:r>
      <w:r w:rsidR="00676749" w:rsidRPr="00676749">
        <w:rPr>
          <w:rFonts w:ascii="Arial" w:hAnsi="Arial" w:cs="Arial"/>
          <w:b/>
          <w:color w:val="000000" w:themeColor="text1"/>
          <w:szCs w:val="20"/>
        </w:rPr>
        <w:t xml:space="preserve">T-DXd fails to induce cGAS-STING pathway activation in TDDCs during indirect coculture in a transwell system. </w:t>
      </w:r>
      <w:r w:rsidR="00676749" w:rsidRPr="00676749">
        <w:rPr>
          <w:rFonts w:ascii="Arial" w:hAnsi="Arial" w:cs="Arial"/>
          <w:color w:val="000000" w:themeColor="text1"/>
          <w:szCs w:val="20"/>
        </w:rPr>
        <w:t>(A) Schematic diagram illustrating the experimental setup for the indirect coculture of NCI-N87 cells and TDDCs in a transwell system, where direct contact between cancer cells and DCs is prevented. (B) Immunoblot analysis of key components of the cGAS-STING pathway in TDDCs harvested from the lower chamber after 72 h of indirect coculture. (C) Flow cytometry ana</w:t>
      </w:r>
      <w:r w:rsidR="00875F59">
        <w:rPr>
          <w:rFonts w:ascii="Arial" w:hAnsi="Arial" w:cs="Arial"/>
          <w:color w:val="000000" w:themeColor="text1"/>
          <w:szCs w:val="20"/>
        </w:rPr>
        <w:t>lysis of phosphorylated STING (</w:t>
      </w:r>
      <w:r w:rsidR="00676749" w:rsidRPr="00676749">
        <w:rPr>
          <w:rFonts w:ascii="Arial" w:hAnsi="Arial" w:cs="Arial"/>
          <w:color w:val="000000" w:themeColor="text1"/>
          <w:szCs w:val="20"/>
        </w:rPr>
        <w:t>Ser366) in TDDCs.</w:t>
      </w:r>
      <w:bookmarkStart w:id="0" w:name="_GoBack"/>
      <w:bookmarkEnd w:id="0"/>
      <w:r w:rsidR="004A3973" w:rsidRPr="00703D62">
        <w:rPr>
          <w:rFonts w:ascii="Arial" w:hAnsi="Arial" w:cs="Arial"/>
          <w:color w:val="000000"/>
          <w:szCs w:val="20"/>
        </w:rPr>
        <w:br w:type="page"/>
      </w:r>
      <w:r w:rsidR="00DA1BE3">
        <w:rPr>
          <w:rFonts w:ascii="Arial" w:hAnsi="Arial" w:cs="Arial"/>
          <w:color w:val="000000"/>
          <w:szCs w:val="20"/>
        </w:rPr>
        <w:lastRenderedPageBreak/>
        <w:t xml:space="preserve">                              </w:t>
      </w:r>
      <w:r w:rsidR="00831E31" w:rsidRPr="00831E31">
        <w:rPr>
          <w:noProof/>
        </w:rPr>
        <w:drawing>
          <wp:inline distT="0" distB="0" distL="0" distR="0" wp14:anchorId="02AF8CF7" wp14:editId="23BFA3D8">
            <wp:extent cx="1368000" cy="14580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E31" w:rsidRPr="00831E31" w:rsidRDefault="00831E31" w:rsidP="00831E31">
      <w:pPr>
        <w:rPr>
          <w:rFonts w:ascii="Arial" w:hAnsi="Arial" w:cs="Arial"/>
          <w:color w:val="000000"/>
          <w:szCs w:val="20"/>
        </w:rPr>
      </w:pPr>
      <w:r w:rsidRPr="00831E31">
        <w:rPr>
          <w:rFonts w:ascii="Arial" w:hAnsi="Arial" w:cs="Arial"/>
          <w:b/>
          <w:color w:val="000000" w:themeColor="text1"/>
          <w:szCs w:val="20"/>
        </w:rPr>
        <w:t>Supplementary Figure 3. T</w:t>
      </w:r>
      <w:r w:rsidRPr="00831E31">
        <w:rPr>
          <w:rFonts w:ascii="Arial" w:hAnsi="Arial" w:cs="Arial"/>
          <w:b/>
          <w:color w:val="000000"/>
          <w:szCs w:val="20"/>
        </w:rPr>
        <w:t>-DXd promotes the release of exosomal dsDNA.</w:t>
      </w:r>
      <w:r w:rsidRPr="00831E31">
        <w:rPr>
          <w:rFonts w:ascii="Arial" w:hAnsi="Arial" w:cs="Arial"/>
          <w:color w:val="000000"/>
          <w:szCs w:val="20"/>
        </w:rPr>
        <w:t xml:space="preserve"> Quantification of exosomal dsDNA isolated from the conditioned medium of NCI-N87 cells treated with 1 µg/ml of trastuzumab or T-DXd for 48 h. Exosomal dsDNA levels were measured using the SpectraMax Quant AccuBlue Pico dsDNA Assay Kit. The sum of two technical replicates is shown as mean ± SEM.</w:t>
      </w:r>
      <w:r w:rsidRPr="00831E31">
        <w:rPr>
          <w:rFonts w:ascii="Arial" w:hAnsi="Arial" w:cs="Arial"/>
          <w:color w:val="000000"/>
          <w:szCs w:val="20"/>
        </w:rPr>
        <w:br w:type="page"/>
      </w:r>
    </w:p>
    <w:p w:rsidR="004A3973" w:rsidRDefault="004A3973">
      <w:pPr>
        <w:rPr>
          <w:rFonts w:ascii="Arial" w:hAnsi="Arial" w:cs="Arial"/>
          <w:color w:val="000000"/>
          <w:szCs w:val="20"/>
        </w:rPr>
      </w:pPr>
    </w:p>
    <w:p w:rsidR="00481FED" w:rsidRDefault="00CE5F0E" w:rsidP="00481FED">
      <w:pPr>
        <w:jc w:val="center"/>
        <w:rPr>
          <w:rFonts w:ascii="Arial" w:hAnsi="Arial" w:cs="Arial"/>
          <w:b/>
          <w:color w:val="000000" w:themeColor="text1"/>
          <w:szCs w:val="20"/>
        </w:rPr>
      </w:pPr>
      <w:r w:rsidRPr="00CE5F0E">
        <w:rPr>
          <w:rFonts w:ascii="Arial" w:hAnsi="Arial" w:cs="Arial"/>
          <w:b/>
          <w:noProof/>
          <w:color w:val="000000" w:themeColor="text1"/>
          <w:szCs w:val="20"/>
        </w:rPr>
        <w:drawing>
          <wp:inline distT="0" distB="0" distL="0" distR="0">
            <wp:extent cx="3387090" cy="1605915"/>
            <wp:effectExtent l="0" t="0" r="0" b="0"/>
            <wp:docPr id="6" name="그림 6" descr="C:\Users\micro\Desktop\학위논문 figures\Chapter 2\Supp\su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\Desktop\학위논문 figures\Chapter 2\Supp\sup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784" w:rsidRPr="00527478" w:rsidRDefault="00703D62" w:rsidP="000B2784">
      <w:pPr>
        <w:rPr>
          <w:rFonts w:ascii="Arial" w:hAnsi="Arial" w:cs="Arial"/>
          <w:color w:val="000000" w:themeColor="text1"/>
          <w:szCs w:val="20"/>
        </w:rPr>
      </w:pPr>
      <w:r w:rsidRPr="00527478">
        <w:rPr>
          <w:rFonts w:ascii="Arial" w:hAnsi="Arial" w:cs="Arial"/>
          <w:b/>
          <w:color w:val="000000" w:themeColor="text1"/>
          <w:szCs w:val="20"/>
        </w:rPr>
        <w:t xml:space="preserve">Supplementary Figure </w:t>
      </w:r>
      <w:r w:rsidR="00831E31">
        <w:rPr>
          <w:rFonts w:ascii="Arial" w:hAnsi="Arial" w:cs="Arial"/>
          <w:b/>
          <w:color w:val="000000" w:themeColor="text1"/>
          <w:szCs w:val="20"/>
        </w:rPr>
        <w:t>4</w:t>
      </w:r>
      <w:r w:rsidRPr="00527478">
        <w:rPr>
          <w:rFonts w:ascii="Arial" w:hAnsi="Arial" w:cs="Arial"/>
          <w:b/>
          <w:color w:val="000000" w:themeColor="text1"/>
          <w:szCs w:val="20"/>
        </w:rPr>
        <w:t xml:space="preserve">. Gating strategy for flow cytometry analysis using human PBMCs. </w:t>
      </w:r>
      <w:r w:rsidRPr="00527478">
        <w:rPr>
          <w:rFonts w:ascii="Arial" w:hAnsi="Arial" w:cs="Arial"/>
          <w:color w:val="000000" w:themeColor="text1"/>
          <w:szCs w:val="20"/>
        </w:rPr>
        <w:t>Cancer cells were selected based on size and HER2</w:t>
      </w:r>
      <w:r w:rsidR="00527478" w:rsidRPr="00527478">
        <w:rPr>
          <w:rFonts w:ascii="Arial" w:hAnsi="Arial" w:cs="Arial"/>
          <w:vertAlign w:val="superscript"/>
        </w:rPr>
        <w:t>+</w:t>
      </w:r>
      <w:r w:rsidR="00527478" w:rsidRPr="00527478">
        <w:rPr>
          <w:rFonts w:ascii="Arial" w:hAnsi="Arial" w:cs="Arial"/>
          <w:color w:val="000000" w:themeColor="text1"/>
          <w:szCs w:val="20"/>
        </w:rPr>
        <w:t xml:space="preserve"> </w:t>
      </w:r>
      <w:r w:rsidRPr="00527478">
        <w:rPr>
          <w:rFonts w:ascii="Arial" w:hAnsi="Arial" w:cs="Arial"/>
          <w:color w:val="000000" w:themeColor="text1"/>
          <w:szCs w:val="20"/>
        </w:rPr>
        <w:t>expression. Live lymphocytes were selected based on size, Zo</w:t>
      </w:r>
      <w:r w:rsidR="00527478" w:rsidRPr="00527478">
        <w:rPr>
          <w:rFonts w:ascii="Arial" w:hAnsi="Arial" w:cs="Arial"/>
          <w:color w:val="000000" w:themeColor="text1"/>
          <w:szCs w:val="20"/>
        </w:rPr>
        <w:t>mbie NIR™ Fixable Viability Kit</w:t>
      </w:r>
      <w:r w:rsidRPr="00527478">
        <w:rPr>
          <w:rFonts w:ascii="Arial" w:hAnsi="Arial" w:cs="Arial"/>
          <w:color w:val="000000" w:themeColor="text1"/>
          <w:szCs w:val="20"/>
          <w:vertAlign w:val="superscript"/>
        </w:rPr>
        <w:t>-</w:t>
      </w:r>
      <w:r w:rsidRPr="00527478">
        <w:rPr>
          <w:rFonts w:ascii="Arial" w:hAnsi="Arial" w:cs="Arial"/>
          <w:color w:val="000000" w:themeColor="text1"/>
          <w:szCs w:val="20"/>
        </w:rPr>
        <w:t>, and HER2</w:t>
      </w:r>
      <w:r w:rsidRPr="00527478">
        <w:rPr>
          <w:rFonts w:ascii="Arial" w:hAnsi="Arial" w:cs="Arial"/>
          <w:color w:val="000000" w:themeColor="text1"/>
          <w:szCs w:val="20"/>
          <w:vertAlign w:val="superscript"/>
        </w:rPr>
        <w:t>-</w:t>
      </w:r>
      <w:r w:rsidRPr="00527478">
        <w:rPr>
          <w:rFonts w:ascii="Arial" w:hAnsi="Arial" w:cs="Arial"/>
          <w:color w:val="000000" w:themeColor="text1"/>
          <w:szCs w:val="20"/>
        </w:rPr>
        <w:t xml:space="preserve"> expression. Cytotoxic T cells were selected based on CD3</w:t>
      </w:r>
      <w:r w:rsidRPr="00527478">
        <w:rPr>
          <w:rFonts w:ascii="Arial" w:hAnsi="Arial" w:cs="Arial"/>
          <w:color w:val="000000" w:themeColor="text1"/>
          <w:szCs w:val="20"/>
          <w:vertAlign w:val="superscript"/>
        </w:rPr>
        <w:t>+</w:t>
      </w:r>
      <w:r w:rsidRPr="00527478">
        <w:rPr>
          <w:rFonts w:ascii="Arial" w:hAnsi="Arial" w:cs="Arial"/>
          <w:color w:val="000000" w:themeColor="text1"/>
          <w:szCs w:val="20"/>
        </w:rPr>
        <w:t xml:space="preserve"> and CD8</w:t>
      </w:r>
      <w:r w:rsidR="00920261" w:rsidRPr="00527478">
        <w:rPr>
          <w:rFonts w:ascii="Arial" w:hAnsi="Arial" w:cs="Arial"/>
          <w:color w:val="000000" w:themeColor="text1"/>
          <w:szCs w:val="20"/>
          <w:vertAlign w:val="superscript"/>
        </w:rPr>
        <w:t>+</w:t>
      </w:r>
      <w:r w:rsidRPr="00527478">
        <w:rPr>
          <w:rFonts w:ascii="Arial" w:hAnsi="Arial" w:cs="Arial"/>
          <w:color w:val="000000" w:themeColor="text1"/>
          <w:szCs w:val="20"/>
        </w:rPr>
        <w:t xml:space="preserve"> expression.</w:t>
      </w:r>
      <w:r w:rsidR="000B2784" w:rsidRPr="00527478">
        <w:rPr>
          <w:rFonts w:ascii="Arial" w:hAnsi="Arial" w:cs="Arial"/>
          <w:color w:val="000000" w:themeColor="text1"/>
          <w:szCs w:val="20"/>
        </w:rPr>
        <w:br w:type="page"/>
      </w:r>
    </w:p>
    <w:p w:rsidR="00805B56" w:rsidRDefault="009F4F46" w:rsidP="00CE5F0E">
      <w:pPr>
        <w:jc w:val="center"/>
        <w:rPr>
          <w:rFonts w:ascii="Arial" w:hAnsi="Arial" w:cs="Arial"/>
          <w:b/>
          <w:noProof/>
          <w:szCs w:val="20"/>
        </w:rPr>
      </w:pPr>
      <w:r w:rsidRPr="009F4F46">
        <w:rPr>
          <w:rFonts w:ascii="Arial" w:hAnsi="Arial" w:cs="Arial"/>
          <w:b/>
          <w:noProof/>
          <w:szCs w:val="20"/>
        </w:rPr>
        <w:lastRenderedPageBreak/>
        <w:drawing>
          <wp:inline distT="0" distB="0" distL="0" distR="0">
            <wp:extent cx="2743200" cy="1895475"/>
            <wp:effectExtent l="0" t="0" r="0" b="9525"/>
            <wp:docPr id="3" name="그림 3" descr="C:\Users\micro\Desktop\그림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\Desktop\그림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56" w:rsidRPr="00805B56" w:rsidRDefault="000B2784" w:rsidP="00703D62">
      <w:pPr>
        <w:rPr>
          <w:rFonts w:ascii="Arial" w:hAnsi="Arial" w:cs="Arial"/>
          <w:color w:val="000000" w:themeColor="text1"/>
          <w:szCs w:val="20"/>
        </w:rPr>
      </w:pPr>
      <w:r w:rsidRPr="00703D62">
        <w:rPr>
          <w:rFonts w:ascii="Arial" w:hAnsi="Arial" w:cs="Arial"/>
          <w:b/>
          <w:szCs w:val="20"/>
        </w:rPr>
        <w:t xml:space="preserve">Supplementary Figure </w:t>
      </w:r>
      <w:r w:rsidR="00831E31">
        <w:rPr>
          <w:rFonts w:ascii="Arial" w:hAnsi="Arial" w:cs="Arial"/>
          <w:b/>
          <w:szCs w:val="20"/>
        </w:rPr>
        <w:t>5</w:t>
      </w:r>
      <w:r w:rsidRPr="00703D62">
        <w:rPr>
          <w:rFonts w:ascii="Arial" w:hAnsi="Arial" w:cs="Arial"/>
          <w:b/>
          <w:szCs w:val="20"/>
        </w:rPr>
        <w:t>. ATM inhibition prevents T-D</w:t>
      </w:r>
      <w:r w:rsidR="007A3F2F">
        <w:rPr>
          <w:rFonts w:ascii="Arial" w:hAnsi="Arial" w:cs="Arial" w:hint="eastAsia"/>
          <w:b/>
          <w:szCs w:val="20"/>
        </w:rPr>
        <w:t>X</w:t>
      </w:r>
      <w:r w:rsidRPr="00703D62">
        <w:rPr>
          <w:rFonts w:ascii="Arial" w:hAnsi="Arial" w:cs="Arial"/>
          <w:b/>
          <w:szCs w:val="20"/>
        </w:rPr>
        <w:t xml:space="preserve">d-induced cGAS-STING activation in NCI-N87 cells. </w:t>
      </w:r>
      <w:r w:rsidRPr="00703D62">
        <w:rPr>
          <w:rFonts w:ascii="Arial" w:hAnsi="Arial" w:cs="Arial"/>
          <w:szCs w:val="20"/>
        </w:rPr>
        <w:t>(A) Immunoblotting of cGAS-STING pathway in NCI-N87 cells treated with T-D</w:t>
      </w:r>
      <w:r w:rsidR="007A3F2F">
        <w:rPr>
          <w:rFonts w:ascii="Arial" w:hAnsi="Arial" w:cs="Arial" w:hint="eastAsia"/>
          <w:szCs w:val="20"/>
        </w:rPr>
        <w:t>X</w:t>
      </w:r>
      <w:r w:rsidRPr="00703D62">
        <w:rPr>
          <w:rFonts w:ascii="Arial" w:hAnsi="Arial" w:cs="Arial"/>
          <w:szCs w:val="20"/>
        </w:rPr>
        <w:t>d (1 µg/ml) with or without AZD0156 (ATMi, 0.1 µM) for 72 h. GAPDH was used as a loading c</w:t>
      </w:r>
      <w:r w:rsidR="00704641">
        <w:rPr>
          <w:rFonts w:ascii="Arial" w:hAnsi="Arial" w:cs="Arial"/>
          <w:szCs w:val="20"/>
        </w:rPr>
        <w:t xml:space="preserve">ontrol. (B) </w:t>
      </w:r>
      <w:r>
        <w:rPr>
          <w:rFonts w:ascii="Arial" w:hAnsi="Arial" w:cs="Arial"/>
          <w:szCs w:val="20"/>
        </w:rPr>
        <w:t>RT-</w:t>
      </w:r>
      <w:r w:rsidR="00704641">
        <w:rPr>
          <w:rFonts w:ascii="Arial" w:hAnsi="Arial" w:cs="Arial"/>
          <w:szCs w:val="20"/>
        </w:rPr>
        <w:t>q</w:t>
      </w:r>
      <w:r>
        <w:rPr>
          <w:rFonts w:ascii="Arial" w:hAnsi="Arial" w:cs="Arial"/>
          <w:szCs w:val="20"/>
        </w:rPr>
        <w:t xml:space="preserve">PCR analysis of </w:t>
      </w:r>
      <w:r>
        <w:rPr>
          <w:rFonts w:ascii="Arial" w:hAnsi="Arial" w:cs="Arial" w:hint="eastAsia"/>
          <w:szCs w:val="20"/>
        </w:rPr>
        <w:t>ISGs</w:t>
      </w:r>
      <w:r w:rsidRPr="00703D62">
        <w:rPr>
          <w:rFonts w:ascii="Arial" w:hAnsi="Arial" w:cs="Arial"/>
          <w:szCs w:val="20"/>
        </w:rPr>
        <w:t xml:space="preserve"> in RNA isolated from NCI-N87 cells treated with T-D</w:t>
      </w:r>
      <w:r w:rsidR="007A3F2F">
        <w:rPr>
          <w:rFonts w:ascii="Arial" w:hAnsi="Arial" w:cs="Arial" w:hint="eastAsia"/>
          <w:szCs w:val="20"/>
        </w:rPr>
        <w:t>X</w:t>
      </w:r>
      <w:r w:rsidRPr="00703D62">
        <w:rPr>
          <w:rFonts w:ascii="Arial" w:hAnsi="Arial" w:cs="Arial"/>
          <w:szCs w:val="20"/>
        </w:rPr>
        <w:t xml:space="preserve">d (1 µg/ml) with or without </w:t>
      </w:r>
      <w:r>
        <w:rPr>
          <w:rFonts w:ascii="Arial" w:hAnsi="Arial" w:cs="Arial" w:hint="eastAsia"/>
          <w:szCs w:val="20"/>
        </w:rPr>
        <w:t>AZD0156</w:t>
      </w:r>
      <w:r w:rsidRPr="00703D62">
        <w:rPr>
          <w:rFonts w:ascii="Arial" w:hAnsi="Arial" w:cs="Arial"/>
          <w:szCs w:val="20"/>
        </w:rPr>
        <w:t xml:space="preserve"> (0.1 µM) for 72 h. Data represent the sum of at least three independent experiments.</w:t>
      </w:r>
      <w:r w:rsidR="00805B56">
        <w:rPr>
          <w:rFonts w:ascii="Arial" w:hAnsi="Arial" w:cs="Arial"/>
          <w:color w:val="000000" w:themeColor="text1"/>
          <w:szCs w:val="20"/>
        </w:rPr>
        <w:br w:type="page"/>
      </w:r>
    </w:p>
    <w:p w:rsidR="00CE5F0E" w:rsidRDefault="009F4F46" w:rsidP="00CE5F0E">
      <w:pPr>
        <w:jc w:val="center"/>
        <w:rPr>
          <w:rFonts w:ascii="Arial" w:hAnsi="Arial" w:cs="Arial"/>
          <w:b/>
          <w:szCs w:val="20"/>
        </w:rPr>
      </w:pPr>
      <w:r w:rsidRPr="009F4F46">
        <w:rPr>
          <w:rFonts w:ascii="Arial" w:hAnsi="Arial" w:cs="Arial"/>
          <w:b/>
          <w:noProof/>
          <w:szCs w:val="20"/>
        </w:rPr>
        <w:lastRenderedPageBreak/>
        <w:drawing>
          <wp:inline distT="0" distB="0" distL="0" distR="0">
            <wp:extent cx="3400425" cy="2276475"/>
            <wp:effectExtent l="0" t="0" r="0" b="0"/>
            <wp:docPr id="1" name="그림 1" descr="C:\Users\micro\Desktop\그림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\Desktop\그림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B60" w:rsidRPr="000B2784" w:rsidRDefault="00703D62" w:rsidP="00703D62">
      <w:pPr>
        <w:rPr>
          <w:rFonts w:ascii="Arial" w:hAnsi="Arial" w:cs="Arial"/>
          <w:szCs w:val="20"/>
        </w:rPr>
      </w:pPr>
      <w:r w:rsidRPr="00703D62">
        <w:rPr>
          <w:rFonts w:ascii="Arial" w:hAnsi="Arial" w:cs="Arial"/>
          <w:b/>
          <w:szCs w:val="20"/>
        </w:rPr>
        <w:t xml:space="preserve">Supplementary Figure </w:t>
      </w:r>
      <w:r w:rsidR="00831E31">
        <w:rPr>
          <w:rFonts w:ascii="Arial" w:hAnsi="Arial" w:cs="Arial"/>
          <w:b/>
          <w:szCs w:val="20"/>
        </w:rPr>
        <w:t>6</w:t>
      </w:r>
      <w:r w:rsidRPr="00703D62">
        <w:rPr>
          <w:rFonts w:ascii="Arial" w:hAnsi="Arial" w:cs="Arial"/>
          <w:b/>
          <w:szCs w:val="20"/>
        </w:rPr>
        <w:t>. T-D</w:t>
      </w:r>
      <w:r w:rsidR="007A3F2F">
        <w:rPr>
          <w:rFonts w:ascii="Arial" w:hAnsi="Arial" w:cs="Arial" w:hint="eastAsia"/>
          <w:b/>
          <w:szCs w:val="20"/>
        </w:rPr>
        <w:t>X</w:t>
      </w:r>
      <w:r w:rsidRPr="00703D62">
        <w:rPr>
          <w:rFonts w:ascii="Arial" w:hAnsi="Arial" w:cs="Arial"/>
          <w:b/>
          <w:szCs w:val="20"/>
        </w:rPr>
        <w:t>d upreg</w:t>
      </w:r>
      <w:r w:rsidR="004925CC">
        <w:rPr>
          <w:rFonts w:ascii="Arial" w:hAnsi="Arial" w:cs="Arial"/>
          <w:b/>
          <w:szCs w:val="20"/>
        </w:rPr>
        <w:t>ulates ENPP1 expression in HER2</w:t>
      </w:r>
      <w:r w:rsidR="004925CC">
        <w:rPr>
          <w:rFonts w:ascii="Arial" w:hAnsi="Arial" w:cs="Arial" w:hint="eastAsia"/>
          <w:b/>
          <w:szCs w:val="20"/>
        </w:rPr>
        <w:t>-positive</w:t>
      </w:r>
      <w:r w:rsidRPr="00703D62">
        <w:rPr>
          <w:rFonts w:ascii="Arial" w:hAnsi="Arial" w:cs="Arial"/>
          <w:b/>
          <w:szCs w:val="20"/>
        </w:rPr>
        <w:t xml:space="preserve"> GC cells. </w:t>
      </w:r>
      <w:r w:rsidRPr="00703D62">
        <w:rPr>
          <w:rFonts w:ascii="Arial" w:hAnsi="Arial" w:cs="Arial"/>
          <w:szCs w:val="20"/>
        </w:rPr>
        <w:t>(A) Immunofluorescence analysis of cGAS (Red) and ENPP1 (Green) levels in SNU-216 cells treated with T-D</w:t>
      </w:r>
      <w:r w:rsidR="007A3F2F">
        <w:rPr>
          <w:rFonts w:ascii="Arial" w:hAnsi="Arial" w:cs="Arial" w:hint="eastAsia"/>
          <w:szCs w:val="20"/>
        </w:rPr>
        <w:t>X</w:t>
      </w:r>
      <w:r w:rsidRPr="00703D62">
        <w:rPr>
          <w:rFonts w:ascii="Arial" w:hAnsi="Arial" w:cs="Arial"/>
          <w:szCs w:val="20"/>
        </w:rPr>
        <w:t>d (1 µg/ml) for 72 h. Representative images from biological duplicates are shown. (B) Immunoblotting of ENPP1 expression in specific cell organelles using lysates isolated from NCI-N87 cells treated with trastuzumab or T-D</w:t>
      </w:r>
      <w:r w:rsidR="007A3F2F">
        <w:rPr>
          <w:rFonts w:ascii="Arial" w:hAnsi="Arial" w:cs="Arial" w:hint="eastAsia"/>
          <w:szCs w:val="20"/>
        </w:rPr>
        <w:t>X</w:t>
      </w:r>
      <w:r w:rsidRPr="00703D62">
        <w:rPr>
          <w:rFonts w:ascii="Arial" w:hAnsi="Arial" w:cs="Arial"/>
          <w:szCs w:val="20"/>
        </w:rPr>
        <w:t>d (1 µg/ml). GAPDH was used as a loading control. (C) Flow cytometry analysis of surface ENPP1 expression in NCI-N87 cells treated with trastuzumab or T-D</w:t>
      </w:r>
      <w:r w:rsidR="007A3F2F">
        <w:rPr>
          <w:rFonts w:ascii="Arial" w:hAnsi="Arial" w:cs="Arial" w:hint="eastAsia"/>
          <w:szCs w:val="20"/>
        </w:rPr>
        <w:t>X</w:t>
      </w:r>
      <w:r w:rsidRPr="00703D62">
        <w:rPr>
          <w:rFonts w:ascii="Arial" w:hAnsi="Arial" w:cs="Arial"/>
          <w:szCs w:val="20"/>
        </w:rPr>
        <w:t>d (1 µg/ml) for 72 h. Data from biological triplica</w:t>
      </w:r>
      <w:r>
        <w:rPr>
          <w:rFonts w:ascii="Arial" w:hAnsi="Arial" w:cs="Arial"/>
          <w:szCs w:val="20"/>
        </w:rPr>
        <w:t>tes are presented as mean ± SEM</w:t>
      </w:r>
      <w:r w:rsidRPr="00703D62">
        <w:rPr>
          <w:rFonts w:ascii="Arial" w:hAnsi="Arial" w:cs="Arial"/>
          <w:szCs w:val="20"/>
        </w:rPr>
        <w:t>,</w:t>
      </w:r>
      <w:r w:rsidRPr="00703D62">
        <w:rPr>
          <w:rFonts w:ascii="Arial" w:hAnsi="Arial" w:cs="Arial"/>
          <w:color w:val="343541"/>
        </w:rPr>
        <w:t xml:space="preserve"> *, p &lt; 0.05; ***, p &lt; 0.001</w:t>
      </w:r>
      <w:r>
        <w:rPr>
          <w:rFonts w:ascii="Segoe UI" w:hAnsi="Segoe UI" w:cs="Segoe UI"/>
          <w:color w:val="343541"/>
        </w:rPr>
        <w:t>.</w:t>
      </w:r>
    </w:p>
    <w:sectPr w:rsidR="00FA7B60" w:rsidRPr="000B2784" w:rsidSect="003C67C6">
      <w:footerReference w:type="default" r:id="rId15"/>
      <w:pgSz w:w="12240" w:h="15840" w:code="1"/>
      <w:pgMar w:top="1440" w:right="1792" w:bottom="1440" w:left="1797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FC7" w:rsidRDefault="00FC1FC7" w:rsidP="005672D8">
      <w:pPr>
        <w:spacing w:after="0" w:line="240" w:lineRule="auto"/>
      </w:pPr>
      <w:r>
        <w:separator/>
      </w:r>
    </w:p>
  </w:endnote>
  <w:endnote w:type="continuationSeparator" w:id="0">
    <w:p w:rsidR="00FC1FC7" w:rsidRDefault="00FC1FC7" w:rsidP="00567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617359"/>
      <w:docPartObj>
        <w:docPartGallery w:val="Page Numbers (Bottom of Page)"/>
        <w:docPartUnique/>
      </w:docPartObj>
    </w:sdtPr>
    <w:sdtEndPr/>
    <w:sdtContent>
      <w:p w:rsidR="007E27E1" w:rsidRDefault="007E27E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F59" w:rsidRPr="00875F59">
          <w:rPr>
            <w:noProof/>
            <w:lang w:val="ko-KR"/>
          </w:rPr>
          <w:t>7</w:t>
        </w:r>
        <w:r>
          <w:fldChar w:fldCharType="end"/>
        </w:r>
      </w:p>
    </w:sdtContent>
  </w:sdt>
  <w:p w:rsidR="007E27E1" w:rsidRDefault="007E27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FC7" w:rsidRDefault="00FC1FC7" w:rsidP="005672D8">
      <w:pPr>
        <w:spacing w:after="0" w:line="240" w:lineRule="auto"/>
      </w:pPr>
      <w:r>
        <w:separator/>
      </w:r>
    </w:p>
  </w:footnote>
  <w:footnote w:type="continuationSeparator" w:id="0">
    <w:p w:rsidR="00FC1FC7" w:rsidRDefault="00FC1FC7" w:rsidP="00567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34FF2"/>
    <w:multiLevelType w:val="hybridMultilevel"/>
    <w:tmpl w:val="686C81A4"/>
    <w:lvl w:ilvl="0" w:tplc="8244F19A">
      <w:start w:val="1"/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px5tfeq0zr22esrx5x2s04efprtpevfftx&quot;&gt;My EndNote Library&lt;record-ids&gt;&lt;item&gt;7&lt;/item&gt;&lt;item&gt;9&lt;/item&gt;&lt;item&gt;32&lt;/item&gt;&lt;item&gt;34&lt;/item&gt;&lt;item&gt;36&lt;/item&gt;&lt;item&gt;41&lt;/item&gt;&lt;item&gt;42&lt;/item&gt;&lt;item&gt;43&lt;/item&gt;&lt;item&gt;44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/record-ids&gt;&lt;/item&gt;&lt;/Libraries&gt;"/>
  </w:docVars>
  <w:rsids>
    <w:rsidRoot w:val="005672D8"/>
    <w:rsid w:val="00002CC0"/>
    <w:rsid w:val="00004A95"/>
    <w:rsid w:val="00011FC6"/>
    <w:rsid w:val="00013567"/>
    <w:rsid w:val="00014153"/>
    <w:rsid w:val="00014190"/>
    <w:rsid w:val="0001421A"/>
    <w:rsid w:val="000164EC"/>
    <w:rsid w:val="00016B2D"/>
    <w:rsid w:val="00024D4E"/>
    <w:rsid w:val="00033527"/>
    <w:rsid w:val="00037127"/>
    <w:rsid w:val="00041E8A"/>
    <w:rsid w:val="00045C8E"/>
    <w:rsid w:val="0007058C"/>
    <w:rsid w:val="000778E8"/>
    <w:rsid w:val="00080994"/>
    <w:rsid w:val="000818DA"/>
    <w:rsid w:val="00097D4D"/>
    <w:rsid w:val="000A0EDD"/>
    <w:rsid w:val="000A61CD"/>
    <w:rsid w:val="000A74B0"/>
    <w:rsid w:val="000B2784"/>
    <w:rsid w:val="000B6245"/>
    <w:rsid w:val="000B6E1C"/>
    <w:rsid w:val="000C5A46"/>
    <w:rsid w:val="000C6711"/>
    <w:rsid w:val="000C6DB6"/>
    <w:rsid w:val="000C77ED"/>
    <w:rsid w:val="000D7E2C"/>
    <w:rsid w:val="000E62C2"/>
    <w:rsid w:val="000E65BF"/>
    <w:rsid w:val="000F241E"/>
    <w:rsid w:val="00104184"/>
    <w:rsid w:val="00120CB8"/>
    <w:rsid w:val="00130A98"/>
    <w:rsid w:val="00130EA7"/>
    <w:rsid w:val="001443DB"/>
    <w:rsid w:val="00145223"/>
    <w:rsid w:val="001463F6"/>
    <w:rsid w:val="00152634"/>
    <w:rsid w:val="00152D2A"/>
    <w:rsid w:val="0015768B"/>
    <w:rsid w:val="00163294"/>
    <w:rsid w:val="00164473"/>
    <w:rsid w:val="00164EB1"/>
    <w:rsid w:val="0016502D"/>
    <w:rsid w:val="001705FE"/>
    <w:rsid w:val="00171E88"/>
    <w:rsid w:val="001813C8"/>
    <w:rsid w:val="00184EE5"/>
    <w:rsid w:val="0018524A"/>
    <w:rsid w:val="0018540B"/>
    <w:rsid w:val="00195820"/>
    <w:rsid w:val="00195B07"/>
    <w:rsid w:val="00197CA0"/>
    <w:rsid w:val="001A558A"/>
    <w:rsid w:val="001A6792"/>
    <w:rsid w:val="001A7C95"/>
    <w:rsid w:val="001B0311"/>
    <w:rsid w:val="001B2192"/>
    <w:rsid w:val="001B59A4"/>
    <w:rsid w:val="001C2F41"/>
    <w:rsid w:val="001C6C77"/>
    <w:rsid w:val="001D31DA"/>
    <w:rsid w:val="001D5BDF"/>
    <w:rsid w:val="001E26CD"/>
    <w:rsid w:val="001E2A2A"/>
    <w:rsid w:val="001E3C16"/>
    <w:rsid w:val="001E7906"/>
    <w:rsid w:val="001F449C"/>
    <w:rsid w:val="001F5F00"/>
    <w:rsid w:val="001F71D1"/>
    <w:rsid w:val="001F774A"/>
    <w:rsid w:val="0020354A"/>
    <w:rsid w:val="00211EB9"/>
    <w:rsid w:val="00213522"/>
    <w:rsid w:val="00220A7F"/>
    <w:rsid w:val="00221F66"/>
    <w:rsid w:val="00227229"/>
    <w:rsid w:val="00230C36"/>
    <w:rsid w:val="002324D6"/>
    <w:rsid w:val="002350EA"/>
    <w:rsid w:val="002441B9"/>
    <w:rsid w:val="00247BB3"/>
    <w:rsid w:val="00254B05"/>
    <w:rsid w:val="00254D27"/>
    <w:rsid w:val="00292185"/>
    <w:rsid w:val="002A0B01"/>
    <w:rsid w:val="002A709A"/>
    <w:rsid w:val="002B2487"/>
    <w:rsid w:val="002B2EF2"/>
    <w:rsid w:val="002B35A4"/>
    <w:rsid w:val="002B3AA8"/>
    <w:rsid w:val="002C169E"/>
    <w:rsid w:val="002C2269"/>
    <w:rsid w:val="002D1B63"/>
    <w:rsid w:val="002D3AEF"/>
    <w:rsid w:val="002D517B"/>
    <w:rsid w:val="002E1B7D"/>
    <w:rsid w:val="002E2FD0"/>
    <w:rsid w:val="00310D82"/>
    <w:rsid w:val="0031482C"/>
    <w:rsid w:val="003167BA"/>
    <w:rsid w:val="003246EF"/>
    <w:rsid w:val="00331242"/>
    <w:rsid w:val="00335E86"/>
    <w:rsid w:val="00340090"/>
    <w:rsid w:val="0035302C"/>
    <w:rsid w:val="00360EA5"/>
    <w:rsid w:val="00363A82"/>
    <w:rsid w:val="00377233"/>
    <w:rsid w:val="00377434"/>
    <w:rsid w:val="003A2DE3"/>
    <w:rsid w:val="003A5C03"/>
    <w:rsid w:val="003A5EB4"/>
    <w:rsid w:val="003A70E2"/>
    <w:rsid w:val="003A75C3"/>
    <w:rsid w:val="003B47C2"/>
    <w:rsid w:val="003C348A"/>
    <w:rsid w:val="003C34C3"/>
    <w:rsid w:val="003C509D"/>
    <w:rsid w:val="003C67C6"/>
    <w:rsid w:val="003C70DC"/>
    <w:rsid w:val="003D4776"/>
    <w:rsid w:val="003D7AC4"/>
    <w:rsid w:val="003E2EB2"/>
    <w:rsid w:val="003F429F"/>
    <w:rsid w:val="003F5C29"/>
    <w:rsid w:val="003F73C4"/>
    <w:rsid w:val="004127E9"/>
    <w:rsid w:val="00412984"/>
    <w:rsid w:val="004201D7"/>
    <w:rsid w:val="004221BA"/>
    <w:rsid w:val="0042245F"/>
    <w:rsid w:val="0043267F"/>
    <w:rsid w:val="00440211"/>
    <w:rsid w:val="004424CF"/>
    <w:rsid w:val="00454C15"/>
    <w:rsid w:val="00456286"/>
    <w:rsid w:val="004609E9"/>
    <w:rsid w:val="00463454"/>
    <w:rsid w:val="004675E0"/>
    <w:rsid w:val="00473E2F"/>
    <w:rsid w:val="00477F94"/>
    <w:rsid w:val="00481FED"/>
    <w:rsid w:val="00491334"/>
    <w:rsid w:val="004925CC"/>
    <w:rsid w:val="00496E92"/>
    <w:rsid w:val="004A1112"/>
    <w:rsid w:val="004A34CE"/>
    <w:rsid w:val="004A3973"/>
    <w:rsid w:val="004B07CC"/>
    <w:rsid w:val="004B7965"/>
    <w:rsid w:val="004D0991"/>
    <w:rsid w:val="004D2E55"/>
    <w:rsid w:val="004D5819"/>
    <w:rsid w:val="004D711A"/>
    <w:rsid w:val="004E6FE7"/>
    <w:rsid w:val="004F2296"/>
    <w:rsid w:val="00506E63"/>
    <w:rsid w:val="00515D20"/>
    <w:rsid w:val="00520287"/>
    <w:rsid w:val="0052222D"/>
    <w:rsid w:val="00524B08"/>
    <w:rsid w:val="00527478"/>
    <w:rsid w:val="00545A5F"/>
    <w:rsid w:val="0055135A"/>
    <w:rsid w:val="00551D4C"/>
    <w:rsid w:val="0055242E"/>
    <w:rsid w:val="0056520E"/>
    <w:rsid w:val="00565E08"/>
    <w:rsid w:val="005672D8"/>
    <w:rsid w:val="005737E4"/>
    <w:rsid w:val="00576F8C"/>
    <w:rsid w:val="00580B51"/>
    <w:rsid w:val="00582CE1"/>
    <w:rsid w:val="00583BAB"/>
    <w:rsid w:val="005852D6"/>
    <w:rsid w:val="00586D97"/>
    <w:rsid w:val="00591513"/>
    <w:rsid w:val="00593723"/>
    <w:rsid w:val="00593D56"/>
    <w:rsid w:val="00595DE1"/>
    <w:rsid w:val="0059659A"/>
    <w:rsid w:val="005B42EB"/>
    <w:rsid w:val="005C38C1"/>
    <w:rsid w:val="005D28FA"/>
    <w:rsid w:val="005D56FC"/>
    <w:rsid w:val="005F49DB"/>
    <w:rsid w:val="00603331"/>
    <w:rsid w:val="006156E2"/>
    <w:rsid w:val="00621952"/>
    <w:rsid w:val="006269E0"/>
    <w:rsid w:val="0063470D"/>
    <w:rsid w:val="0063775C"/>
    <w:rsid w:val="00642280"/>
    <w:rsid w:val="00643524"/>
    <w:rsid w:val="00651C67"/>
    <w:rsid w:val="006527C9"/>
    <w:rsid w:val="006579F4"/>
    <w:rsid w:val="00661B4D"/>
    <w:rsid w:val="00661F98"/>
    <w:rsid w:val="0066225F"/>
    <w:rsid w:val="00670D47"/>
    <w:rsid w:val="00674821"/>
    <w:rsid w:val="00676749"/>
    <w:rsid w:val="00685510"/>
    <w:rsid w:val="00691168"/>
    <w:rsid w:val="006911C3"/>
    <w:rsid w:val="00691EC0"/>
    <w:rsid w:val="006967E4"/>
    <w:rsid w:val="006A3A82"/>
    <w:rsid w:val="006B2E60"/>
    <w:rsid w:val="006B4992"/>
    <w:rsid w:val="006B5B19"/>
    <w:rsid w:val="006C1971"/>
    <w:rsid w:val="006C32A3"/>
    <w:rsid w:val="006C646B"/>
    <w:rsid w:val="006E2D00"/>
    <w:rsid w:val="006E5EDE"/>
    <w:rsid w:val="006E7608"/>
    <w:rsid w:val="006E7ECB"/>
    <w:rsid w:val="006F0193"/>
    <w:rsid w:val="007023C8"/>
    <w:rsid w:val="0070241A"/>
    <w:rsid w:val="00703B60"/>
    <w:rsid w:val="00703D62"/>
    <w:rsid w:val="00704641"/>
    <w:rsid w:val="00705C5A"/>
    <w:rsid w:val="00713367"/>
    <w:rsid w:val="007139DA"/>
    <w:rsid w:val="00723438"/>
    <w:rsid w:val="00736BF4"/>
    <w:rsid w:val="007400A8"/>
    <w:rsid w:val="00742992"/>
    <w:rsid w:val="0075156D"/>
    <w:rsid w:val="00765C1F"/>
    <w:rsid w:val="0077140E"/>
    <w:rsid w:val="00771DF9"/>
    <w:rsid w:val="00783D3C"/>
    <w:rsid w:val="00790DA1"/>
    <w:rsid w:val="00793CD7"/>
    <w:rsid w:val="00795AF5"/>
    <w:rsid w:val="007A1B40"/>
    <w:rsid w:val="007A3F2F"/>
    <w:rsid w:val="007A75F6"/>
    <w:rsid w:val="007B3492"/>
    <w:rsid w:val="007C492F"/>
    <w:rsid w:val="007C4A1F"/>
    <w:rsid w:val="007C64E8"/>
    <w:rsid w:val="007C6E4E"/>
    <w:rsid w:val="007D6751"/>
    <w:rsid w:val="007D6BB5"/>
    <w:rsid w:val="007E0467"/>
    <w:rsid w:val="007E1B73"/>
    <w:rsid w:val="007E27E1"/>
    <w:rsid w:val="007F2F60"/>
    <w:rsid w:val="007F6B92"/>
    <w:rsid w:val="00805B56"/>
    <w:rsid w:val="008121BF"/>
    <w:rsid w:val="00813707"/>
    <w:rsid w:val="0082144E"/>
    <w:rsid w:val="00824F68"/>
    <w:rsid w:val="00826DCE"/>
    <w:rsid w:val="00831E31"/>
    <w:rsid w:val="00832128"/>
    <w:rsid w:val="008353F0"/>
    <w:rsid w:val="00837290"/>
    <w:rsid w:val="00842595"/>
    <w:rsid w:val="00844955"/>
    <w:rsid w:val="0086072A"/>
    <w:rsid w:val="0087083A"/>
    <w:rsid w:val="00875F59"/>
    <w:rsid w:val="00885968"/>
    <w:rsid w:val="008A3B39"/>
    <w:rsid w:val="008B5344"/>
    <w:rsid w:val="008C42F1"/>
    <w:rsid w:val="008C4C9B"/>
    <w:rsid w:val="008C7258"/>
    <w:rsid w:val="008D3805"/>
    <w:rsid w:val="008E0349"/>
    <w:rsid w:val="008E3A95"/>
    <w:rsid w:val="008E3D3B"/>
    <w:rsid w:val="008E68FA"/>
    <w:rsid w:val="008F09E5"/>
    <w:rsid w:val="008F0F67"/>
    <w:rsid w:val="0090514C"/>
    <w:rsid w:val="00920261"/>
    <w:rsid w:val="0092171D"/>
    <w:rsid w:val="009233AB"/>
    <w:rsid w:val="00925487"/>
    <w:rsid w:val="00926326"/>
    <w:rsid w:val="00927120"/>
    <w:rsid w:val="00940C06"/>
    <w:rsid w:val="00942130"/>
    <w:rsid w:val="00945CAF"/>
    <w:rsid w:val="00945EF9"/>
    <w:rsid w:val="00953374"/>
    <w:rsid w:val="00955FC3"/>
    <w:rsid w:val="00960CA2"/>
    <w:rsid w:val="00964FFD"/>
    <w:rsid w:val="009665FD"/>
    <w:rsid w:val="0097253A"/>
    <w:rsid w:val="00984B73"/>
    <w:rsid w:val="00997AD8"/>
    <w:rsid w:val="009B0DFE"/>
    <w:rsid w:val="009B3249"/>
    <w:rsid w:val="009B4027"/>
    <w:rsid w:val="009B7818"/>
    <w:rsid w:val="009D162B"/>
    <w:rsid w:val="009D2C81"/>
    <w:rsid w:val="009D6E41"/>
    <w:rsid w:val="009E2D4F"/>
    <w:rsid w:val="009F13A4"/>
    <w:rsid w:val="009F2419"/>
    <w:rsid w:val="009F251E"/>
    <w:rsid w:val="009F3826"/>
    <w:rsid w:val="009F4ECF"/>
    <w:rsid w:val="009F4F46"/>
    <w:rsid w:val="00A07CD0"/>
    <w:rsid w:val="00A1755D"/>
    <w:rsid w:val="00A22179"/>
    <w:rsid w:val="00A2593A"/>
    <w:rsid w:val="00A306B9"/>
    <w:rsid w:val="00A30881"/>
    <w:rsid w:val="00A311D8"/>
    <w:rsid w:val="00A35FD8"/>
    <w:rsid w:val="00A429CF"/>
    <w:rsid w:val="00A44A65"/>
    <w:rsid w:val="00A45810"/>
    <w:rsid w:val="00A45FE6"/>
    <w:rsid w:val="00A47BE5"/>
    <w:rsid w:val="00A5078A"/>
    <w:rsid w:val="00A519C3"/>
    <w:rsid w:val="00A65444"/>
    <w:rsid w:val="00A66CDC"/>
    <w:rsid w:val="00A66D7E"/>
    <w:rsid w:val="00A732EC"/>
    <w:rsid w:val="00A76ACB"/>
    <w:rsid w:val="00A76D3E"/>
    <w:rsid w:val="00A80DBE"/>
    <w:rsid w:val="00A8335B"/>
    <w:rsid w:val="00A864B4"/>
    <w:rsid w:val="00A86694"/>
    <w:rsid w:val="00AA04EC"/>
    <w:rsid w:val="00AA23EB"/>
    <w:rsid w:val="00AA3DED"/>
    <w:rsid w:val="00AA519F"/>
    <w:rsid w:val="00AB3703"/>
    <w:rsid w:val="00AB6824"/>
    <w:rsid w:val="00AB7AAC"/>
    <w:rsid w:val="00AC1524"/>
    <w:rsid w:val="00AC7A2F"/>
    <w:rsid w:val="00AD20D6"/>
    <w:rsid w:val="00B05C9B"/>
    <w:rsid w:val="00B075CE"/>
    <w:rsid w:val="00B122A6"/>
    <w:rsid w:val="00B12CFC"/>
    <w:rsid w:val="00B14C1E"/>
    <w:rsid w:val="00B15799"/>
    <w:rsid w:val="00B20058"/>
    <w:rsid w:val="00B25634"/>
    <w:rsid w:val="00B27ABD"/>
    <w:rsid w:val="00B27F3F"/>
    <w:rsid w:val="00B3073B"/>
    <w:rsid w:val="00B37F08"/>
    <w:rsid w:val="00B50B44"/>
    <w:rsid w:val="00B522E5"/>
    <w:rsid w:val="00B5622F"/>
    <w:rsid w:val="00B56900"/>
    <w:rsid w:val="00B60A7F"/>
    <w:rsid w:val="00B648A2"/>
    <w:rsid w:val="00B66972"/>
    <w:rsid w:val="00B72BD1"/>
    <w:rsid w:val="00B76B5B"/>
    <w:rsid w:val="00B76D5C"/>
    <w:rsid w:val="00B84E4F"/>
    <w:rsid w:val="00B864EE"/>
    <w:rsid w:val="00B916AE"/>
    <w:rsid w:val="00B92350"/>
    <w:rsid w:val="00BA1C35"/>
    <w:rsid w:val="00BA3D67"/>
    <w:rsid w:val="00BA5007"/>
    <w:rsid w:val="00BA5CD3"/>
    <w:rsid w:val="00BA5F10"/>
    <w:rsid w:val="00BB30C0"/>
    <w:rsid w:val="00BB5749"/>
    <w:rsid w:val="00BB5FF2"/>
    <w:rsid w:val="00BB6EE7"/>
    <w:rsid w:val="00BC0460"/>
    <w:rsid w:val="00BC10FD"/>
    <w:rsid w:val="00BC6C27"/>
    <w:rsid w:val="00BC7130"/>
    <w:rsid w:val="00BD446D"/>
    <w:rsid w:val="00BD4A42"/>
    <w:rsid w:val="00BD749E"/>
    <w:rsid w:val="00BE6D63"/>
    <w:rsid w:val="00BF4349"/>
    <w:rsid w:val="00BF52C6"/>
    <w:rsid w:val="00C07A02"/>
    <w:rsid w:val="00C108D0"/>
    <w:rsid w:val="00C136E2"/>
    <w:rsid w:val="00C16D45"/>
    <w:rsid w:val="00C205D5"/>
    <w:rsid w:val="00C328A5"/>
    <w:rsid w:val="00C434A7"/>
    <w:rsid w:val="00C500E0"/>
    <w:rsid w:val="00C51C43"/>
    <w:rsid w:val="00C52D9F"/>
    <w:rsid w:val="00C530D2"/>
    <w:rsid w:val="00C55D4C"/>
    <w:rsid w:val="00C572B3"/>
    <w:rsid w:val="00C65A32"/>
    <w:rsid w:val="00C717CA"/>
    <w:rsid w:val="00C719E2"/>
    <w:rsid w:val="00C82C3B"/>
    <w:rsid w:val="00C903A0"/>
    <w:rsid w:val="00CA3C49"/>
    <w:rsid w:val="00CA5183"/>
    <w:rsid w:val="00CB16D2"/>
    <w:rsid w:val="00CB20A2"/>
    <w:rsid w:val="00CB4963"/>
    <w:rsid w:val="00CB6233"/>
    <w:rsid w:val="00CC437D"/>
    <w:rsid w:val="00CD1808"/>
    <w:rsid w:val="00CD6ACD"/>
    <w:rsid w:val="00CD7269"/>
    <w:rsid w:val="00CD7815"/>
    <w:rsid w:val="00CE5F0E"/>
    <w:rsid w:val="00CF0B41"/>
    <w:rsid w:val="00CF7AA2"/>
    <w:rsid w:val="00D022CE"/>
    <w:rsid w:val="00D05B8D"/>
    <w:rsid w:val="00D1650E"/>
    <w:rsid w:val="00D31B47"/>
    <w:rsid w:val="00D336C3"/>
    <w:rsid w:val="00D37D41"/>
    <w:rsid w:val="00D4054F"/>
    <w:rsid w:val="00D40FBF"/>
    <w:rsid w:val="00D44C47"/>
    <w:rsid w:val="00D46A7E"/>
    <w:rsid w:val="00D50681"/>
    <w:rsid w:val="00D50F35"/>
    <w:rsid w:val="00D5253D"/>
    <w:rsid w:val="00D56AC0"/>
    <w:rsid w:val="00D60588"/>
    <w:rsid w:val="00D6389F"/>
    <w:rsid w:val="00D82FEB"/>
    <w:rsid w:val="00D91E42"/>
    <w:rsid w:val="00D927F6"/>
    <w:rsid w:val="00D92BD2"/>
    <w:rsid w:val="00D9606E"/>
    <w:rsid w:val="00D9748F"/>
    <w:rsid w:val="00DA1BE3"/>
    <w:rsid w:val="00DA4623"/>
    <w:rsid w:val="00DA7392"/>
    <w:rsid w:val="00DA7E47"/>
    <w:rsid w:val="00DB16BC"/>
    <w:rsid w:val="00DB2BD9"/>
    <w:rsid w:val="00DB4264"/>
    <w:rsid w:val="00DB465F"/>
    <w:rsid w:val="00DB4E3E"/>
    <w:rsid w:val="00DC2AE1"/>
    <w:rsid w:val="00DC7380"/>
    <w:rsid w:val="00DD22FB"/>
    <w:rsid w:val="00DD2CEB"/>
    <w:rsid w:val="00DD614C"/>
    <w:rsid w:val="00DE127E"/>
    <w:rsid w:val="00DE1F0C"/>
    <w:rsid w:val="00DE2763"/>
    <w:rsid w:val="00DE2EB7"/>
    <w:rsid w:val="00DE420C"/>
    <w:rsid w:val="00DF0F11"/>
    <w:rsid w:val="00DF139D"/>
    <w:rsid w:val="00DF44F9"/>
    <w:rsid w:val="00E051BE"/>
    <w:rsid w:val="00E073D6"/>
    <w:rsid w:val="00E07607"/>
    <w:rsid w:val="00E11320"/>
    <w:rsid w:val="00E1201B"/>
    <w:rsid w:val="00E14B07"/>
    <w:rsid w:val="00E239FA"/>
    <w:rsid w:val="00E31185"/>
    <w:rsid w:val="00E4143A"/>
    <w:rsid w:val="00E41F73"/>
    <w:rsid w:val="00E4520C"/>
    <w:rsid w:val="00E504D9"/>
    <w:rsid w:val="00E52FF8"/>
    <w:rsid w:val="00E55242"/>
    <w:rsid w:val="00E552F7"/>
    <w:rsid w:val="00E628A3"/>
    <w:rsid w:val="00E71A5A"/>
    <w:rsid w:val="00E71A5C"/>
    <w:rsid w:val="00E7210C"/>
    <w:rsid w:val="00E7343B"/>
    <w:rsid w:val="00E7378D"/>
    <w:rsid w:val="00E80355"/>
    <w:rsid w:val="00E81680"/>
    <w:rsid w:val="00E82280"/>
    <w:rsid w:val="00E847BB"/>
    <w:rsid w:val="00E85E57"/>
    <w:rsid w:val="00E97505"/>
    <w:rsid w:val="00EA235D"/>
    <w:rsid w:val="00EA3BC8"/>
    <w:rsid w:val="00EA7791"/>
    <w:rsid w:val="00EA7F3A"/>
    <w:rsid w:val="00EC2ACF"/>
    <w:rsid w:val="00EC3DA6"/>
    <w:rsid w:val="00EE4D62"/>
    <w:rsid w:val="00EF679B"/>
    <w:rsid w:val="00F01181"/>
    <w:rsid w:val="00F1487B"/>
    <w:rsid w:val="00F1488C"/>
    <w:rsid w:val="00F21B3A"/>
    <w:rsid w:val="00F23378"/>
    <w:rsid w:val="00F25C5C"/>
    <w:rsid w:val="00F26F9A"/>
    <w:rsid w:val="00F320BA"/>
    <w:rsid w:val="00F32519"/>
    <w:rsid w:val="00F32E2E"/>
    <w:rsid w:val="00F561A5"/>
    <w:rsid w:val="00F62986"/>
    <w:rsid w:val="00F636D2"/>
    <w:rsid w:val="00F71332"/>
    <w:rsid w:val="00F7167B"/>
    <w:rsid w:val="00F747DD"/>
    <w:rsid w:val="00F75AAA"/>
    <w:rsid w:val="00F82289"/>
    <w:rsid w:val="00F822A1"/>
    <w:rsid w:val="00FA0415"/>
    <w:rsid w:val="00FA2D17"/>
    <w:rsid w:val="00FA38C3"/>
    <w:rsid w:val="00FA4F51"/>
    <w:rsid w:val="00FA7B60"/>
    <w:rsid w:val="00FB1A39"/>
    <w:rsid w:val="00FB5B50"/>
    <w:rsid w:val="00FC110C"/>
    <w:rsid w:val="00FC1FC7"/>
    <w:rsid w:val="00FC27FB"/>
    <w:rsid w:val="00FC440F"/>
    <w:rsid w:val="00FD1766"/>
    <w:rsid w:val="00FE0B1F"/>
    <w:rsid w:val="00FE290D"/>
    <w:rsid w:val="00FE3D45"/>
    <w:rsid w:val="00FF036A"/>
    <w:rsid w:val="00FF1CF2"/>
    <w:rsid w:val="00FF26C1"/>
    <w:rsid w:val="00FF4E0C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50FFEA"/>
  <w14:defaultImageDpi w14:val="330"/>
  <w15:chartTrackingRefBased/>
  <w15:docId w15:val="{01130901-410E-4782-86E5-AD61B22C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2D8"/>
    <w:rPr>
      <w:color w:val="0563C1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5672D8"/>
  </w:style>
  <w:style w:type="paragraph" w:styleId="a5">
    <w:name w:val="header"/>
    <w:basedOn w:val="a"/>
    <w:link w:val="Char"/>
    <w:uiPriority w:val="99"/>
    <w:unhideWhenUsed/>
    <w:rsid w:val="005672D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672D8"/>
  </w:style>
  <w:style w:type="paragraph" w:styleId="a6">
    <w:name w:val="footer"/>
    <w:basedOn w:val="a"/>
    <w:link w:val="Char0"/>
    <w:uiPriority w:val="99"/>
    <w:unhideWhenUsed/>
    <w:rsid w:val="005672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672D8"/>
  </w:style>
  <w:style w:type="paragraph" w:styleId="a7">
    <w:name w:val="List Paragraph"/>
    <w:basedOn w:val="a"/>
    <w:uiPriority w:val="34"/>
    <w:qFormat/>
    <w:rsid w:val="00D31B47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EA7791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1F71D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F71D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1F71D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F71D1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649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884922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438360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136534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1803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8023843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3159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7476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7553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92519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2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doyoun@snu.ac.kr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E94F0-5CF0-4709-A3A0-F7A82AC1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오경석</dc:creator>
  <cp:keywords/>
  <dc:description/>
  <cp:lastModifiedBy>오경석</cp:lastModifiedBy>
  <cp:revision>7</cp:revision>
  <cp:lastPrinted>2023-11-28T08:29:00Z</cp:lastPrinted>
  <dcterms:created xsi:type="dcterms:W3CDTF">2024-05-16T08:36:00Z</dcterms:created>
  <dcterms:modified xsi:type="dcterms:W3CDTF">2024-10-05T15:47:00Z</dcterms:modified>
</cp:coreProperties>
</file>