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</w:pPr>
      <w:r>
        <w:rPr>
          <w:rStyle w:val="9"/>
          <w:rFonts w:hint="default" w:ascii="Times New Roman Regular" w:hAnsi="Times New Roman Regular" w:cs="Times New Roman Regular"/>
          <w:b/>
          <w:bCs/>
          <w:sz w:val="28"/>
          <w:szCs w:val="28"/>
          <w:highlight w:val="none"/>
          <w:lang w:val="en-US" w:eastAsia="zh-Hans"/>
        </w:rPr>
        <w:t>Sup</w:t>
      </w:r>
      <w:r>
        <w:rPr>
          <w:rStyle w:val="9"/>
          <w:rFonts w:hint="default" w:ascii="Times New Roman Regular" w:hAnsi="Times New Roman Regular" w:cs="Times New Roman Regular"/>
          <w:b/>
          <w:bCs/>
          <w:sz w:val="28"/>
          <w:szCs w:val="28"/>
          <w:highlight w:val="none"/>
          <w:lang w:eastAsia="zh-Hans"/>
        </w:rPr>
        <w:t xml:space="preserve">plementary </w:t>
      </w:r>
      <w:r>
        <w:rPr>
          <w:rStyle w:val="9"/>
          <w:rFonts w:hint="default" w:ascii="Times New Roman Regular" w:hAnsi="Times New Roman Regular" w:cs="Times New Roman Regular"/>
          <w:b/>
          <w:bCs/>
          <w:sz w:val="28"/>
          <w:szCs w:val="28"/>
          <w:highlight w:val="none"/>
          <w:lang w:val="en-US" w:eastAsia="zh-Hans"/>
        </w:rPr>
        <w:t>D</w:t>
      </w:r>
      <w:r>
        <w:rPr>
          <w:rStyle w:val="9"/>
          <w:rFonts w:hint="default" w:ascii="Times New Roman Regular" w:hAnsi="Times New Roman Regular" w:cs="Times New Roman Regular"/>
          <w:b/>
          <w:bCs/>
          <w:sz w:val="28"/>
          <w:szCs w:val="28"/>
          <w:highlight w:val="none"/>
          <w:lang w:eastAsia="zh-Hans"/>
        </w:rPr>
        <w:t>ata</w:t>
      </w:r>
      <w:r>
        <w:rPr>
          <w:rFonts w:hint="default" w:ascii="Times New Roman Regular" w:hAnsi="Times New Roman Regular" w:cs="Times New Roman Regular"/>
          <w:sz w:val="28"/>
          <w:szCs w:val="28"/>
          <w:highlight w:val="none"/>
          <w:lang w:eastAsia="zh-Hans"/>
        </w:rPr>
        <w:br w:type="textWrapping"/>
      </w:r>
      <w:r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  <w:drawing>
          <wp:inline distT="0" distB="0" distL="114300" distR="114300">
            <wp:extent cx="5266690" cy="3599815"/>
            <wp:effectExtent l="0" t="0" r="16510" b="6985"/>
            <wp:docPr id="5" name="图片 5" descr="S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1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  <w:t>Fig</w:t>
      </w:r>
      <w:r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val="en-US" w:eastAsia="zh-CN"/>
        </w:rPr>
        <w:t>ure</w:t>
      </w:r>
      <w:r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  <w:t xml:space="preserve"> S1. Spectral data of PBMT and assessment of photosensitivity in thyroid cancer cell lines.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sz w:val="20"/>
          <w:szCs w:val="20"/>
          <w:highlight w:val="none"/>
          <w:lang w:eastAsia="zh-Hans"/>
        </w:rPr>
        <w:t>A. Spectral data and optical cell culture incubators with varying wavelengths.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sz w:val="20"/>
          <w:szCs w:val="20"/>
          <w:highlight w:val="none"/>
          <w:lang w:eastAsia="zh-Hans"/>
        </w:rPr>
        <w:t>B. Relative cell counts after 24 hours of PBMT treatment at different wavelengths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(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*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P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&lt;0.05, 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n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=3, </w:t>
      </w:r>
      <w:r>
        <w:rPr>
          <w:rFonts w:hint="default" w:ascii="Times New Roman Regular" w:hAnsi="Times New Roman Regular" w:cs="Times New Roman Regular"/>
          <w:i w:val="0"/>
          <w:iCs w:val="0"/>
          <w:sz w:val="20"/>
          <w:szCs w:val="20"/>
          <w:highlight w:val="none"/>
          <w:lang w:eastAsia="zh-Hans"/>
        </w:rPr>
        <w:t>vs.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 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val="en-US" w:eastAsia="zh-Hans"/>
        </w:rPr>
        <w:t>CTL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 group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)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sz w:val="20"/>
          <w:szCs w:val="20"/>
          <w:highlight w:val="none"/>
          <w:lang w:eastAsia="zh-Hans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sz w:val="20"/>
          <w:szCs w:val="20"/>
          <w:highlight w:val="none"/>
          <w:lang w:eastAsia="zh-Hans"/>
        </w:rPr>
        <w:t>C. Cell counts after 24 hours of PBMT treatment at different wavelengths, as determined by crystal violet staining in the Transwell assay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(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**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P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&lt;0.01, 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n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=3, </w:t>
      </w:r>
      <w:r>
        <w:rPr>
          <w:rFonts w:hint="default" w:ascii="Times New Roman Regular" w:hAnsi="Times New Roman Regular" w:cs="Times New Roman Regular"/>
          <w:i w:val="0"/>
          <w:iCs w:val="0"/>
          <w:sz w:val="20"/>
          <w:szCs w:val="20"/>
          <w:highlight w:val="none"/>
          <w:lang w:eastAsia="zh-Hans"/>
        </w:rPr>
        <w:t>vs.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 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val="en-US" w:eastAsia="zh-Hans"/>
        </w:rPr>
        <w:t>CTL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 group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)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sz w:val="20"/>
          <w:szCs w:val="20"/>
          <w:highlight w:val="none"/>
          <w:lang w:eastAsia="zh-Hans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sz w:val="20"/>
          <w:szCs w:val="20"/>
          <w:highlight w:val="none"/>
          <w:lang w:eastAsia="zh-Hans"/>
        </w:rPr>
        <w:t>D. Wound healing rates after 24 hours of PBMT treatment at different wavelengths in the scratch assay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(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**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P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&lt;0.01, 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n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=3, </w:t>
      </w:r>
      <w:r>
        <w:rPr>
          <w:rFonts w:hint="default" w:ascii="Times New Roman Regular" w:hAnsi="Times New Roman Regular" w:cs="Times New Roman Regular"/>
          <w:i w:val="0"/>
          <w:iCs w:val="0"/>
          <w:sz w:val="20"/>
          <w:szCs w:val="20"/>
          <w:highlight w:val="none"/>
          <w:lang w:eastAsia="zh-Hans"/>
        </w:rPr>
        <w:t>vs.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 CTL group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)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sz w:val="20"/>
          <w:szCs w:val="20"/>
          <w:highlight w:val="none"/>
          <w:lang w:eastAsia="zh-Hans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  <w:drawing>
          <wp:inline distT="0" distB="0" distL="114300" distR="114300">
            <wp:extent cx="5271135" cy="4182110"/>
            <wp:effectExtent l="0" t="0" r="12065" b="8890"/>
            <wp:docPr id="2" name="图片 2" descr="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18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  <w:t>Fig</w:t>
      </w:r>
      <w:r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val="en-US" w:eastAsia="zh-CN"/>
        </w:rPr>
        <w:t>ure</w:t>
      </w:r>
      <w:r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  <w:t xml:space="preserve"> S2. Assessment of ROS levels and proliferative capacity.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Assessment of ROS levels in TPC-1 cells after blue light PBMT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(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**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P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&lt;0.01, 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n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=3, </w:t>
      </w:r>
      <w:r>
        <w:rPr>
          <w:rFonts w:hint="default" w:ascii="Times New Roman Regular" w:hAnsi="Times New Roman Regular" w:cs="Times New Roman Regular"/>
          <w:i w:val="0"/>
          <w:iCs w:val="0"/>
          <w:sz w:val="20"/>
          <w:szCs w:val="20"/>
          <w:highlight w:val="none"/>
          <w:lang w:eastAsia="zh-Hans"/>
        </w:rPr>
        <w:t>vs.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 CTL group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)</w:t>
      </w: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Cell cycle analysis of TPC-1 cells under different oxidative stress conditions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 xml:space="preserve">(n.s. : No 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val="en-US" w:eastAsia="zh-Hans"/>
        </w:rPr>
        <w:t>significance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 xml:space="preserve">, 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**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P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&lt;0.01, 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n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=3, </w:t>
      </w:r>
      <w:r>
        <w:rPr>
          <w:rFonts w:hint="default" w:ascii="Times New Roman Regular" w:hAnsi="Times New Roman Regular" w:cs="Times New Roman Regular"/>
          <w:i w:val="0"/>
          <w:iCs w:val="0"/>
          <w:sz w:val="20"/>
          <w:szCs w:val="20"/>
          <w:highlight w:val="none"/>
          <w:lang w:eastAsia="zh-Hans"/>
        </w:rPr>
        <w:t>vs.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 CTL group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)</w:t>
      </w: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In the DMEM culture medium supplemented with 1μM/mL PMA (NOX5 activator) (Phorbol 12-myristate 13-acetate), the healing area of scratch wounds after 24 hours of PBMT treatment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(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**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P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&lt;0.01, 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n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=3, </w:t>
      </w:r>
      <w:r>
        <w:rPr>
          <w:rFonts w:hint="default" w:ascii="Times New Roman Regular" w:hAnsi="Times New Roman Regular" w:cs="Times New Roman Regular"/>
          <w:i w:val="0"/>
          <w:iCs w:val="0"/>
          <w:sz w:val="20"/>
          <w:szCs w:val="20"/>
          <w:highlight w:val="none"/>
          <w:lang w:eastAsia="zh-Hans"/>
        </w:rPr>
        <w:t>vs.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 CTL group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)</w:t>
      </w:r>
      <w:r>
        <w:rPr>
          <w:rFonts w:hint="default" w:ascii="Times New Roman Regular" w:hAnsi="Times New Roman Regular" w:cs="Times New Roman Regular"/>
          <w:b w:val="0"/>
          <w:bCs/>
          <w:i w:val="0"/>
          <w:sz w:val="20"/>
          <w:szCs w:val="20"/>
          <w:highlight w:val="none"/>
          <w:lang w:eastAsia="zh-Hans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  <w:drawing>
          <wp:inline distT="0" distB="0" distL="114300" distR="114300">
            <wp:extent cx="5039995" cy="4679950"/>
            <wp:effectExtent l="0" t="0" r="14605" b="19050"/>
            <wp:docPr id="8" name="图片 8" descr="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467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  <w:t>Fig</w:t>
      </w:r>
      <w:r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val="en-US" w:eastAsia="zh-CN"/>
        </w:rPr>
        <w:t>ure</w:t>
      </w:r>
      <w:r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  <w:t xml:space="preserve"> S3. Retinal pathway disturbance and PBMT effect.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A. Cell count statistics after blue light PBMT treatment and supplementation with different concentrations of all-trans retinal (10 μM and 20 μM)</w:t>
      </w:r>
      <w:r>
        <w:rPr>
          <w:rFonts w:hint="default" w:ascii="Times New Roman Regular" w:hAnsi="Times New Roman Regular" w:cs="Times New Roman Regular"/>
          <w:b w:val="0"/>
          <w:bCs/>
          <w:i w:val="0"/>
          <w:sz w:val="20"/>
          <w:szCs w:val="20"/>
          <w:highlight w:val="none"/>
          <w:lang w:eastAsia="zh-Hans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(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**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P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&lt;0.01, 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n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=3, </w:t>
      </w:r>
      <w:r>
        <w:rPr>
          <w:rFonts w:hint="default" w:ascii="Times New Roman Regular" w:hAnsi="Times New Roman Regular" w:cs="Times New Roman Regular"/>
          <w:i w:val="0"/>
          <w:iCs w:val="0"/>
          <w:sz w:val="20"/>
          <w:szCs w:val="20"/>
          <w:highlight w:val="none"/>
          <w:lang w:eastAsia="zh-Hans"/>
        </w:rPr>
        <w:t>vs.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 CTL group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)</w:t>
      </w: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B. Cell cycle analysis after supplementation with 10 μM all-trans retinal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(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**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P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&lt;0.01, 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n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=3, </w:t>
      </w:r>
      <w:r>
        <w:rPr>
          <w:rFonts w:hint="default" w:ascii="Times New Roman Regular" w:hAnsi="Times New Roman Regular" w:cs="Times New Roman Regular"/>
          <w:i w:val="0"/>
          <w:iCs w:val="0"/>
          <w:sz w:val="20"/>
          <w:szCs w:val="20"/>
          <w:highlight w:val="none"/>
          <w:lang w:eastAsia="zh-Hans"/>
        </w:rPr>
        <w:t>vs.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 CTL group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)</w:t>
      </w: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C. Protein densitometry analysis following supplementation with 10 μM all-trans retinal (p21 and CDK4 proteins)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(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**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P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&lt;0.01, 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n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=3, </w:t>
      </w:r>
      <w:r>
        <w:rPr>
          <w:rFonts w:hint="default" w:ascii="Times New Roman Regular" w:hAnsi="Times New Roman Regular" w:cs="Times New Roman Regular"/>
          <w:i w:val="0"/>
          <w:iCs w:val="0"/>
          <w:sz w:val="20"/>
          <w:szCs w:val="20"/>
          <w:highlight w:val="none"/>
          <w:lang w:eastAsia="zh-Hans"/>
        </w:rPr>
        <w:t>vs.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 CTL group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)</w:t>
      </w: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D. Evaluation of retinoic acid content in TPC-1 cells after blue light PBMT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(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**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P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&lt;0.01, 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n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=3, </w:t>
      </w:r>
      <w:r>
        <w:rPr>
          <w:rFonts w:hint="default" w:ascii="Times New Roman Regular" w:hAnsi="Times New Roman Regular" w:cs="Times New Roman Regular"/>
          <w:i w:val="0"/>
          <w:iCs w:val="0"/>
          <w:sz w:val="20"/>
          <w:szCs w:val="20"/>
          <w:highlight w:val="none"/>
          <w:lang w:eastAsia="zh-Hans"/>
        </w:rPr>
        <w:t>vs.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 CTL group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)</w:t>
      </w: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E. Cell viability assays of TPC-1 cells with retinoic acid supplementation to simulate the effects of blue light PBMT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(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**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P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&lt;0.01, 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n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=3, </w:t>
      </w:r>
      <w:r>
        <w:rPr>
          <w:rFonts w:hint="default" w:ascii="Times New Roman Regular" w:hAnsi="Times New Roman Regular" w:cs="Times New Roman Regular"/>
          <w:i w:val="0"/>
          <w:iCs w:val="0"/>
          <w:sz w:val="20"/>
          <w:szCs w:val="20"/>
          <w:highlight w:val="none"/>
          <w:lang w:eastAsia="zh-Hans"/>
        </w:rPr>
        <w:t>vs.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/>
          <w:i w:val="0"/>
          <w:sz w:val="20"/>
          <w:szCs w:val="20"/>
          <w:highlight w:val="none"/>
          <w:lang w:val="en-US" w:eastAsia="zh-Hans"/>
        </w:rPr>
        <w:t>R</w:t>
      </w: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etinoic acid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 </w:t>
      </w: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0 μM</w:t>
      </w:r>
      <w:r>
        <w:rPr>
          <w:rFonts w:hint="default" w:ascii="Times New Roman Regular" w:hAnsi="Times New Roman Regular" w:cs="Times New Roman Regular"/>
          <w:b w:val="0"/>
          <w:bCs/>
          <w:i w:val="0"/>
          <w:sz w:val="20"/>
          <w:szCs w:val="20"/>
          <w:highlight w:val="none"/>
          <w:lang w:eastAsia="zh-Hans"/>
        </w:rPr>
        <w:t xml:space="preserve"> 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>group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)</w:t>
      </w: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F. Crystal violet staining of TPC-1 cells under varying levels of retinoic acid. Scale bars, 100 μm.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G. Western blot analysis of cell cycle-related proteins in TPC-1 cells at different retinoic acid levels (n=3).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H. Cell cycle determination in TPC-1 cells influenced by varying levels of retinoic acid (n=3).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br w:type="textWrapping"/>
      </w:r>
      <w:r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  <w:drawing>
          <wp:inline distT="0" distB="0" distL="114300" distR="114300">
            <wp:extent cx="5272405" cy="5043170"/>
            <wp:effectExtent l="0" t="0" r="10795" b="11430"/>
            <wp:docPr id="1" name="图片 1" descr="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04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  <w:t>Fig</w:t>
      </w:r>
      <w:r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val="en-US" w:eastAsia="zh-CN"/>
        </w:rPr>
        <w:t>ure</w:t>
      </w:r>
      <w:r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  <w:t xml:space="preserve"> S4. The OPN3-Retinal complex is critical for the effects of blue light PBMT.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A. Agarose gel analysis of opsin family expression levels in TPC-1 cells.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B. Western blot analysis of OPN3 protein levels in TPC-1 cells 24 hours after blue light PBMT treatment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(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*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P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&lt;0.05, 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n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=3, </w:t>
      </w:r>
      <w:r>
        <w:rPr>
          <w:rFonts w:hint="default" w:ascii="Times New Roman Regular" w:hAnsi="Times New Roman Regular" w:cs="Times New Roman Regular"/>
          <w:i w:val="0"/>
          <w:iCs w:val="0"/>
          <w:sz w:val="20"/>
          <w:szCs w:val="20"/>
          <w:highlight w:val="none"/>
          <w:lang w:eastAsia="zh-Hans"/>
        </w:rPr>
        <w:t>vs.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 CTL group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)</w:t>
      </w: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C. Efficiency of OPN3 knockdown and overexpression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(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**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P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&lt;0.01, 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n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=3, </w:t>
      </w:r>
      <w:r>
        <w:rPr>
          <w:rFonts w:hint="default" w:ascii="Times New Roman Regular" w:hAnsi="Times New Roman Regular" w:cs="Times New Roman Regular"/>
          <w:i w:val="0"/>
          <w:iCs w:val="0"/>
          <w:sz w:val="20"/>
          <w:szCs w:val="20"/>
          <w:highlight w:val="none"/>
          <w:lang w:eastAsia="zh-Hans"/>
        </w:rPr>
        <w:t>vs.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 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val="en-US" w:eastAsia="zh-Hans"/>
        </w:rPr>
        <w:t>NC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 group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)</w:t>
      </w: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D. Analysis of cell cycle-related protein levels under different OPN3 expression levels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(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**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P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&lt;0.01, </w:t>
      </w:r>
      <w:r>
        <w:rPr>
          <w:rFonts w:hint="default" w:ascii="Times New Roman Regular" w:hAnsi="Times New Roman Regular" w:cs="Times New Roman Regular"/>
          <w:i w:val="0"/>
          <w:iCs w:val="0"/>
          <w:sz w:val="20"/>
          <w:szCs w:val="20"/>
          <w:highlight w:val="none"/>
          <w:lang w:eastAsia="zh-Hans"/>
        </w:rPr>
        <w:t>vs.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 CTL group, 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##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P&lt;0.01, vs. BL group, 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n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>=3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)</w:t>
      </w: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E. Cell count statistics after OPN3 knockdown and 24 hours of blue light PBMT treatment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(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**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P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&lt;0.01, </w:t>
      </w:r>
      <w:r>
        <w:rPr>
          <w:rFonts w:hint="default" w:ascii="Times New Roman Regular" w:hAnsi="Times New Roman Regular" w:cs="Times New Roman Regular"/>
          <w:i w:val="0"/>
          <w:iCs w:val="0"/>
          <w:sz w:val="20"/>
          <w:szCs w:val="20"/>
          <w:highlight w:val="none"/>
          <w:lang w:eastAsia="zh-Hans"/>
        </w:rPr>
        <w:t>vs.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 CTL group, 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##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P&lt;0.01, vs. BL group, 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n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>=3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)</w:t>
      </w: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F. Cell cycle analysis after OPN3 knockdown and 24 hours of blue light PBMT treatment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(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#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P&lt;0.05, vs. BL group, 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n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>=3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)</w:t>
      </w: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G. Cell count statistics after OPN3 overexpression and 24 hours of blue light PBMT treatment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(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**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P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&lt;0.01, </w:t>
      </w:r>
      <w:r>
        <w:rPr>
          <w:rFonts w:hint="default" w:ascii="Times New Roman Regular" w:hAnsi="Times New Roman Regular" w:cs="Times New Roman Regular"/>
          <w:i w:val="0"/>
          <w:iCs w:val="0"/>
          <w:sz w:val="20"/>
          <w:szCs w:val="20"/>
          <w:highlight w:val="none"/>
          <w:lang w:eastAsia="zh-Hans"/>
        </w:rPr>
        <w:t>vs.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 CTL group, 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##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P&lt;0.01, vs. BL group, 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n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>=3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)</w:t>
      </w: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H. Cell cycle analysis after OPN3 overexpression and 24 hours of blue light PBMT treatment.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(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n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>=3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)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I. Cell count statistics under varying OPN3 expression levels simulating blue light PBMT effects by all-trans retinal supplementation in a non-light environment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(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**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P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&lt;0.01, </w:t>
      </w:r>
      <w:r>
        <w:rPr>
          <w:rFonts w:hint="default" w:ascii="Times New Roman Regular" w:hAnsi="Times New Roman Regular" w:cs="Times New Roman Regular"/>
          <w:i w:val="0"/>
          <w:iCs w:val="0"/>
          <w:sz w:val="20"/>
          <w:szCs w:val="20"/>
          <w:highlight w:val="none"/>
          <w:lang w:eastAsia="zh-Hans"/>
        </w:rPr>
        <w:t>vs.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 CTL group, 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##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P&lt;0.01, vs. BL group, 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n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>=3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)</w:t>
      </w: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J. Immunofluorescence-positive cell count under varying OPN3 expression levels simulating blue light PBMT effects by all-trans retinal supplementation in a non-light environment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(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*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P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&lt;0.05, 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vertAlign w:val="superscript"/>
          <w:lang w:eastAsia="zh-Hans"/>
        </w:rPr>
        <w:t>**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P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&lt;0.01, </w:t>
      </w:r>
      <w:r>
        <w:rPr>
          <w:rFonts w:hint="default" w:ascii="Times New Roman Regular" w:hAnsi="Times New Roman Regular" w:cs="Times New Roman Regular"/>
          <w:i w:val="0"/>
          <w:iCs w:val="0"/>
          <w:sz w:val="20"/>
          <w:szCs w:val="20"/>
          <w:highlight w:val="none"/>
          <w:lang w:eastAsia="zh-Hans"/>
        </w:rPr>
        <w:t>vs.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 xml:space="preserve"> CTL group, </w:t>
      </w:r>
      <w:r>
        <w:rPr>
          <w:rFonts w:hint="default" w:ascii="Times New Roman Regular" w:hAnsi="Times New Roman Regular" w:cs="Times New Roman Regular"/>
          <w:i/>
          <w:iCs/>
          <w:sz w:val="20"/>
          <w:szCs w:val="20"/>
          <w:highlight w:val="none"/>
          <w:lang w:eastAsia="zh-Hans"/>
        </w:rPr>
        <w:t>n</w:t>
      </w:r>
      <w:r>
        <w:rPr>
          <w:rFonts w:hint="default" w:ascii="Times New Roman Regular" w:hAnsi="Times New Roman Regular" w:cs="Times New Roman Regular"/>
          <w:sz w:val="20"/>
          <w:szCs w:val="20"/>
          <w:highlight w:val="none"/>
          <w:lang w:eastAsia="zh-Hans"/>
        </w:rPr>
        <w:t>=3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)</w:t>
      </w: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.</w:t>
      </w:r>
      <w:bookmarkStart w:id="0" w:name="_GoBack"/>
      <w:bookmarkEnd w:id="0"/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/>
          <w:b/>
          <w:bCs/>
          <w:sz w:val="20"/>
          <w:szCs w:val="20"/>
          <w:highlight w:val="none"/>
          <w:lang w:eastAsia="zh-Hans"/>
        </w:rPr>
        <w:br w:type="page"/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9"/>
        <w:gridCol w:w="1341"/>
        <w:gridCol w:w="1420"/>
        <w:gridCol w:w="1420"/>
        <w:gridCol w:w="1421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67" w:hRule="atLeast"/>
        </w:trPr>
        <w:tc>
          <w:tcPr>
            <w:tcW w:w="149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Wavelength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Exposure Time (hours)</w:t>
            </w: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Irradiance (mW/cm²)</w:t>
            </w: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Total Energy (J/cm²)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Photon Energy (eV)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Einstein Dose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(photons)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Blue (465 nm)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kern w:val="2"/>
                <w:sz w:val="20"/>
                <w:szCs w:val="20"/>
                <w:highlight w:val="none"/>
                <w:vertAlign w:val="baseli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172.8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2.66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Hans" w:bidi="ar-SA"/>
              </w:rPr>
              <w:t>4.05×10</w:t>
            </w:r>
            <w:r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kern w:val="2"/>
                <w:sz w:val="20"/>
                <w:szCs w:val="20"/>
                <w:highlight w:val="none"/>
                <w:vertAlign w:val="superscript"/>
                <w:lang w:val="en-US" w:eastAsia="zh-Hans" w:bidi="ar-SA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Green(520 nm)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172.8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2.38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kern w:val="2"/>
                <w:sz w:val="20"/>
                <w:szCs w:val="20"/>
                <w:highlight w:val="none"/>
                <w:vertAlign w:val="baseli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auto"/>
                <w:kern w:val="2"/>
                <w:sz w:val="20"/>
                <w:szCs w:val="20"/>
                <w:highlight w:val="none"/>
                <w:vertAlign w:val="baseline"/>
                <w:lang w:eastAsia="zh-Hans" w:bidi="ar-SA"/>
              </w:rPr>
              <w:t>4.52</w:t>
            </w:r>
            <w:r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Hans" w:bidi="ar-SA"/>
              </w:rPr>
              <w:t>×10</w:t>
            </w:r>
            <w:r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kern w:val="2"/>
                <w:sz w:val="20"/>
                <w:szCs w:val="20"/>
                <w:highlight w:val="none"/>
                <w:vertAlign w:val="superscript"/>
                <w:lang w:val="en-US" w:eastAsia="zh-Hans" w:bidi="ar-SA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Red (650 nm)</w:t>
            </w:r>
          </w:p>
        </w:tc>
        <w:tc>
          <w:tcPr>
            <w:tcW w:w="134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172.8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1.91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i w:val="0"/>
                <w:color w:val="auto"/>
                <w:sz w:val="20"/>
                <w:szCs w:val="20"/>
                <w:highlight w:val="none"/>
                <w:vertAlign w:val="baseline"/>
                <w:lang w:eastAsia="zh-Hans"/>
              </w:rPr>
              <w:t>5.65</w:t>
            </w:r>
            <w:r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kern w:val="2"/>
                <w:sz w:val="20"/>
                <w:szCs w:val="20"/>
                <w:highlight w:val="none"/>
                <w:vertAlign w:val="baseline"/>
                <w:lang w:val="en-US" w:eastAsia="zh-Hans" w:bidi="ar-SA"/>
              </w:rPr>
              <w:t>×10</w:t>
            </w:r>
            <w:r>
              <w:rPr>
                <w:rFonts w:hint="default" w:ascii="Times New Roman Regular" w:hAnsi="Times New Roman Regular" w:cs="Times New Roman Regular" w:eastAsiaTheme="minorEastAsia"/>
                <w:b w:val="0"/>
                <w:bCs/>
                <w:i w:val="0"/>
                <w:color w:val="auto"/>
                <w:kern w:val="2"/>
                <w:sz w:val="20"/>
                <w:szCs w:val="20"/>
                <w:highlight w:val="none"/>
                <w:vertAlign w:val="superscript"/>
                <w:lang w:val="en-US" w:eastAsia="zh-Hans" w:bidi="ar-SA"/>
              </w:rPr>
              <w:t>20</w:t>
            </w:r>
          </w:p>
        </w:tc>
      </w:tr>
    </w:tbl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 Regular" w:hAnsi="Times New Roman Regular" w:cs="Times New Roman Regular"/>
          <w:b/>
          <w:bCs/>
          <w:i/>
          <w:iCs/>
          <w:color w:val="auto"/>
          <w:sz w:val="20"/>
          <w:szCs w:val="20"/>
          <w:highlight w:val="none"/>
          <w:lang w:val="en-US" w:eastAsia="zh-Hans"/>
        </w:rPr>
      </w:pPr>
      <w:r>
        <w:rPr>
          <w:rFonts w:hint="default" w:ascii="Times New Roman Regular" w:hAnsi="Times New Roman Regular" w:cs="Times New Roman Regular"/>
          <w:b/>
          <w:bCs/>
          <w:i w:val="0"/>
          <w:iCs w:val="0"/>
          <w:color w:val="auto"/>
          <w:sz w:val="20"/>
          <w:szCs w:val="20"/>
          <w:highlight w:val="none"/>
          <w:lang w:val="en-US" w:eastAsia="zh-Hans"/>
        </w:rPr>
        <w:t>Table</w:t>
      </w:r>
      <w:r>
        <w:rPr>
          <w:rFonts w:hint="default" w:ascii="Times New Roman Regular" w:hAnsi="Times New Roman Regular" w:cs="Times New Roman Regular"/>
          <w:b/>
          <w:bCs/>
          <w:i w:val="0"/>
          <w:iCs w:val="0"/>
          <w:color w:val="auto"/>
          <w:sz w:val="20"/>
          <w:szCs w:val="20"/>
          <w:highlight w:val="none"/>
          <w:lang w:eastAsia="zh-Hans"/>
        </w:rPr>
        <w:t xml:space="preserve"> </w:t>
      </w:r>
      <w:r>
        <w:rPr>
          <w:rFonts w:hint="default" w:ascii="Times New Roman Regular" w:hAnsi="Times New Roman Regular" w:cs="Times New Roman Regular"/>
          <w:b/>
          <w:bCs/>
          <w:i w:val="0"/>
          <w:iCs w:val="0"/>
          <w:color w:val="auto"/>
          <w:sz w:val="20"/>
          <w:szCs w:val="20"/>
          <w:highlight w:val="none"/>
          <w:lang w:val="en-US" w:eastAsia="zh-Hans"/>
        </w:rPr>
        <w:t>S</w:t>
      </w:r>
      <w:r>
        <w:rPr>
          <w:rFonts w:hint="default" w:ascii="Times New Roman Regular" w:hAnsi="Times New Roman Regular" w:cs="Times New Roman Regular"/>
          <w:b/>
          <w:bCs/>
          <w:i w:val="0"/>
          <w:iCs w:val="0"/>
          <w:color w:val="auto"/>
          <w:sz w:val="20"/>
          <w:szCs w:val="20"/>
          <w:highlight w:val="none"/>
          <w:lang w:eastAsia="zh-Hans"/>
        </w:rPr>
        <w:t xml:space="preserve">1 </w:t>
      </w:r>
      <w:r>
        <w:rPr>
          <w:rFonts w:hint="default" w:ascii="Times New Roman Regular" w:hAnsi="Times New Roman Regular" w:cs="Times New Roman Regular"/>
          <w:b/>
          <w:bCs/>
          <w:i w:val="0"/>
          <w:iCs w:val="0"/>
          <w:color w:val="auto"/>
          <w:sz w:val="20"/>
          <w:szCs w:val="20"/>
          <w:highlight w:val="none"/>
          <w:lang w:val="en-US" w:eastAsia="zh-Hans"/>
        </w:rPr>
        <w:t>Correlation optical parameter</w:t>
      </w:r>
    </w:p>
    <w:tbl>
      <w:tblPr>
        <w:tblStyle w:val="6"/>
        <w:tblW w:w="9435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1701"/>
        <w:gridCol w:w="476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2" w:hRule="atLeast"/>
          <w:jc w:val="center"/>
        </w:trPr>
        <w:tc>
          <w:tcPr>
            <w:tcW w:w="2972" w:type="dxa"/>
            <w:tcBorders>
              <w:top w:val="single" w:color="auto" w:sz="4" w:space="0"/>
              <w:bottom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b/>
                <w:bCs/>
                <w:kern w:val="0"/>
                <w:sz w:val="20"/>
                <w:szCs w:val="20"/>
                <w:highlight w:val="none"/>
              </w:rPr>
              <w:t>REAGENT or RESOURCE</w:t>
            </w:r>
          </w:p>
        </w:tc>
        <w:tc>
          <w:tcPr>
            <w:tcW w:w="1701" w:type="dxa"/>
            <w:tcBorders>
              <w:top w:val="single" w:color="auto" w:sz="4" w:space="0"/>
              <w:bottom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b/>
                <w:bCs/>
                <w:kern w:val="0"/>
                <w:sz w:val="20"/>
                <w:szCs w:val="20"/>
                <w:highlight w:val="none"/>
              </w:rPr>
              <w:t>SOURCE</w:t>
            </w:r>
          </w:p>
        </w:tc>
        <w:tc>
          <w:tcPr>
            <w:tcW w:w="4762" w:type="dxa"/>
            <w:tcBorders>
              <w:top w:val="single" w:color="auto" w:sz="4" w:space="0"/>
              <w:bottom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b/>
                <w:bCs/>
                <w:kern w:val="0"/>
                <w:sz w:val="20"/>
                <w:szCs w:val="20"/>
                <w:highlight w:val="none"/>
              </w:rPr>
              <w:t>IDENTIFIER</w:t>
            </w:r>
          </w:p>
        </w:tc>
      </w:tr>
      <w:tr>
        <w:trPr>
          <w:trHeight w:val="282" w:hRule="atLeast"/>
          <w:jc w:val="center"/>
        </w:trPr>
        <w:tc>
          <w:tcPr>
            <w:tcW w:w="2972" w:type="dxa"/>
            <w:tcBorders>
              <w:top w:val="single" w:color="auto" w:sz="4" w:space="0"/>
              <w:lef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  <w:t>CDK4</w:t>
            </w:r>
          </w:p>
        </w:tc>
        <w:tc>
          <w:tcPr>
            <w:tcW w:w="1701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  <w:t>Proteintech</w:t>
            </w:r>
          </w:p>
        </w:tc>
        <w:tc>
          <w:tcPr>
            <w:tcW w:w="4762" w:type="dxa"/>
            <w:tcBorders>
              <w:top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  <w:t>Cat##66950-1-Ig, RRID: AB_2882273</w:t>
            </w:r>
          </w:p>
        </w:tc>
      </w:tr>
      <w:tr>
        <w:trPr>
          <w:trHeight w:val="282" w:hRule="atLeast"/>
          <w:jc w:val="center"/>
        </w:trPr>
        <w:tc>
          <w:tcPr>
            <w:tcW w:w="2972" w:type="dxa"/>
            <w:tcBorders>
              <w:lef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  <w:lang w:val="en-US" w:eastAsia="zh-Hans"/>
              </w:rPr>
              <w:t>p</w:t>
            </w: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  <w:t>21</w:t>
            </w:r>
          </w:p>
        </w:tc>
        <w:tc>
          <w:tcPr>
            <w:tcW w:w="1701" w:type="dxa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  <w:t>Proteintech</w:t>
            </w:r>
          </w:p>
        </w:tc>
        <w:tc>
          <w:tcPr>
            <w:tcW w:w="4762" w:type="dxa"/>
            <w:tcBorders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  <w:t>Cat##67362-1-Ig, RRID: AB_2882614</w:t>
            </w:r>
          </w:p>
        </w:tc>
      </w:tr>
      <w:tr>
        <w:trPr>
          <w:trHeight w:val="282" w:hRule="atLeast"/>
          <w:jc w:val="center"/>
        </w:trPr>
        <w:tc>
          <w:tcPr>
            <w:tcW w:w="2972" w:type="dxa"/>
            <w:tcBorders>
              <w:lef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  <w:t>OPN3</w:t>
            </w:r>
          </w:p>
        </w:tc>
        <w:tc>
          <w:tcPr>
            <w:tcW w:w="1701" w:type="dxa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  <w:t>Bioswamp</w:t>
            </w:r>
          </w:p>
        </w:tc>
        <w:tc>
          <w:tcPr>
            <w:tcW w:w="4762" w:type="dxa"/>
            <w:tcBorders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  <w:t>Cat##PAB39666</w:t>
            </w:r>
          </w:p>
        </w:tc>
      </w:tr>
      <w:tr>
        <w:trPr>
          <w:trHeight w:val="282" w:hRule="atLeast"/>
          <w:jc w:val="center"/>
        </w:trPr>
        <w:tc>
          <w:tcPr>
            <w:tcW w:w="2972" w:type="dxa"/>
            <w:tcBorders>
              <w:lef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  <w:lang w:val="en-US" w:eastAsia="zh-Hans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  <w:lang w:val="en-US" w:eastAsia="zh-Hans"/>
              </w:rPr>
              <w:t>Cyclin</w:t>
            </w: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  <w:lang w:eastAsia="zh-Hans"/>
              </w:rPr>
              <w:t xml:space="preserve"> </w:t>
            </w: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  <w:lang w:val="en-US" w:eastAsia="zh-Hans"/>
              </w:rPr>
              <w:t>D</w:t>
            </w:r>
          </w:p>
        </w:tc>
        <w:tc>
          <w:tcPr>
            <w:tcW w:w="1701" w:type="dxa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  <w:t>Proteintech</w:t>
            </w:r>
          </w:p>
        </w:tc>
        <w:tc>
          <w:tcPr>
            <w:tcW w:w="4762" w:type="dxa"/>
            <w:tcBorders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  <w:t>Cat##26939-1-AP</w:t>
            </w:r>
          </w:p>
        </w:tc>
      </w:tr>
      <w:tr>
        <w:trPr>
          <w:trHeight w:val="282" w:hRule="atLeast"/>
          <w:jc w:val="center"/>
        </w:trPr>
        <w:tc>
          <w:tcPr>
            <w:tcW w:w="2972" w:type="dxa"/>
            <w:tcBorders>
              <w:lef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  <w:lang w:val="en-US" w:eastAsia="zh-Hans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  <w:lang w:val="en-US" w:eastAsia="zh-Hans"/>
              </w:rPr>
              <w:t>Cyclin</w:t>
            </w: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  <w:lang w:eastAsia="zh-Hans"/>
              </w:rPr>
              <w:t xml:space="preserve"> </w:t>
            </w: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  <w:lang w:val="en-US" w:eastAsia="zh-Hans"/>
              </w:rPr>
              <w:t>E</w:t>
            </w:r>
          </w:p>
        </w:tc>
        <w:tc>
          <w:tcPr>
            <w:tcW w:w="1701" w:type="dxa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  <w:t>Proteintech</w:t>
            </w:r>
          </w:p>
        </w:tc>
        <w:tc>
          <w:tcPr>
            <w:tcW w:w="4762" w:type="dxa"/>
            <w:tcBorders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  <w:t>Cat##11554-1-AP</w:t>
            </w:r>
          </w:p>
        </w:tc>
      </w:tr>
      <w:tr>
        <w:trPr>
          <w:trHeight w:val="282" w:hRule="atLeast"/>
          <w:jc w:val="center"/>
        </w:trPr>
        <w:tc>
          <w:tcPr>
            <w:tcW w:w="2972" w:type="dxa"/>
            <w:tcBorders>
              <w:left w:val="nil"/>
              <w:bottom w:val="single" w:color="auto" w:sz="4" w:space="0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  <w:t>β-ACTIN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  <w:t>Proteintech</w:t>
            </w:r>
          </w:p>
        </w:tc>
        <w:tc>
          <w:tcPr>
            <w:tcW w:w="4762" w:type="dxa"/>
            <w:tcBorders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2"/>
                <w:highlight w:val="none"/>
              </w:rPr>
              <w:t>Cat##66009-1-Ig, RRID: AB_2687938</w:t>
            </w:r>
          </w:p>
        </w:tc>
      </w:tr>
    </w:tbl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" w:firstLineChars="0"/>
        <w:jc w:val="center"/>
        <w:textAlignment w:val="auto"/>
        <w:rPr>
          <w:rFonts w:hint="default" w:ascii="Times New Roman Regular" w:hAnsi="Times New Roman Regular" w:cs="Times New Roman Regular"/>
          <w:b/>
          <w:bCs/>
          <w:i w:val="0"/>
          <w:iCs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/>
          <w:b/>
          <w:bCs/>
          <w:i w:val="0"/>
          <w:iCs w:val="0"/>
          <w:sz w:val="20"/>
          <w:szCs w:val="20"/>
          <w:highlight w:val="none"/>
          <w:lang w:val="en-US" w:eastAsia="zh-Hans"/>
        </w:rPr>
        <w:t>Table</w:t>
      </w:r>
      <w:r>
        <w:rPr>
          <w:rFonts w:hint="default" w:ascii="Times New Roman Regular" w:hAnsi="Times New Roman Regular" w:cs="Times New Roman Regular"/>
          <w:b/>
          <w:bCs/>
          <w:i w:val="0"/>
          <w:iCs w:val="0"/>
          <w:sz w:val="20"/>
          <w:szCs w:val="20"/>
          <w:highlight w:val="none"/>
          <w:lang w:eastAsia="zh-Hans"/>
        </w:rPr>
        <w:t xml:space="preserve"> </w:t>
      </w:r>
      <w:r>
        <w:rPr>
          <w:rFonts w:hint="default" w:ascii="Times New Roman Regular" w:hAnsi="Times New Roman Regular" w:cs="Times New Roman Regular"/>
          <w:b/>
          <w:bCs/>
          <w:i w:val="0"/>
          <w:iCs w:val="0"/>
          <w:sz w:val="20"/>
          <w:szCs w:val="20"/>
          <w:highlight w:val="none"/>
          <w:lang w:val="en-US" w:eastAsia="zh-Hans"/>
        </w:rPr>
        <w:t>S</w:t>
      </w:r>
      <w:r>
        <w:rPr>
          <w:rFonts w:hint="default" w:ascii="Times New Roman Regular" w:hAnsi="Times New Roman Regular" w:cs="Times New Roman Regular"/>
          <w:b/>
          <w:bCs/>
          <w:i w:val="0"/>
          <w:iCs w:val="0"/>
          <w:sz w:val="20"/>
          <w:szCs w:val="20"/>
          <w:highlight w:val="none"/>
          <w:lang w:eastAsia="zh-Hans"/>
        </w:rPr>
        <w:t xml:space="preserve">2 </w:t>
      </w:r>
      <w:r>
        <w:rPr>
          <w:rFonts w:hint="default" w:ascii="Times New Roman Regular" w:hAnsi="Times New Roman Regular" w:cs="Times New Roman Regular"/>
          <w:b/>
          <w:bCs/>
          <w:i w:val="0"/>
          <w:iCs w:val="0"/>
          <w:sz w:val="20"/>
          <w:szCs w:val="20"/>
          <w:highlight w:val="none"/>
          <w:lang w:val="en-US" w:eastAsia="zh-Hans"/>
        </w:rPr>
        <w:t>R</w:t>
      </w:r>
      <w:r>
        <w:rPr>
          <w:rFonts w:hint="default" w:ascii="Times New Roman Regular" w:hAnsi="Times New Roman Regular" w:cs="Times New Roman Regular"/>
          <w:b/>
          <w:bCs/>
          <w:i w:val="0"/>
          <w:iCs w:val="0"/>
          <w:sz w:val="20"/>
          <w:szCs w:val="20"/>
          <w:highlight w:val="none"/>
          <w:lang w:eastAsia="zh-Hans"/>
        </w:rPr>
        <w:t>elevant antibody</w:t>
      </w:r>
    </w:p>
    <w:p>
      <w:pPr>
        <w:spacing w:line="480" w:lineRule="auto"/>
        <w:rPr>
          <w:rFonts w:hint="default" w:ascii="Times New Roman Regular" w:hAnsi="Times New Roman Regular" w:cs="Times New Roman Regular"/>
          <w:b/>
          <w:bCs/>
          <w:i w:val="0"/>
          <w:iCs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/>
          <w:b/>
          <w:bCs/>
          <w:i w:val="0"/>
          <w:iCs w:val="0"/>
          <w:sz w:val="20"/>
          <w:szCs w:val="20"/>
          <w:highlight w:val="none"/>
          <w:lang w:eastAsia="zh-Hans"/>
        </w:rPr>
        <w:br w:type="page"/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" w:firstLineChars="0"/>
        <w:jc w:val="center"/>
        <w:textAlignment w:val="auto"/>
        <w:rPr>
          <w:rFonts w:hint="default" w:ascii="Times New Roman Regular" w:hAnsi="Times New Roman Regular" w:cs="Times New Roman Regular"/>
          <w:b/>
          <w:bCs/>
          <w:i w:val="0"/>
          <w:iCs w:val="0"/>
          <w:sz w:val="20"/>
          <w:szCs w:val="20"/>
          <w:highlight w:val="none"/>
          <w:lang w:eastAsia="zh-Hans"/>
        </w:rPr>
      </w:pPr>
    </w:p>
    <w:tbl>
      <w:tblPr>
        <w:tblStyle w:val="6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2255"/>
        <w:gridCol w:w="1842"/>
        <w:gridCol w:w="2945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0" w:hRule="atLeast"/>
          <w:jc w:val="center"/>
        </w:trPr>
        <w:tc>
          <w:tcPr>
            <w:tcW w:w="868" w:type="pct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b/>
                <w:bCs/>
                <w:kern w:val="0"/>
                <w:sz w:val="20"/>
                <w:szCs w:val="20"/>
                <w:highlight w:val="none"/>
              </w:rPr>
              <w:t>Primer name</w:t>
            </w:r>
          </w:p>
        </w:tc>
        <w:tc>
          <w:tcPr>
            <w:tcW w:w="1323" w:type="pct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b/>
                <w:bCs/>
                <w:kern w:val="0"/>
                <w:sz w:val="20"/>
                <w:szCs w:val="20"/>
                <w:highlight w:val="none"/>
              </w:rPr>
              <w:t>Primer sequence (5'-3')</w:t>
            </w:r>
          </w:p>
        </w:tc>
        <w:tc>
          <w:tcPr>
            <w:tcW w:w="1080" w:type="pct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b/>
                <w:bCs/>
                <w:kern w:val="0"/>
                <w:sz w:val="20"/>
                <w:szCs w:val="20"/>
                <w:highlight w:val="none"/>
              </w:rPr>
              <w:t>Primer name</w:t>
            </w:r>
          </w:p>
        </w:tc>
        <w:tc>
          <w:tcPr>
            <w:tcW w:w="1727" w:type="pct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/>
              <w:spacing w:line="480" w:lineRule="auto"/>
              <w:jc w:val="center"/>
              <w:rPr>
                <w:rFonts w:hint="default" w:ascii="Times New Roman Regular" w:hAnsi="Times New Roman Regular" w:eastAsia="等线" w:cs="Times New Roman Regular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b/>
                <w:bCs/>
                <w:kern w:val="0"/>
                <w:sz w:val="20"/>
                <w:szCs w:val="20"/>
                <w:highlight w:val="none"/>
              </w:rPr>
              <w:t>Primer sequence(5'-3')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0" w:hRule="atLeast"/>
          <w:jc w:val="center"/>
        </w:trPr>
        <w:tc>
          <w:tcPr>
            <w:tcW w:w="868" w:type="pct"/>
            <w:tcBorders>
              <w:top w:val="single" w:color="auto" w:sz="4" w:space="0"/>
            </w:tcBorders>
            <w:vAlign w:val="top"/>
          </w:tcPr>
          <w:p>
            <w:pPr>
              <w:widowControl/>
              <w:spacing w:line="480" w:lineRule="auto"/>
              <w:ind w:firstLine="170" w:firstLineChars="0"/>
              <w:jc w:val="left"/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  <w:lang w:val="en-US" w:eastAsia="zh-Hans"/>
              </w:rPr>
              <w:t>p</w:t>
            </w:r>
            <w:r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</w:rPr>
              <w:t>21</w:t>
            </w:r>
          </w:p>
        </w:tc>
        <w:tc>
          <w:tcPr>
            <w:tcW w:w="1323" w:type="pct"/>
            <w:tcBorders>
              <w:top w:val="single" w:color="auto" w:sz="4" w:space="0"/>
            </w:tcBorders>
            <w:vAlign w:val="top"/>
          </w:tcPr>
          <w:p>
            <w:pPr>
              <w:widowControl/>
              <w:spacing w:line="480" w:lineRule="auto"/>
              <w:ind w:firstLine="170" w:firstLineChars="0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Forward:TGTCCGTCAGAACCCATGC</w:t>
            </w:r>
          </w:p>
        </w:tc>
        <w:tc>
          <w:tcPr>
            <w:tcW w:w="1080" w:type="pct"/>
            <w:tcBorders>
              <w:top w:val="single" w:color="auto" w:sz="4" w:space="0"/>
            </w:tcBorders>
            <w:vAlign w:val="top"/>
          </w:tcPr>
          <w:p>
            <w:pPr>
              <w:widowControl/>
              <w:spacing w:line="480" w:lineRule="auto"/>
              <w:ind w:firstLine="170" w:firstLineChars="0"/>
              <w:jc w:val="left"/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  <w:lang w:val="en-US" w:eastAsia="zh-Hans"/>
              </w:rPr>
              <w:t>OPN</w:t>
            </w:r>
            <w:r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  <w:lang w:eastAsia="zh-Hans"/>
              </w:rPr>
              <w:t>1</w:t>
            </w:r>
            <w:r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  <w:lang w:val="en-US" w:eastAsia="zh-Hans"/>
              </w:rPr>
              <w:t>SW（OPN</w:t>
            </w:r>
            <w:r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  <w:lang w:eastAsia="zh-Hans"/>
              </w:rPr>
              <w:t>1</w:t>
            </w:r>
            <w:r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  <w:lang w:val="en-US" w:eastAsia="zh-Hans"/>
              </w:rPr>
              <w:t>）</w:t>
            </w:r>
          </w:p>
        </w:tc>
        <w:tc>
          <w:tcPr>
            <w:tcW w:w="1727" w:type="pct"/>
            <w:tcBorders>
              <w:top w:val="single" w:color="auto" w:sz="4" w:space="0"/>
            </w:tcBorders>
            <w:vAlign w:val="top"/>
          </w:tcPr>
          <w:p>
            <w:pPr>
              <w:widowControl/>
              <w:spacing w:line="480" w:lineRule="auto"/>
              <w:ind w:firstLine="170" w:firstLineChars="0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Forward:ATGGGCCTCAGTACCACATTG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0" w:hRule="atLeast"/>
          <w:jc w:val="center"/>
        </w:trPr>
        <w:tc>
          <w:tcPr>
            <w:tcW w:w="868" w:type="pct"/>
            <w:vAlign w:val="top"/>
          </w:tcPr>
          <w:p>
            <w:pPr>
              <w:widowControl/>
              <w:spacing w:line="480" w:lineRule="auto"/>
              <w:ind w:firstLine="170" w:firstLineChars="0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323" w:type="pct"/>
            <w:vAlign w:val="top"/>
          </w:tcPr>
          <w:p>
            <w:pPr>
              <w:widowControl/>
              <w:spacing w:line="480" w:lineRule="auto"/>
              <w:ind w:firstLine="170" w:firstLineChars="0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Reverse:AAAGTCGAAGTTCCATCGCTC</w:t>
            </w:r>
          </w:p>
        </w:tc>
        <w:tc>
          <w:tcPr>
            <w:tcW w:w="1080" w:type="pct"/>
            <w:vAlign w:val="top"/>
          </w:tcPr>
          <w:p>
            <w:pPr>
              <w:widowControl/>
              <w:spacing w:line="480" w:lineRule="auto"/>
              <w:ind w:firstLine="170" w:firstLineChars="0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727" w:type="pct"/>
            <w:vAlign w:val="top"/>
          </w:tcPr>
          <w:p>
            <w:pPr>
              <w:widowControl/>
              <w:spacing w:line="480" w:lineRule="auto"/>
              <w:ind w:firstLine="170" w:firstLineChars="0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Reverse:GGGAACCCTATAAGGAAGACAGT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0" w:hRule="atLeast"/>
          <w:jc w:val="center"/>
        </w:trPr>
        <w:tc>
          <w:tcPr>
            <w:tcW w:w="868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</w:rPr>
              <w:t>HMOX1</w:t>
            </w:r>
          </w:p>
        </w:tc>
        <w:tc>
          <w:tcPr>
            <w:tcW w:w="1323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Forward:AAGACTGCGTTCCTGCTCAAC</w:t>
            </w:r>
          </w:p>
        </w:tc>
        <w:tc>
          <w:tcPr>
            <w:tcW w:w="1080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</w:rPr>
              <w:t>RHOOPN2</w:t>
            </w:r>
            <w:r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  <w:lang w:eastAsia="zh-Hans"/>
              </w:rPr>
              <w:t>（</w:t>
            </w:r>
            <w:r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  <w:lang w:val="en-US" w:eastAsia="zh-Hans"/>
              </w:rPr>
              <w:t>OPN</w:t>
            </w:r>
            <w:r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  <w:lang w:eastAsia="zh-Hans"/>
              </w:rPr>
              <w:t>2）</w:t>
            </w:r>
          </w:p>
        </w:tc>
        <w:tc>
          <w:tcPr>
            <w:tcW w:w="1727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Forward:GTGCCCTTCTCCAATGCGA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0" w:hRule="atLeast"/>
          <w:jc w:val="center"/>
        </w:trPr>
        <w:tc>
          <w:tcPr>
            <w:tcW w:w="868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323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Reverse:AAAGCCCTACAGCAACTGTCG</w:t>
            </w:r>
          </w:p>
        </w:tc>
        <w:tc>
          <w:tcPr>
            <w:tcW w:w="1080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727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Reverse:TGAGGAAGTTGATGGGGAAGC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0" w:hRule="atLeast"/>
          <w:jc w:val="center"/>
        </w:trPr>
        <w:tc>
          <w:tcPr>
            <w:tcW w:w="868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</w:rPr>
              <w:t>DHRS3</w:t>
            </w:r>
          </w:p>
        </w:tc>
        <w:tc>
          <w:tcPr>
            <w:tcW w:w="1323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Forward:ACTGAGTGCCATTACTTCATCTG</w:t>
            </w:r>
          </w:p>
        </w:tc>
        <w:tc>
          <w:tcPr>
            <w:tcW w:w="1080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</w:rPr>
              <w:t>OPN3</w:t>
            </w:r>
          </w:p>
        </w:tc>
        <w:tc>
          <w:tcPr>
            <w:tcW w:w="1727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Forward:CTGGTGCTCGTCCTCTACTAC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0" w:hRule="atLeast"/>
          <w:jc w:val="center"/>
        </w:trPr>
        <w:tc>
          <w:tcPr>
            <w:tcW w:w="868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323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Reverse:CATCACTGTCCATTAGGCTCTTC</w:t>
            </w:r>
          </w:p>
        </w:tc>
        <w:tc>
          <w:tcPr>
            <w:tcW w:w="1080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727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Reverse:GGACACGAAGGTAAAGGTGAC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0" w:hRule="atLeast"/>
          <w:jc w:val="center"/>
        </w:trPr>
        <w:tc>
          <w:tcPr>
            <w:tcW w:w="868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</w:rPr>
              <w:t>OPN3(human)-siRNA-3-342</w:t>
            </w:r>
          </w:p>
        </w:tc>
        <w:tc>
          <w:tcPr>
            <w:tcW w:w="1323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Forward:CUCACCUCCUCCUGGUCAATT</w:t>
            </w:r>
          </w:p>
        </w:tc>
        <w:tc>
          <w:tcPr>
            <w:tcW w:w="1080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</w:rPr>
              <w:t>OPN4</w:t>
            </w:r>
          </w:p>
        </w:tc>
        <w:tc>
          <w:tcPr>
            <w:tcW w:w="1727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Forward:ACCGCTACCTGGTAATCACAC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0" w:hRule="atLeast"/>
          <w:jc w:val="center"/>
        </w:trPr>
        <w:tc>
          <w:tcPr>
            <w:tcW w:w="868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323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Reverse:UUGACCAGGAGGAGGUGAGTT</w:t>
            </w:r>
          </w:p>
        </w:tc>
        <w:tc>
          <w:tcPr>
            <w:tcW w:w="1080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727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Reverse:GCGTGAAGCTCATGTAGTCCC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0" w:hRule="atLeast"/>
          <w:jc w:val="center"/>
        </w:trPr>
        <w:tc>
          <w:tcPr>
            <w:tcW w:w="868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</w:rPr>
              <w:t xml:space="preserve">OPN3(human)-siRNA-1- 285 </w:t>
            </w:r>
          </w:p>
        </w:tc>
        <w:tc>
          <w:tcPr>
            <w:tcW w:w="1323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Forward:GCAACAACCUGCUGGUGCUTT</w:t>
            </w:r>
          </w:p>
        </w:tc>
        <w:tc>
          <w:tcPr>
            <w:tcW w:w="1080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</w:rPr>
              <w:t>OPN5</w:t>
            </w:r>
          </w:p>
        </w:tc>
        <w:tc>
          <w:tcPr>
            <w:tcW w:w="1727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Forward:CGCCTGCCCCATTACCTTC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0" w:hRule="atLeast"/>
          <w:jc w:val="center"/>
        </w:trPr>
        <w:tc>
          <w:tcPr>
            <w:tcW w:w="868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323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Reverse:AGCACCAGCAGGUUGUUGCTT</w:t>
            </w:r>
          </w:p>
        </w:tc>
        <w:tc>
          <w:tcPr>
            <w:tcW w:w="1080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727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Reverse:ACAACTGAAATCCCCAGATCAC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0" w:hRule="atLeast"/>
          <w:jc w:val="center"/>
        </w:trPr>
        <w:tc>
          <w:tcPr>
            <w:tcW w:w="868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</w:rPr>
              <w:t>OPN3(human)-siRNA-2-422</w:t>
            </w:r>
          </w:p>
        </w:tc>
        <w:tc>
          <w:tcPr>
            <w:tcW w:w="1323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Forward:CUGAGGAACGGCUGGGUGUTT</w:t>
            </w:r>
          </w:p>
        </w:tc>
        <w:tc>
          <w:tcPr>
            <w:tcW w:w="1080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  <w:lang w:val="en-US" w:eastAsia="zh-Hans"/>
              </w:rPr>
              <w:t>OE</w:t>
            </w:r>
            <w:r>
              <w:rPr>
                <w:rFonts w:hint="default" w:ascii="Times New Roman Regular" w:hAnsi="Times New Roman Regular" w:eastAsia="等线" w:cs="Times New Roman Regular"/>
                <w:i/>
                <w:iCs/>
                <w:color w:val="000000"/>
                <w:kern w:val="0"/>
                <w:sz w:val="20"/>
                <w:szCs w:val="20"/>
                <w:highlight w:val="none"/>
              </w:rPr>
              <w:t>-OPN3</w:t>
            </w:r>
          </w:p>
        </w:tc>
        <w:tc>
          <w:tcPr>
            <w:tcW w:w="1727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Forward:gccgccagtgtgctggaattcAGTGCACAATGGCTAGAGCAGG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0" w:hRule="atLeast"/>
          <w:jc w:val="center"/>
        </w:trPr>
        <w:tc>
          <w:tcPr>
            <w:tcW w:w="868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323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Reverse:ACACCCAGCCGUUCCUCAGTT</w:t>
            </w:r>
          </w:p>
        </w:tc>
        <w:tc>
          <w:tcPr>
            <w:tcW w:w="1080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727" w:type="pct"/>
            <w:vAlign w:val="top"/>
          </w:tcPr>
          <w:p>
            <w:pPr>
              <w:widowControl/>
              <w:spacing w:line="480" w:lineRule="auto"/>
              <w:ind w:firstLine="170" w:firstLineChars="85"/>
              <w:jc w:val="left"/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color w:val="000000"/>
                <w:kern w:val="0"/>
                <w:sz w:val="20"/>
                <w:szCs w:val="20"/>
                <w:highlight w:val="none"/>
              </w:rPr>
              <w:t>Reverse:tatagaatagggccctctagaCCAGTTTCCTCCATAGTAGCTTCTT</w:t>
            </w:r>
          </w:p>
        </w:tc>
      </w:tr>
    </w:tbl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" w:firstLineChars="0"/>
        <w:jc w:val="center"/>
        <w:textAlignment w:val="auto"/>
        <w:rPr>
          <w:rFonts w:hint="default" w:ascii="Times New Roman Regular" w:hAnsi="Times New Roman Regular" w:cs="Times New Roman Regular"/>
          <w:sz w:val="24"/>
          <w:szCs w:val="24"/>
          <w:highlight w:val="none"/>
          <w:lang w:eastAsia="zh-Hans"/>
        </w:rPr>
      </w:pPr>
      <w:r>
        <w:rPr>
          <w:rFonts w:hint="default" w:ascii="Times New Roman Regular" w:hAnsi="Times New Roman Regular" w:cs="Times New Roman Regular"/>
          <w:b/>
          <w:bCs/>
          <w:i w:val="0"/>
          <w:iCs w:val="0"/>
          <w:sz w:val="20"/>
          <w:szCs w:val="20"/>
          <w:highlight w:val="none"/>
          <w:lang w:eastAsia="zh-Hans"/>
        </w:rPr>
        <w:t xml:space="preserve">Table </w:t>
      </w:r>
      <w:r>
        <w:rPr>
          <w:rFonts w:hint="default" w:ascii="Times New Roman Regular" w:hAnsi="Times New Roman Regular" w:cs="Times New Roman Regular"/>
          <w:b/>
          <w:bCs/>
          <w:i w:val="0"/>
          <w:iCs w:val="0"/>
          <w:sz w:val="20"/>
          <w:szCs w:val="20"/>
          <w:highlight w:val="none"/>
          <w:lang w:val="en-US" w:eastAsia="zh-Hans"/>
        </w:rPr>
        <w:t>S</w:t>
      </w:r>
      <w:r>
        <w:rPr>
          <w:rFonts w:hint="default" w:ascii="Times New Roman Regular" w:hAnsi="Times New Roman Regular" w:cs="Times New Roman Regular"/>
          <w:b/>
          <w:bCs/>
          <w:i w:val="0"/>
          <w:iCs w:val="0"/>
          <w:sz w:val="20"/>
          <w:szCs w:val="20"/>
          <w:highlight w:val="none"/>
          <w:lang w:eastAsia="zh-Hans"/>
        </w:rPr>
        <w:t xml:space="preserve">3 </w:t>
      </w:r>
      <w:r>
        <w:rPr>
          <w:rFonts w:hint="default" w:ascii="Times New Roman Regular" w:hAnsi="Times New Roman Regular" w:cs="Times New Roman Regular"/>
          <w:b/>
          <w:bCs/>
          <w:i w:val="0"/>
          <w:iCs w:val="0"/>
          <w:sz w:val="20"/>
          <w:szCs w:val="20"/>
          <w:highlight w:val="none"/>
          <w:lang w:val="en-US" w:eastAsia="zh-Hans"/>
        </w:rPr>
        <w:t>R</w:t>
      </w:r>
      <w:r>
        <w:rPr>
          <w:rFonts w:hint="default" w:ascii="Times New Roman Regular" w:hAnsi="Times New Roman Regular" w:cs="Times New Roman Regular"/>
          <w:b/>
          <w:bCs/>
          <w:i w:val="0"/>
          <w:iCs w:val="0"/>
          <w:sz w:val="20"/>
          <w:szCs w:val="20"/>
          <w:highlight w:val="none"/>
          <w:lang w:eastAsia="zh-Hans"/>
        </w:rPr>
        <w:t>elevant primer sequence</w:t>
      </w:r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D5834E"/>
    <w:multiLevelType w:val="singleLevel"/>
    <w:tmpl w:val="01D5834E"/>
    <w:lvl w:ilvl="0" w:tentative="0">
      <w:start w:val="1"/>
      <w:numFmt w:val="upperLetter"/>
      <w:suff w:val="space"/>
      <w:lvlText w:val="(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7DFFABEF"/>
    <w:rsid w:val="0144091E"/>
    <w:rsid w:val="0FFFD6E0"/>
    <w:rsid w:val="1F1D2F40"/>
    <w:rsid w:val="325925CC"/>
    <w:rsid w:val="3FEF8404"/>
    <w:rsid w:val="5FB710CE"/>
    <w:rsid w:val="61FF3ED4"/>
    <w:rsid w:val="6AFFFE28"/>
    <w:rsid w:val="6BBF6377"/>
    <w:rsid w:val="6DFFBF8B"/>
    <w:rsid w:val="6EF58B7A"/>
    <w:rsid w:val="72DE0517"/>
    <w:rsid w:val="73BBDBF7"/>
    <w:rsid w:val="74FAF8B9"/>
    <w:rsid w:val="77B8B833"/>
    <w:rsid w:val="77CFCC80"/>
    <w:rsid w:val="7AFF316E"/>
    <w:rsid w:val="7C7CB886"/>
    <w:rsid w:val="7DCD046C"/>
    <w:rsid w:val="7DDF6C59"/>
    <w:rsid w:val="7DFA813A"/>
    <w:rsid w:val="7DFEB8A9"/>
    <w:rsid w:val="7DFFABEF"/>
    <w:rsid w:val="7F375E00"/>
    <w:rsid w:val="7F4E5561"/>
    <w:rsid w:val="7F71BF28"/>
    <w:rsid w:val="BB7F3862"/>
    <w:rsid w:val="BDA7D6A3"/>
    <w:rsid w:val="BFBE89FE"/>
    <w:rsid w:val="CF6FFCE3"/>
    <w:rsid w:val="D20F9342"/>
    <w:rsid w:val="D6FF9488"/>
    <w:rsid w:val="DE69A2A0"/>
    <w:rsid w:val="DFDBB900"/>
    <w:rsid w:val="F5AD6F19"/>
    <w:rsid w:val="F5B979BF"/>
    <w:rsid w:val="F7FE23D3"/>
    <w:rsid w:val="F96B4D8F"/>
    <w:rsid w:val="FDF4CD18"/>
    <w:rsid w:val="FFFB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Lines="0" w:beforeAutospacing="0" w:afterLines="0" w:afterAutospacing="0" w:line="480" w:lineRule="auto"/>
      <w:outlineLvl w:val="0"/>
    </w:pPr>
    <w:rPr>
      <w:rFonts w:ascii="Times New Roman" w:hAnsi="Times New Roman"/>
      <w:b/>
      <w:kern w:val="44"/>
      <w:sz w:val="28"/>
    </w:rPr>
  </w:style>
  <w:style w:type="paragraph" w:styleId="3">
    <w:name w:val="heading 2"/>
    <w:basedOn w:val="1"/>
    <w:next w:val="1"/>
    <w:link w:val="8"/>
    <w:unhideWhenUsed/>
    <w:qFormat/>
    <w:uiPriority w:val="0"/>
    <w:pPr>
      <w:keepNext/>
      <w:keepLines/>
      <w:spacing w:beforeLines="0" w:beforeAutospacing="0" w:afterLines="0" w:afterAutospacing="0" w:line="480" w:lineRule="auto"/>
      <w:outlineLvl w:val="1"/>
    </w:pPr>
    <w:rPr>
      <w:rFonts w:ascii="Times New Roman" w:hAnsi="Times New Roman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2 Char"/>
    <w:link w:val="3"/>
    <w:qFormat/>
    <w:uiPriority w:val="0"/>
    <w:rPr>
      <w:rFonts w:ascii="Times New Roman" w:hAnsi="Times New Roman" w:eastAsia="黑体"/>
      <w:b/>
      <w:sz w:val="32"/>
    </w:rPr>
  </w:style>
  <w:style w:type="character" w:customStyle="1" w:styleId="9">
    <w:name w:val="标题 1 Char"/>
    <w:link w:val="2"/>
    <w:qFormat/>
    <w:uiPriority w:val="0"/>
    <w:rPr>
      <w:rFonts w:ascii="Times New Roman" w:hAnsi="Times New Roman" w:eastAsiaTheme="minorEastAsia"/>
      <w:b/>
      <w:kern w:val="44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Office_5.3.0.7872_F1E327BC-269C-435d-A152-05C5408002CA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2023-11-22T18:07:00Z</dcterms:created>
  <dc:creator>可是赵昌睿吗？</dc:creator>
  <cp:lastModifiedBy>可是赵昌睿吗？</cp:lastModifiedBy>
  <dcterms:modified xsi:type="dcterms:W3CDTF">2024-08-09T18:23:55Z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2052-5.3.0.7872</vt:lpwstr>
  </property>
  <property fmtid="{D5CDD505-2E9C-101B-9397-08002B2CF9AE}" pid="3" name="ICV">
    <vt:lpwstr>CD79DCE60FBB507C8D6E1A66B427E4C3_43</vt:lpwstr>
  </property>
</Properties>
</file>