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87D" w:rsidRPr="0006287D" w:rsidRDefault="0006287D" w:rsidP="0082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  <w:t>Supplementary Data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  <w:t>Flow Cytometry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R</w:t>
      </w: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eagents and products used </w:t>
      </w:r>
      <w:r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in flow cytometry analysis:</w:t>
      </w: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Merocyanine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540 (Sigma-Aldrich, product no. 323756),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Yo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-Pro™-1 iodide 491/509 (Invitrogen, product no. Y3603), Guava® Mito Damage Kit (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Luminex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, product no. FCCH100106), APO-DIRECT™ Kit (BD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Pharmingen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™, product no. 556381), DAF-FM DA (Sigma-Aldrich, product no. 251520), and CellROX Green reagent (Molecular Probes). Additional reagents include carbonyl cyanide m-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chlorophenylhydrazone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(Sigma-Aldrich, product no. C2759), DEA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NONOate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(Sigma-Aldrich, product no. D184), and N-acetylcysteine.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For controls, fluidity analysis employed a positive control using 3% H₂O₂ incubated for 1 hour at 37°C. For mitochondrial membrane potential (MMP), a positive control was created with 50 </w:t>
      </w:r>
      <w:r w:rsidRPr="00827646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μ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mol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/L carbonyl cyanide m-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chlorophenylhydrazone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. DNA fragmentation used DNase I (10 U/mL) for 10 minutes at room temperature as a positive control. Intracellular nitric oxide (NO) levels were validated with a positive control of 1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DEA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NONOate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for 60 minutes at 37°C. Reactive oxygen species </w:t>
      </w:r>
      <w:bookmarkStart w:id="0" w:name="_GoBack"/>
      <w:bookmarkEnd w:id="0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(ROS) measurements included a negative control with 3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N-acetylcysteine and a positive control with 2.5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menadione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l-PL"/>
        </w:rPr>
        <w:t>Native, Non-Denaturing, and Non-Reducing PAGE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Sperm cells were separated from the diluent by centrifugation at 800 × g for 10 minutes, followed by washing twice with phosphate-buffered saline (PBS) using an Eppendorf 5804R centrifuge. The cells were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resuspended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in 1% Triton X-100 PBS, sonicated five times for 10 seconds at 30% amplitude using a VCX-130 Ultrasonic Processor, and centrifuged at 5000 × g for 15 minutes to remove intracellular proteins. Membrane proteins were isolated by further sonication for 30 minutes (30 seconds on/off) in an Advantage-Lab™ Ultrasonic Water Bath and were precipitated by adding acetone in a 1:9 ratio. The samples were incubated at -20°C for 2 hours, centrifuged at 5000 × g for 1 hour, and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resuspended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in 0.15 M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NaCl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+ 50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Tris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buffer. Samples were stored at -80°C.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Electrophoresis buffers included 31.25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Tris-HCl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pH 6.8, 5% glycerol, and 0.002% bromophenol blue for Native PAGE (no SDS or 2-mercaptoethanol). Non-Denaturing PAGE buffers additionally contained 2.5% 2-mercaptoethanol without SDS. For Non-Reducing SDS-PAGE, the buffer included 1.275% SDS without 2-mercaptoethanol.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Standard SDS-PAGE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Sperm cells were centrifuged at 800 × g for 10 minutes at 4°C, washed with PBS, and lysed in a buffer composed of 7 M urea, 2 M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thiourea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, 4% CHAPS, 1% protease inhibitor cocktail, and 50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dithiothreitol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(DTT). Sonication was performed three times for 10 seconds at 30% amplitude on ice using a VCX-130 Ultrasonic Processor, followed by centrifugation at 4000 × g for 10 minutes. Lysates were purified with the Clean-Up Kit (GE Healthcare), and the final pellets were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resuspended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in rehydration buffer containing 7 M urea, 2 M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thiourea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, 2% CHAPS, and 50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DTT. Protein concentration was determined using the Pierce 660 nm Protein Assay, and absorbance was measured using a plate reader.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For electrophoresis, 30 µg of protein was suspended in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Laemmli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buffer containing 31.25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Tris-HCl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(pH 6.8), 1.275% SDS, 5% glycerol, 2.5% 2-mercaptoethanol, and 0.002% bromophenol blue. Samples were boiled for 5 minutes and loaded onto 12% Mini-PROTEAN TGX Stain-Free Precast Gels. Gels were activated for 45 seconds and scanned using the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ChemiDoc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Touch Imaging System.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Western </w:t>
      </w:r>
      <w:proofErr w:type="spellStart"/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Blot</w:t>
      </w:r>
      <w:proofErr w:type="spellEnd"/>
      <w:r w:rsidRPr="008276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Analysis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Proteins were transferred from gels to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polyvinylidene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fluoride (PVDF) membranes and scanned to generate stain-free images for preliminary normalization. Membranes were blocked in 5% non-fat dry milk dissolved in TBST (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Tris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-buffered saline with 0.1% Tween 20) for enhanced antibody binding. Primary antibodies used included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peroxiredoxin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5 (PRDX5) and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peroxiredoxin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6 (PRDX6) at a dilution of 1:400, while secondary antibodies conjugated to alkaline phosphatase (AP) were used at a dilution of 1:5000.</w:t>
      </w:r>
    </w:p>
    <w:p w:rsidR="00827646" w:rsidRPr="00827646" w:rsidRDefault="00827646" w:rsidP="00827646">
      <w:pPr>
        <w:jc w:val="both"/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</w:pPr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Detection was achieved with a mixture of Nitro Blue Tetrazolium (NBT) and 5-Bromo-4-chloro-3-indolyl phosphate (BCIP), dissolved in AP detection buffer (100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Tris-HCl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, 100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NaCl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, 5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MgCl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₂, pH 9.5). Color development was stopped using 2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mM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ethylenediaminetetraacetic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acid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tetrasodium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salt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dihydrate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(EDTA). Once the membranes were dried, images were captured with the </w:t>
      </w:r>
      <w:proofErr w:type="spellStart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>ChemiDoc</w:t>
      </w:r>
      <w:proofErr w:type="spellEnd"/>
      <w:r w:rsidRPr="00827646">
        <w:rPr>
          <w:rFonts w:ascii="Times New Roman" w:eastAsia="Times New Roman" w:hAnsi="Times New Roman" w:cs="Times New Roman"/>
          <w:bCs/>
          <w:sz w:val="27"/>
          <w:szCs w:val="27"/>
          <w:lang w:val="en-US" w:eastAsia="pl-PL"/>
        </w:rPr>
        <w:t xml:space="preserve"> Touch Imaging System, and band quantification was performed using Image Lab 5.0 software. Normalization was conducted using stain-free imaging technology, providing a reliable alternative to traditional housekeeping proteins.</w:t>
      </w:r>
    </w:p>
    <w:p w:rsidR="00827646" w:rsidRPr="0006287D" w:rsidRDefault="00827646" w:rsidP="00827646">
      <w:pPr>
        <w:jc w:val="both"/>
        <w:rPr>
          <w:lang w:val="en-US"/>
        </w:rPr>
      </w:pPr>
    </w:p>
    <w:sectPr w:rsidR="00827646" w:rsidRPr="00062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8759D"/>
    <w:multiLevelType w:val="multilevel"/>
    <w:tmpl w:val="B86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F70C6"/>
    <w:multiLevelType w:val="multilevel"/>
    <w:tmpl w:val="57D2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C7C14"/>
    <w:multiLevelType w:val="multilevel"/>
    <w:tmpl w:val="C8C4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81ACF"/>
    <w:multiLevelType w:val="multilevel"/>
    <w:tmpl w:val="44BE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47EEC"/>
    <w:multiLevelType w:val="multilevel"/>
    <w:tmpl w:val="12A6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B3C5B"/>
    <w:multiLevelType w:val="multilevel"/>
    <w:tmpl w:val="49B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2152B"/>
    <w:multiLevelType w:val="multilevel"/>
    <w:tmpl w:val="AB72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C20932"/>
    <w:multiLevelType w:val="multilevel"/>
    <w:tmpl w:val="E30A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25134"/>
    <w:multiLevelType w:val="multilevel"/>
    <w:tmpl w:val="DC84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F2342"/>
    <w:multiLevelType w:val="multilevel"/>
    <w:tmpl w:val="C55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7D"/>
    <w:rsid w:val="0006287D"/>
    <w:rsid w:val="00701324"/>
    <w:rsid w:val="0075400F"/>
    <w:rsid w:val="00757909"/>
    <w:rsid w:val="00827646"/>
    <w:rsid w:val="00AB726C"/>
    <w:rsid w:val="00F24DFC"/>
    <w:rsid w:val="00FA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EDA10-AC41-4E06-B91A-8B3EDA92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628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6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6287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6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287D"/>
    <w:rPr>
      <w:b/>
      <w:bCs/>
    </w:rPr>
  </w:style>
  <w:style w:type="paragraph" w:styleId="Tekstpodstawowy">
    <w:name w:val="Body Text"/>
    <w:basedOn w:val="Normalny"/>
    <w:link w:val="TekstpodstawowyZnak"/>
    <w:rsid w:val="00AB726C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B726C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64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9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3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7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2024-12-21T10:22:00Z</dcterms:created>
  <dcterms:modified xsi:type="dcterms:W3CDTF">2024-12-21T15:51:00Z</dcterms:modified>
</cp:coreProperties>
</file>