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67E7C" w14:textId="77777777" w:rsidR="002C4FDB" w:rsidRPr="00AE7EDD" w:rsidRDefault="002C4FDB" w:rsidP="00A845F2">
      <w:pPr>
        <w:pStyle w:val="NormalnyWeb"/>
        <w:spacing w:before="120" w:beforeAutospacing="0" w:after="120" w:afterAutospacing="0" w:line="360" w:lineRule="auto"/>
        <w:jc w:val="both"/>
        <w:rPr>
          <w:b/>
          <w:bCs/>
          <w:sz w:val="28"/>
          <w:szCs w:val="28"/>
          <w:lang w:val="en-US"/>
        </w:rPr>
      </w:pPr>
      <w:r w:rsidRPr="00AE7EDD">
        <w:rPr>
          <w:b/>
          <w:bCs/>
          <w:sz w:val="28"/>
          <w:szCs w:val="28"/>
          <w:lang w:val="en-US"/>
        </w:rPr>
        <w:t>Supplementary methods</w:t>
      </w:r>
    </w:p>
    <w:p w14:paraId="394F2A79" w14:textId="77777777" w:rsidR="002C4FDB" w:rsidRPr="00AE7EDD" w:rsidRDefault="002C4FDB" w:rsidP="00A845F2">
      <w:pPr>
        <w:pStyle w:val="NormalnyWeb"/>
        <w:spacing w:before="120" w:beforeAutospacing="0" w:after="120" w:afterAutospacing="0" w:line="360" w:lineRule="auto"/>
        <w:jc w:val="both"/>
        <w:rPr>
          <w:rFonts w:eastAsiaTheme="minorHAnsi"/>
          <w:b/>
          <w:bCs/>
          <w:kern w:val="2"/>
          <w:lang w:val="en-US" w:eastAsia="en-US"/>
          <w14:ligatures w14:val="standardContextual"/>
        </w:rPr>
      </w:pPr>
      <w:r w:rsidRPr="00AE7EDD">
        <w:rPr>
          <w:rFonts w:eastAsiaTheme="minorHAnsi"/>
          <w:b/>
          <w:bCs/>
          <w:kern w:val="2"/>
          <w:lang w:val="en-US" w:eastAsia="en-US"/>
          <w14:ligatures w14:val="standardContextual"/>
        </w:rPr>
        <w:t>Immunofluorescence staining and microscopic imaging of PDGFRs</w:t>
      </w:r>
    </w:p>
    <w:p w14:paraId="2D1D2C1D" w14:textId="07E72FF1" w:rsidR="002C4FDB" w:rsidRPr="00AE7EDD" w:rsidRDefault="002C4FDB" w:rsidP="00A845F2">
      <w:pPr>
        <w:spacing w:after="120" w:line="360" w:lineRule="auto"/>
        <w:jc w:val="both"/>
        <w:rPr>
          <w:rFonts w:ascii="Times New Roman" w:eastAsia="Times New Roman" w:hAnsi="Times New Roman" w:cs="Times New Roman"/>
          <w:sz w:val="24"/>
          <w:szCs w:val="24"/>
          <w:lang w:val="en-US" w:eastAsia="pl-PL"/>
        </w:rPr>
      </w:pPr>
      <w:r w:rsidRPr="00AE7EDD">
        <w:rPr>
          <w:rFonts w:ascii="Times New Roman" w:eastAsia="Times New Roman" w:hAnsi="Times New Roman" w:cs="Times New Roman"/>
          <w:sz w:val="24"/>
          <w:szCs w:val="24"/>
          <w:lang w:val="en-US" w:eastAsia="pl-PL"/>
        </w:rPr>
        <w:t xml:space="preserve">3T3 fibroblasts were seeded at 1.0 × 10⁴ cells per well of a 12-well plate containing 15 × 15 mm glass coverslips and cultured in complete culture medium under standard conditions </w:t>
      </w:r>
      <w:r w:rsidR="00A845F2">
        <w:rPr>
          <w:rFonts w:ascii="Times New Roman" w:eastAsia="Times New Roman" w:hAnsi="Times New Roman" w:cs="Times New Roman"/>
          <w:sz w:val="24"/>
          <w:szCs w:val="24"/>
          <w:lang w:val="en-US" w:eastAsia="pl-PL"/>
        </w:rPr>
        <w:br/>
      </w:r>
      <w:r w:rsidRPr="00AE7EDD">
        <w:rPr>
          <w:rFonts w:ascii="Times New Roman" w:eastAsia="Times New Roman" w:hAnsi="Times New Roman" w:cs="Times New Roman"/>
          <w:sz w:val="24"/>
          <w:szCs w:val="24"/>
          <w:lang w:val="en-US" w:eastAsia="pl-PL"/>
        </w:rPr>
        <w:t>for 24 hours. Then, cells were fixed with 3.7% formaldehyde for 10 min at room temperature (RT) and prepared under two conditions: non-permeabilized (for membrane-localized proteins) and permeabilized (for total cellular pool, 0.1% Triton X-100 for 5 min). Samples were blocked in 3% BSA/PBS for 90 min and incubated overnight at 4°C with primary antibodies: PDGFR</w:t>
      </w:r>
      <w:r w:rsidRPr="00AE7EDD">
        <w:rPr>
          <w:rFonts w:ascii="Times New Roman" w:eastAsia="Times New Roman" w:hAnsi="Times New Roman" w:cs="Times New Roman"/>
          <w:sz w:val="24"/>
          <w:szCs w:val="24"/>
          <w:lang w:eastAsia="pl-PL"/>
        </w:rPr>
        <w:t>β</w:t>
      </w:r>
      <w:r w:rsidRPr="00AE7EDD">
        <w:rPr>
          <w:rFonts w:ascii="Times New Roman" w:eastAsia="Times New Roman" w:hAnsi="Times New Roman" w:cs="Times New Roman"/>
          <w:sz w:val="24"/>
          <w:szCs w:val="24"/>
          <w:lang w:val="en-US" w:eastAsia="pl-PL"/>
        </w:rPr>
        <w:t xml:space="preserve"> (rabbit polyclonal, 1:100, </w:t>
      </w:r>
      <w:proofErr w:type="spellStart"/>
      <w:r w:rsidRPr="00AE7EDD">
        <w:rPr>
          <w:rFonts w:ascii="Times New Roman" w:eastAsia="Times New Roman" w:hAnsi="Times New Roman" w:cs="Times New Roman"/>
          <w:sz w:val="24"/>
          <w:szCs w:val="24"/>
          <w:lang w:val="en-US" w:eastAsia="pl-PL"/>
        </w:rPr>
        <w:t>Thermo</w:t>
      </w:r>
      <w:proofErr w:type="spellEnd"/>
      <w:r w:rsidRPr="00AE7EDD">
        <w:rPr>
          <w:rFonts w:ascii="Times New Roman" w:eastAsia="Times New Roman" w:hAnsi="Times New Roman" w:cs="Times New Roman"/>
          <w:sz w:val="24"/>
          <w:szCs w:val="24"/>
          <w:lang w:val="en-US" w:eastAsia="pl-PL"/>
        </w:rPr>
        <w:t xml:space="preserve"> Fisher PA5-96085) and PDGFR</w:t>
      </w:r>
      <w:r w:rsidRPr="00AE7EDD">
        <w:rPr>
          <w:rFonts w:ascii="Times New Roman" w:eastAsia="Times New Roman" w:hAnsi="Times New Roman" w:cs="Times New Roman"/>
          <w:sz w:val="24"/>
          <w:szCs w:val="24"/>
          <w:lang w:eastAsia="pl-PL"/>
        </w:rPr>
        <w:t>α</w:t>
      </w:r>
      <w:r w:rsidRPr="00AE7EDD">
        <w:rPr>
          <w:rFonts w:ascii="Times New Roman" w:eastAsia="Times New Roman" w:hAnsi="Times New Roman" w:cs="Times New Roman"/>
          <w:sz w:val="24"/>
          <w:szCs w:val="24"/>
          <w:lang w:val="en-US" w:eastAsia="pl-PL"/>
        </w:rPr>
        <w:t xml:space="preserve"> (rat monoclonal, </w:t>
      </w:r>
      <w:r w:rsidR="00A845F2">
        <w:rPr>
          <w:rFonts w:ascii="Times New Roman" w:eastAsia="Times New Roman" w:hAnsi="Times New Roman" w:cs="Times New Roman"/>
          <w:sz w:val="24"/>
          <w:szCs w:val="24"/>
          <w:lang w:val="en-US" w:eastAsia="pl-PL"/>
        </w:rPr>
        <w:br/>
      </w:r>
      <w:r w:rsidRPr="00AE7EDD">
        <w:rPr>
          <w:rFonts w:ascii="Times New Roman" w:eastAsia="Times New Roman" w:hAnsi="Times New Roman" w:cs="Times New Roman"/>
          <w:sz w:val="24"/>
          <w:szCs w:val="24"/>
          <w:lang w:val="en-US" w:eastAsia="pl-PL"/>
        </w:rPr>
        <w:t xml:space="preserve">1:200, </w:t>
      </w:r>
      <w:proofErr w:type="spellStart"/>
      <w:r w:rsidRPr="00AE7EDD">
        <w:rPr>
          <w:rFonts w:ascii="Times New Roman" w:eastAsia="Times New Roman" w:hAnsi="Times New Roman" w:cs="Times New Roman"/>
          <w:sz w:val="24"/>
          <w:szCs w:val="24"/>
          <w:lang w:val="en-US" w:eastAsia="pl-PL"/>
        </w:rPr>
        <w:t>Thermo</w:t>
      </w:r>
      <w:proofErr w:type="spellEnd"/>
      <w:r w:rsidRPr="00AE7EDD">
        <w:rPr>
          <w:rFonts w:ascii="Times New Roman" w:eastAsia="Times New Roman" w:hAnsi="Times New Roman" w:cs="Times New Roman"/>
          <w:sz w:val="24"/>
          <w:szCs w:val="24"/>
          <w:lang w:val="en-US" w:eastAsia="pl-PL"/>
        </w:rPr>
        <w:t xml:space="preserve"> Fisher 14-1401-82). After washing, Alexa Fluor 488-conjugated secondary antibodies (chicken anti-rabbit and goat anti-rat, both 1:400) were applied for 2 h at RT, </w:t>
      </w:r>
      <w:r w:rsidR="00A845F2">
        <w:rPr>
          <w:rFonts w:ascii="Times New Roman" w:eastAsia="Times New Roman" w:hAnsi="Times New Roman" w:cs="Times New Roman"/>
          <w:sz w:val="24"/>
          <w:szCs w:val="24"/>
          <w:lang w:val="en-US" w:eastAsia="pl-PL"/>
        </w:rPr>
        <w:br/>
      </w:r>
      <w:r w:rsidRPr="00AE7EDD">
        <w:rPr>
          <w:rFonts w:ascii="Times New Roman" w:eastAsia="Times New Roman" w:hAnsi="Times New Roman" w:cs="Times New Roman"/>
          <w:sz w:val="24"/>
          <w:szCs w:val="24"/>
          <w:lang w:val="en-US" w:eastAsia="pl-PL"/>
        </w:rPr>
        <w:t>along with Hoechst 33258 (2 µg/mL) (</w:t>
      </w:r>
      <w:proofErr w:type="spellStart"/>
      <w:r w:rsidRPr="00AE7EDD">
        <w:rPr>
          <w:rFonts w:ascii="Times New Roman" w:eastAsia="Times New Roman" w:hAnsi="Times New Roman" w:cs="Times New Roman"/>
          <w:sz w:val="24"/>
          <w:szCs w:val="24"/>
          <w:lang w:val="en-US" w:eastAsia="pl-PL"/>
        </w:rPr>
        <w:t>Thermo</w:t>
      </w:r>
      <w:proofErr w:type="spellEnd"/>
      <w:r w:rsidRPr="00AE7EDD">
        <w:rPr>
          <w:rFonts w:ascii="Times New Roman" w:eastAsia="Times New Roman" w:hAnsi="Times New Roman" w:cs="Times New Roman"/>
          <w:sz w:val="24"/>
          <w:szCs w:val="24"/>
          <w:lang w:val="en-US" w:eastAsia="pl-PL"/>
        </w:rPr>
        <w:t xml:space="preserve"> Fisher Scientific) for nuclear staining. After washing coverslips were mounted in Dako fluorescence mounting medium (Agilent Technologies, Santa Clara, CA, USA) and imaged using a Leica DMI6000B fluorescence microscope, equipped with DFC360FX CCD camera, HCX PL APO 40×/1.25 OIL objective, and EL6000 metal-halide illuminator, working under the control of LAS X 3.7 (all from Leica, Wetzlar, Germany).</w:t>
      </w:r>
    </w:p>
    <w:p w14:paraId="53322B4D" w14:textId="77777777" w:rsidR="002C4FDB" w:rsidRPr="00AE7EDD" w:rsidRDefault="002C4FDB" w:rsidP="00A845F2">
      <w:pPr>
        <w:pStyle w:val="NormalnyWeb"/>
        <w:spacing w:before="120" w:beforeAutospacing="0" w:after="120" w:afterAutospacing="0" w:line="360" w:lineRule="auto"/>
        <w:jc w:val="both"/>
        <w:rPr>
          <w:lang w:val="en-US"/>
        </w:rPr>
      </w:pPr>
      <w:r w:rsidRPr="00AE7EDD">
        <w:rPr>
          <w:lang w:val="en-US"/>
        </w:rPr>
        <w:t>Quantitative analysis of obtained images was performed in Fiji ImageJ 1.54f. Cells were manually outlined, and fluorescence intensity was measured for at least 50 cells per condition, together with background signal, which was later subtracted from the cell measurements. The membrane-to-total fluorescence ratio was calculated (i.e., non-permeabilized/permeabilized). Error propagation was applied using the SEM of particular groups.</w:t>
      </w:r>
    </w:p>
    <w:p w14:paraId="46B40FD9" w14:textId="2C60253A" w:rsidR="002C4FDB" w:rsidRPr="00AE7EDD" w:rsidRDefault="002C4FDB" w:rsidP="00A845F2">
      <w:pPr>
        <w:pStyle w:val="NormalnyWeb"/>
        <w:spacing w:before="120" w:beforeAutospacing="0" w:after="120" w:afterAutospacing="0" w:line="360" w:lineRule="auto"/>
        <w:jc w:val="both"/>
        <w:rPr>
          <w:lang w:val="en-US"/>
        </w:rPr>
      </w:pPr>
      <w:r w:rsidRPr="00AE7EDD">
        <w:rPr>
          <w:lang w:val="en-US"/>
        </w:rPr>
        <w:t xml:space="preserve">Additionally, TIRF/EPI fluorescence microscopy imaging was performed as described previously, with a penetration depth of 70 nm for the TIRF channel and a 0° incident angle </w:t>
      </w:r>
      <w:r w:rsidR="00A845F2">
        <w:rPr>
          <w:lang w:val="en-US"/>
        </w:rPr>
        <w:br/>
      </w:r>
      <w:r w:rsidRPr="00AE7EDD">
        <w:rPr>
          <w:lang w:val="en-US"/>
        </w:rPr>
        <w:t>of the 488 nm laser for the EPI channel, on cells transfected with plasmids encoding PDGFR</w:t>
      </w:r>
      <w:r w:rsidRPr="00AE7EDD">
        <w:t>α</w:t>
      </w:r>
      <w:r w:rsidRPr="00AE7EDD">
        <w:rPr>
          <w:lang w:val="en-US"/>
        </w:rPr>
        <w:t>-GFP and PDGFR</w:t>
      </w:r>
      <w:r w:rsidRPr="00AE7EDD">
        <w:t>β</w:t>
      </w:r>
      <w:r w:rsidRPr="00AE7EDD">
        <w:rPr>
          <w:lang w:val="en-US"/>
        </w:rPr>
        <w:t xml:space="preserve">-GFP, and seeded onto </w:t>
      </w:r>
      <w:proofErr w:type="spellStart"/>
      <w:r w:rsidRPr="00AE7EDD">
        <w:rPr>
          <w:lang w:val="en-US"/>
        </w:rPr>
        <w:t>CELLview</w:t>
      </w:r>
      <w:proofErr w:type="spellEnd"/>
      <w:r w:rsidRPr="00AE7EDD">
        <w:rPr>
          <w:lang w:val="en-US"/>
        </w:rPr>
        <w:t xml:space="preserve"> culture dishes with a glass bottom (Greiner Bio-One, </w:t>
      </w:r>
      <w:proofErr w:type="spellStart"/>
      <w:r w:rsidRPr="00AE7EDD">
        <w:rPr>
          <w:lang w:val="en-US"/>
        </w:rPr>
        <w:t>Frickenhausen</w:t>
      </w:r>
      <w:proofErr w:type="spellEnd"/>
      <w:r w:rsidRPr="00AE7EDD">
        <w:rPr>
          <w:lang w:val="en-US"/>
        </w:rPr>
        <w:t xml:space="preserve">, Germany). Quantitative analysis was conducted </w:t>
      </w:r>
      <w:r w:rsidR="00A845F2">
        <w:rPr>
          <w:lang w:val="en-US"/>
        </w:rPr>
        <w:br/>
      </w:r>
      <w:r w:rsidRPr="00AE7EDD">
        <w:rPr>
          <w:lang w:val="en-US"/>
        </w:rPr>
        <w:t>as described above, with fluorescence measured in both channels for each cell, and the TIRF-to-EPI fluorescence ratio was determined to assess relative membrane localization.</w:t>
      </w:r>
    </w:p>
    <w:p w14:paraId="7D29AD46" w14:textId="77777777" w:rsidR="00A845F2" w:rsidRDefault="00A845F2">
      <w:pPr>
        <w:rPr>
          <w:rFonts w:ascii="Times New Roman" w:eastAsia="Times New Roman" w:hAnsi="Times New Roman" w:cs="Times New Roman"/>
          <w:b/>
          <w:bCs/>
          <w:sz w:val="24"/>
          <w:szCs w:val="24"/>
          <w:lang w:val="en-US" w:eastAsia="pl-PL"/>
        </w:rPr>
      </w:pPr>
      <w:r>
        <w:rPr>
          <w:b/>
          <w:bCs/>
          <w:lang w:val="en-US"/>
        </w:rPr>
        <w:br w:type="page"/>
      </w:r>
    </w:p>
    <w:p w14:paraId="04D0E0BC" w14:textId="7EA438F3" w:rsidR="002C4FDB" w:rsidRPr="00AE7EDD" w:rsidRDefault="002C4FDB" w:rsidP="00A845F2">
      <w:pPr>
        <w:pStyle w:val="NormalnyWeb"/>
        <w:spacing w:before="120" w:beforeAutospacing="0" w:after="120" w:afterAutospacing="0" w:line="360" w:lineRule="auto"/>
        <w:jc w:val="both"/>
        <w:rPr>
          <w:b/>
          <w:bCs/>
          <w:lang w:val="en-US"/>
        </w:rPr>
      </w:pPr>
      <w:r w:rsidRPr="00AE7EDD">
        <w:rPr>
          <w:b/>
          <w:bCs/>
          <w:lang w:val="en-US"/>
        </w:rPr>
        <w:lastRenderedPageBreak/>
        <w:t>Western-blot analysis</w:t>
      </w:r>
    </w:p>
    <w:p w14:paraId="4A6D7FA3" w14:textId="2A9DF7EB" w:rsidR="002C4FDB" w:rsidRPr="002C4FDB" w:rsidRDefault="002C4FDB" w:rsidP="00A845F2">
      <w:pPr>
        <w:spacing w:after="120" w:line="360" w:lineRule="auto"/>
        <w:jc w:val="both"/>
        <w:rPr>
          <w:rFonts w:ascii="Times New Roman" w:eastAsia="Times New Roman" w:hAnsi="Times New Roman" w:cs="Times New Roman"/>
          <w:sz w:val="24"/>
          <w:szCs w:val="24"/>
          <w:lang w:val="en-US" w:eastAsia="pl-PL"/>
        </w:rPr>
      </w:pPr>
      <w:r w:rsidRPr="002C4FDB">
        <w:rPr>
          <w:rFonts w:ascii="Times New Roman" w:eastAsia="Times New Roman" w:hAnsi="Times New Roman" w:cs="Times New Roman"/>
          <w:sz w:val="24"/>
          <w:szCs w:val="24"/>
          <w:lang w:val="en-US" w:eastAsia="pl-PL"/>
        </w:rPr>
        <w:t xml:space="preserve">3T3 fibroblasts were seeded at 6.0 × 10⁴ cells per well of a 12-well plate, and after 24 hours were transfected with 25 </w:t>
      </w:r>
      <w:proofErr w:type="spellStart"/>
      <w:r w:rsidRPr="002C4FDB">
        <w:rPr>
          <w:rFonts w:ascii="Times New Roman" w:eastAsia="Times New Roman" w:hAnsi="Times New Roman" w:cs="Times New Roman"/>
          <w:sz w:val="24"/>
          <w:szCs w:val="24"/>
          <w:lang w:val="en-US" w:eastAsia="pl-PL"/>
        </w:rPr>
        <w:t>nM</w:t>
      </w:r>
      <w:proofErr w:type="spellEnd"/>
      <w:r w:rsidRPr="002C4FDB">
        <w:rPr>
          <w:rFonts w:ascii="Times New Roman" w:eastAsia="Times New Roman" w:hAnsi="Times New Roman" w:cs="Times New Roman"/>
          <w:sz w:val="24"/>
          <w:szCs w:val="24"/>
          <w:lang w:val="en-US" w:eastAsia="pl-PL"/>
        </w:rPr>
        <w:t xml:space="preserve"> siRNA targeting mouse </w:t>
      </w:r>
      <w:proofErr w:type="spellStart"/>
      <w:r w:rsidRPr="002C4FDB">
        <w:rPr>
          <w:rFonts w:ascii="Times New Roman" w:eastAsia="Times New Roman" w:hAnsi="Times New Roman" w:cs="Times New Roman"/>
          <w:sz w:val="24"/>
          <w:szCs w:val="24"/>
          <w:lang w:val="en-US" w:eastAsia="pl-PL"/>
        </w:rPr>
        <w:t>Gapd</w:t>
      </w:r>
      <w:proofErr w:type="spellEnd"/>
      <w:r w:rsidRPr="002C4FDB">
        <w:rPr>
          <w:rFonts w:ascii="Times New Roman" w:eastAsia="Times New Roman" w:hAnsi="Times New Roman" w:cs="Times New Roman"/>
          <w:sz w:val="24"/>
          <w:szCs w:val="24"/>
          <w:lang w:val="en-US" w:eastAsia="pl-PL"/>
        </w:rPr>
        <w:t xml:space="preserve"> (#D-001830-02-05) or green fluorescent protein targeting control (#P-002048-01-20) using </w:t>
      </w:r>
      <w:proofErr w:type="spellStart"/>
      <w:r w:rsidRPr="002C4FDB">
        <w:rPr>
          <w:rFonts w:ascii="Times New Roman" w:eastAsia="Times New Roman" w:hAnsi="Times New Roman" w:cs="Times New Roman"/>
          <w:sz w:val="24"/>
          <w:szCs w:val="24"/>
          <w:lang w:val="en-US" w:eastAsia="pl-PL"/>
        </w:rPr>
        <w:t>Dharmafect</w:t>
      </w:r>
      <w:proofErr w:type="spellEnd"/>
      <w:r w:rsidRPr="002C4FDB">
        <w:rPr>
          <w:rFonts w:ascii="Times New Roman" w:eastAsia="Times New Roman" w:hAnsi="Times New Roman" w:cs="Times New Roman"/>
          <w:sz w:val="24"/>
          <w:szCs w:val="24"/>
          <w:lang w:val="en-US" w:eastAsia="pl-PL"/>
        </w:rPr>
        <w:t xml:space="preserve"> I as the transfection reagent (all reagents from </w:t>
      </w:r>
      <w:proofErr w:type="spellStart"/>
      <w:r w:rsidRPr="002C4FDB">
        <w:rPr>
          <w:rFonts w:ascii="Times New Roman" w:eastAsia="Times New Roman" w:hAnsi="Times New Roman" w:cs="Times New Roman"/>
          <w:sz w:val="24"/>
          <w:szCs w:val="24"/>
          <w:lang w:val="en-US" w:eastAsia="pl-PL"/>
        </w:rPr>
        <w:t>Dharmacon</w:t>
      </w:r>
      <w:proofErr w:type="spellEnd"/>
      <w:r w:rsidRPr="002C4FDB">
        <w:rPr>
          <w:rFonts w:ascii="Times New Roman" w:eastAsia="Times New Roman" w:hAnsi="Times New Roman" w:cs="Times New Roman"/>
          <w:sz w:val="24"/>
          <w:szCs w:val="24"/>
          <w:lang w:val="en-US" w:eastAsia="pl-PL"/>
        </w:rPr>
        <w:t>) according to the manufacturer's instructions. After 48 hours, cells were washed with phosphate-buffered saline (PBS; Gibco/</w:t>
      </w:r>
      <w:proofErr w:type="spellStart"/>
      <w:r w:rsidRPr="002C4FDB">
        <w:rPr>
          <w:rFonts w:ascii="Times New Roman" w:eastAsia="Times New Roman" w:hAnsi="Times New Roman" w:cs="Times New Roman"/>
          <w:sz w:val="24"/>
          <w:szCs w:val="24"/>
          <w:lang w:val="en-US" w:eastAsia="pl-PL"/>
        </w:rPr>
        <w:t>Thermo</w:t>
      </w:r>
      <w:proofErr w:type="spellEnd"/>
      <w:r w:rsidRPr="002C4FDB">
        <w:rPr>
          <w:rFonts w:ascii="Times New Roman" w:eastAsia="Times New Roman" w:hAnsi="Times New Roman" w:cs="Times New Roman"/>
          <w:sz w:val="24"/>
          <w:szCs w:val="24"/>
          <w:lang w:val="en-US" w:eastAsia="pl-PL"/>
        </w:rPr>
        <w:t xml:space="preserve"> Fisher Scientific) and lysed with RIPA lysis buffer (Sigma-Aldrich) with the addition of protease </w:t>
      </w:r>
      <w:r w:rsidR="00A845F2">
        <w:rPr>
          <w:rFonts w:ascii="Times New Roman" w:eastAsia="Times New Roman" w:hAnsi="Times New Roman" w:cs="Times New Roman"/>
          <w:sz w:val="24"/>
          <w:szCs w:val="24"/>
          <w:lang w:val="en-US" w:eastAsia="pl-PL"/>
        </w:rPr>
        <w:br/>
      </w:r>
      <w:r w:rsidRPr="002C4FDB">
        <w:rPr>
          <w:rFonts w:ascii="Times New Roman" w:eastAsia="Times New Roman" w:hAnsi="Times New Roman" w:cs="Times New Roman"/>
          <w:sz w:val="24"/>
          <w:szCs w:val="24"/>
          <w:lang w:val="en-US" w:eastAsia="pl-PL"/>
        </w:rPr>
        <w:t>and phosphatase inhibitors (</w:t>
      </w:r>
      <w:proofErr w:type="spellStart"/>
      <w:r w:rsidRPr="002C4FDB">
        <w:rPr>
          <w:rFonts w:ascii="Times New Roman" w:eastAsia="Times New Roman" w:hAnsi="Times New Roman" w:cs="Times New Roman"/>
          <w:sz w:val="24"/>
          <w:szCs w:val="24"/>
          <w:lang w:val="en-US" w:eastAsia="pl-PL"/>
        </w:rPr>
        <w:t>Thermo</w:t>
      </w:r>
      <w:proofErr w:type="spellEnd"/>
      <w:r w:rsidRPr="002C4FDB">
        <w:rPr>
          <w:rFonts w:ascii="Times New Roman" w:eastAsia="Times New Roman" w:hAnsi="Times New Roman" w:cs="Times New Roman"/>
          <w:sz w:val="24"/>
          <w:szCs w:val="24"/>
          <w:lang w:val="en-US" w:eastAsia="pl-PL"/>
        </w:rPr>
        <w:t xml:space="preserve"> Fisher Scientific). Protein concentration was determined using a BCA assay (</w:t>
      </w:r>
      <w:proofErr w:type="spellStart"/>
      <w:r w:rsidRPr="002C4FDB">
        <w:rPr>
          <w:rFonts w:ascii="Times New Roman" w:eastAsia="Times New Roman" w:hAnsi="Times New Roman" w:cs="Times New Roman"/>
          <w:sz w:val="24"/>
          <w:szCs w:val="24"/>
          <w:lang w:val="en-US" w:eastAsia="pl-PL"/>
        </w:rPr>
        <w:t>Thermo</w:t>
      </w:r>
      <w:proofErr w:type="spellEnd"/>
      <w:r w:rsidRPr="002C4FDB">
        <w:rPr>
          <w:rFonts w:ascii="Times New Roman" w:eastAsia="Times New Roman" w:hAnsi="Times New Roman" w:cs="Times New Roman"/>
          <w:sz w:val="24"/>
          <w:szCs w:val="24"/>
          <w:lang w:val="en-US" w:eastAsia="pl-PL"/>
        </w:rPr>
        <w:t xml:space="preserve"> Fisher Scientific) according to the protocol provided by </w:t>
      </w:r>
      <w:r w:rsidR="00A845F2">
        <w:rPr>
          <w:rFonts w:ascii="Times New Roman" w:eastAsia="Times New Roman" w:hAnsi="Times New Roman" w:cs="Times New Roman"/>
          <w:sz w:val="24"/>
          <w:szCs w:val="24"/>
          <w:lang w:val="en-US" w:eastAsia="pl-PL"/>
        </w:rPr>
        <w:br/>
      </w:r>
      <w:r w:rsidRPr="002C4FDB">
        <w:rPr>
          <w:rFonts w:ascii="Times New Roman" w:eastAsia="Times New Roman" w:hAnsi="Times New Roman" w:cs="Times New Roman"/>
          <w:sz w:val="24"/>
          <w:szCs w:val="24"/>
          <w:lang w:val="en-US" w:eastAsia="pl-PL"/>
        </w:rPr>
        <w:t xml:space="preserve">the vendor. Protein samples (10 μg/line) were loaded onto </w:t>
      </w:r>
      <w:proofErr w:type="spellStart"/>
      <w:r w:rsidRPr="002C4FDB">
        <w:rPr>
          <w:rFonts w:ascii="Times New Roman" w:eastAsia="Times New Roman" w:hAnsi="Times New Roman" w:cs="Times New Roman"/>
          <w:sz w:val="24"/>
          <w:szCs w:val="24"/>
          <w:lang w:val="en-US" w:eastAsia="pl-PL"/>
        </w:rPr>
        <w:t>Miniprotean</w:t>
      </w:r>
      <w:proofErr w:type="spellEnd"/>
      <w:r w:rsidRPr="002C4FDB">
        <w:rPr>
          <w:rFonts w:ascii="Times New Roman" w:eastAsia="Times New Roman" w:hAnsi="Times New Roman" w:cs="Times New Roman"/>
          <w:sz w:val="24"/>
          <w:szCs w:val="24"/>
          <w:lang w:val="en-US" w:eastAsia="pl-PL"/>
        </w:rPr>
        <w:t xml:space="preserve"> TGX Gel, 4-15% (Bio-Rad) and separated by electrophoresis. Proteins were then transferred to polyvinylidene fluoride (PVDF) membrane (Bio-Rad) by semi-dry transfer at 25V, 1.3A for 7 minutes in the Trans-Blot Turbo Transfer System (Bio-Rad). Membranes were incubated in 3% BSA in TBST (0.05 (v/v) Tween 20 in Tris-buffered saline) for 1 hour at room temperature (RT) to block nonspecific binding sites. The membranes were then incubated with primary antibodies against GAPDH (mouse monoclonal IgG1, #MA5-15738; Invitrogen/</w:t>
      </w:r>
      <w:proofErr w:type="spellStart"/>
      <w:r w:rsidRPr="002C4FDB">
        <w:rPr>
          <w:rFonts w:ascii="Times New Roman" w:eastAsia="Times New Roman" w:hAnsi="Times New Roman" w:cs="Times New Roman"/>
          <w:sz w:val="24"/>
          <w:szCs w:val="24"/>
          <w:lang w:val="en-US" w:eastAsia="pl-PL"/>
        </w:rPr>
        <w:t>Thermo</w:t>
      </w:r>
      <w:proofErr w:type="spellEnd"/>
      <w:r w:rsidRPr="002C4FDB">
        <w:rPr>
          <w:rFonts w:ascii="Times New Roman" w:eastAsia="Times New Roman" w:hAnsi="Times New Roman" w:cs="Times New Roman"/>
          <w:sz w:val="24"/>
          <w:szCs w:val="24"/>
          <w:lang w:val="en-US" w:eastAsia="pl-PL"/>
        </w:rPr>
        <w:t xml:space="preserve"> Fisher Scientific) and β-tubulin (mouse monoclonal IgG2a, #MA5-16308; </w:t>
      </w:r>
      <w:proofErr w:type="spellStart"/>
      <w:r w:rsidRPr="002C4FDB">
        <w:rPr>
          <w:rFonts w:ascii="Times New Roman" w:eastAsia="Times New Roman" w:hAnsi="Times New Roman" w:cs="Times New Roman"/>
          <w:sz w:val="24"/>
          <w:szCs w:val="24"/>
          <w:lang w:val="en-US" w:eastAsia="pl-PL"/>
        </w:rPr>
        <w:t>Thermo</w:t>
      </w:r>
      <w:proofErr w:type="spellEnd"/>
      <w:r w:rsidRPr="002C4FDB">
        <w:rPr>
          <w:rFonts w:ascii="Times New Roman" w:eastAsia="Times New Roman" w:hAnsi="Times New Roman" w:cs="Times New Roman"/>
          <w:sz w:val="24"/>
          <w:szCs w:val="24"/>
          <w:lang w:val="en-US" w:eastAsia="pl-PL"/>
        </w:rPr>
        <w:t xml:space="preserve"> Fisher Scientific) overnight at 4°C. The levels of proteins were then detected with a horseradish peroxidase (HRP)-conjugated secondary antibody (horse anti-mouse IgG, #7076; Cell Signaling Technology) after incubation with the membranes for 1 hour at RT. The signal was detected using the chemiluminescent HRP substrate (Merck) in the </w:t>
      </w:r>
      <w:proofErr w:type="spellStart"/>
      <w:r w:rsidRPr="002C4FDB">
        <w:rPr>
          <w:rFonts w:ascii="Times New Roman" w:eastAsia="Times New Roman" w:hAnsi="Times New Roman" w:cs="Times New Roman"/>
          <w:sz w:val="24"/>
          <w:szCs w:val="24"/>
          <w:lang w:val="en-US" w:eastAsia="pl-PL"/>
        </w:rPr>
        <w:t>ChemiDoc</w:t>
      </w:r>
      <w:proofErr w:type="spellEnd"/>
      <w:r w:rsidRPr="002C4FDB">
        <w:rPr>
          <w:rFonts w:ascii="Times New Roman" w:eastAsia="Times New Roman" w:hAnsi="Times New Roman" w:cs="Times New Roman"/>
          <w:sz w:val="24"/>
          <w:szCs w:val="24"/>
          <w:lang w:val="en-US" w:eastAsia="pl-PL"/>
        </w:rPr>
        <w:t xml:space="preserve"> XRS + imager (Bio-Rad). Densitometric analysis was performed using Quantity One software (Bio-Rad).</w:t>
      </w:r>
    </w:p>
    <w:p w14:paraId="7DB71ACB" w14:textId="40621F06" w:rsidR="006A188D" w:rsidRDefault="00A845F2" w:rsidP="00A845F2">
      <w:pPr>
        <w:jc w:val="center"/>
      </w:pPr>
      <w:r>
        <w:rPr>
          <w:rFonts w:ascii="Times New Roman" w:hAnsi="Times New Roman" w:cs="Times New Roman"/>
          <w:noProof/>
          <w:sz w:val="24"/>
          <w:szCs w:val="24"/>
          <w:lang w:eastAsia="pl-PL"/>
        </w:rPr>
        <w:lastRenderedPageBreak/>
        <w:drawing>
          <wp:inline distT="0" distB="0" distL="0" distR="0" wp14:anchorId="1217089C" wp14:editId="63FC1378">
            <wp:extent cx="5713858" cy="4678680"/>
            <wp:effectExtent l="0" t="0" r="1270" b="7620"/>
            <wp:docPr id="165842150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hqprint">
                      <a:extLst>
                        <a:ext uri="{28A0092B-C50C-407E-A947-70E740481C1C}">
                          <a14:useLocalDpi xmlns:a14="http://schemas.microsoft.com/office/drawing/2010/main" val="0"/>
                        </a:ext>
                      </a:extLst>
                    </a:blip>
                    <a:srcRect/>
                    <a:stretch>
                      <a:fillRect/>
                    </a:stretch>
                  </pic:blipFill>
                  <pic:spPr bwMode="auto">
                    <a:xfrm>
                      <a:off x="0" y="0"/>
                      <a:ext cx="5727939" cy="4690210"/>
                    </a:xfrm>
                    <a:prstGeom prst="rect">
                      <a:avLst/>
                    </a:prstGeom>
                    <a:noFill/>
                    <a:ln>
                      <a:noFill/>
                    </a:ln>
                  </pic:spPr>
                </pic:pic>
              </a:graphicData>
            </a:graphic>
          </wp:inline>
        </w:drawing>
      </w:r>
    </w:p>
    <w:p w14:paraId="29932BA4" w14:textId="48652346" w:rsidR="00C10784" w:rsidRPr="00AE7EDD" w:rsidRDefault="00C10784" w:rsidP="00C10784">
      <w:pPr>
        <w:spacing w:before="120" w:after="120" w:line="480" w:lineRule="auto"/>
        <w:jc w:val="both"/>
        <w:rPr>
          <w:rFonts w:ascii="Times New Roman" w:hAnsi="Times New Roman" w:cs="Times New Roman"/>
          <w:sz w:val="20"/>
          <w:szCs w:val="20"/>
          <w:lang w:val="en-US"/>
        </w:rPr>
      </w:pPr>
      <w:r w:rsidRPr="00AE7EDD">
        <w:rPr>
          <w:rFonts w:ascii="Times New Roman" w:hAnsi="Times New Roman" w:cs="Times New Roman"/>
          <w:b/>
          <w:bCs/>
          <w:sz w:val="20"/>
          <w:szCs w:val="20"/>
          <w:lang w:val="en-US"/>
        </w:rPr>
        <w:t>Fig. S1 Validation of siRNA-mediated knockdown of GFP and GAPDH in 3T3 fibroblasts (a)</w:t>
      </w:r>
      <w:r w:rsidRPr="00AE7EDD">
        <w:rPr>
          <w:rFonts w:ascii="Times New Roman" w:hAnsi="Times New Roman" w:cs="Times New Roman"/>
          <w:sz w:val="20"/>
          <w:szCs w:val="20"/>
          <w:lang w:val="en-US"/>
        </w:rPr>
        <w:t xml:space="preserve"> representative fluorescence microscopy images of 3T3 fibroblasts stably expressing GFP (control) and the same cells transfected with GFP-targeting siRNA. The scale bar applies to both images. </w:t>
      </w:r>
      <w:r w:rsidRPr="00AE7EDD">
        <w:rPr>
          <w:rFonts w:ascii="Times New Roman" w:hAnsi="Times New Roman" w:cs="Times New Roman"/>
          <w:b/>
          <w:bCs/>
          <w:sz w:val="20"/>
          <w:szCs w:val="20"/>
          <w:lang w:val="en-US"/>
        </w:rPr>
        <w:t>(b)</w:t>
      </w:r>
      <w:r w:rsidRPr="00AE7EDD">
        <w:rPr>
          <w:rFonts w:ascii="Times New Roman" w:hAnsi="Times New Roman" w:cs="Times New Roman"/>
          <w:sz w:val="20"/>
          <w:szCs w:val="20"/>
          <w:lang w:val="en-US"/>
        </w:rPr>
        <w:t xml:space="preserve"> Quantification of mean GFP fluorescence (± SEM), based on six fields of view from two independent experiments, demonstrating a marked reduction in GFP signal after siRNA transfection. *Statistically significant difference compared to control (p &lt; 0.05). </w:t>
      </w:r>
      <w:r w:rsidR="00951927">
        <w:rPr>
          <w:rFonts w:ascii="Times New Roman" w:hAnsi="Times New Roman" w:cs="Times New Roman"/>
          <w:sz w:val="20"/>
          <w:szCs w:val="20"/>
          <w:lang w:val="en-US"/>
        </w:rPr>
        <w:br/>
      </w:r>
      <w:r w:rsidRPr="00AE7EDD">
        <w:rPr>
          <w:rFonts w:ascii="Times New Roman" w:hAnsi="Times New Roman" w:cs="Times New Roman"/>
          <w:b/>
          <w:bCs/>
          <w:sz w:val="20"/>
          <w:szCs w:val="20"/>
          <w:lang w:val="en-US"/>
        </w:rPr>
        <w:t>(c)</w:t>
      </w:r>
      <w:r w:rsidRPr="00AE7EDD">
        <w:rPr>
          <w:rFonts w:ascii="Times New Roman" w:hAnsi="Times New Roman" w:cs="Times New Roman"/>
          <w:sz w:val="20"/>
          <w:szCs w:val="20"/>
          <w:lang w:val="en-US"/>
        </w:rPr>
        <w:t xml:space="preserve"> Western blot detecting GAPDH in control and siRNA-treated cells, with β-tubulin used as the loading control. GFP-targeting siRNA served as a non-targeting control in the GAPDH knockdown experiment. </w:t>
      </w:r>
      <w:r w:rsidRPr="00AE7EDD">
        <w:rPr>
          <w:rFonts w:ascii="Times New Roman" w:hAnsi="Times New Roman" w:cs="Times New Roman"/>
          <w:b/>
          <w:bCs/>
          <w:sz w:val="20"/>
          <w:szCs w:val="20"/>
          <w:lang w:val="en-US"/>
        </w:rPr>
        <w:t>(d)</w:t>
      </w:r>
      <w:r w:rsidRPr="00AE7EDD">
        <w:rPr>
          <w:rFonts w:ascii="Times New Roman" w:hAnsi="Times New Roman" w:cs="Times New Roman"/>
          <w:sz w:val="20"/>
          <w:szCs w:val="20"/>
          <w:lang w:val="en-US"/>
        </w:rPr>
        <w:t xml:space="preserve"> Densitometric analysis of GAPDH band intensities normalized to the control.</w:t>
      </w:r>
    </w:p>
    <w:p w14:paraId="798D0B5F" w14:textId="6A028A9F" w:rsidR="00C10784" w:rsidRDefault="00A845F2" w:rsidP="00A845F2">
      <w:pPr>
        <w:jc w:val="center"/>
      </w:pPr>
      <w:r>
        <w:rPr>
          <w:rFonts w:ascii="Times New Roman" w:hAnsi="Times New Roman" w:cs="Times New Roman"/>
          <w:noProof/>
          <w:sz w:val="24"/>
          <w:szCs w:val="24"/>
          <w:lang w:eastAsia="pl-PL"/>
        </w:rPr>
        <w:lastRenderedPageBreak/>
        <w:drawing>
          <wp:inline distT="0" distB="0" distL="0" distR="0" wp14:anchorId="06AEA1E3" wp14:editId="6A052F7F">
            <wp:extent cx="5722620" cy="5615940"/>
            <wp:effectExtent l="0" t="0" r="0" b="3810"/>
            <wp:docPr id="25553125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hqprint">
                      <a:extLst>
                        <a:ext uri="{28A0092B-C50C-407E-A947-70E740481C1C}">
                          <a14:useLocalDpi xmlns:a14="http://schemas.microsoft.com/office/drawing/2010/main" val="0"/>
                        </a:ext>
                      </a:extLst>
                    </a:blip>
                    <a:srcRect/>
                    <a:stretch>
                      <a:fillRect/>
                    </a:stretch>
                  </pic:blipFill>
                  <pic:spPr bwMode="auto">
                    <a:xfrm>
                      <a:off x="0" y="0"/>
                      <a:ext cx="5722620" cy="5615940"/>
                    </a:xfrm>
                    <a:prstGeom prst="rect">
                      <a:avLst/>
                    </a:prstGeom>
                    <a:noFill/>
                    <a:ln>
                      <a:noFill/>
                    </a:ln>
                  </pic:spPr>
                </pic:pic>
              </a:graphicData>
            </a:graphic>
          </wp:inline>
        </w:drawing>
      </w:r>
    </w:p>
    <w:p w14:paraId="2CEC72E1" w14:textId="6B0721E6" w:rsidR="00C10784" w:rsidRPr="00AE7EDD" w:rsidRDefault="00C10784" w:rsidP="00C10784">
      <w:pPr>
        <w:spacing w:after="120" w:line="480" w:lineRule="auto"/>
        <w:jc w:val="both"/>
        <w:rPr>
          <w:rFonts w:ascii="Times New Roman" w:hAnsi="Times New Roman" w:cs="Times New Roman"/>
          <w:sz w:val="20"/>
          <w:szCs w:val="20"/>
          <w:lang w:val="en-US"/>
        </w:rPr>
      </w:pPr>
      <w:r w:rsidRPr="00AE7EDD">
        <w:rPr>
          <w:rFonts w:ascii="Times New Roman" w:hAnsi="Times New Roman" w:cs="Times New Roman"/>
          <w:b/>
          <w:bCs/>
          <w:sz w:val="20"/>
          <w:szCs w:val="20"/>
          <w:lang w:val="en-US"/>
        </w:rPr>
        <w:t xml:space="preserve">Fig. S2 Differential membrane localization of PDGFRα and PDGFRβ assessed by immunofluorescence and TIRF microscopy. (a) </w:t>
      </w:r>
      <w:r w:rsidRPr="00AE7EDD">
        <w:rPr>
          <w:rFonts w:ascii="Times New Roman" w:hAnsi="Times New Roman" w:cs="Times New Roman"/>
          <w:sz w:val="20"/>
          <w:szCs w:val="20"/>
          <w:lang w:val="en-US"/>
        </w:rPr>
        <w:t xml:space="preserve">Representative immunofluorescence images of PDGFRα and PDGFRβ localization in fibroblasts under non-permeabilized (w/o Triton X-100) and permeabilized (Triton X-100) conditions. Receptors are green while nuclei are blue. Scale bar is common for all images within a panel. </w:t>
      </w:r>
      <w:r w:rsidRPr="00AE7EDD">
        <w:rPr>
          <w:rFonts w:ascii="Times New Roman" w:hAnsi="Times New Roman" w:cs="Times New Roman"/>
          <w:b/>
          <w:bCs/>
          <w:sz w:val="20"/>
          <w:szCs w:val="20"/>
          <w:lang w:val="en-US"/>
        </w:rPr>
        <w:t xml:space="preserve">(b) </w:t>
      </w:r>
      <w:r w:rsidRPr="00AE7EDD">
        <w:rPr>
          <w:rFonts w:ascii="Times New Roman" w:hAnsi="Times New Roman" w:cs="Times New Roman"/>
          <w:sz w:val="20"/>
          <w:szCs w:val="20"/>
          <w:lang w:val="en-US"/>
        </w:rPr>
        <w:t>Quantification of membrane localization of the receptors, calculated as the ratio of fluorescence intensity in non-permeabilized vs. permeabilized conditions presented as mean (± SEM)</w:t>
      </w:r>
      <w:r w:rsidRPr="00AE7EDD">
        <w:rPr>
          <w:rFonts w:ascii="Times New Roman" w:hAnsi="Times New Roman" w:cs="Times New Roman"/>
          <w:b/>
          <w:bCs/>
          <w:sz w:val="20"/>
          <w:szCs w:val="20"/>
          <w:lang w:val="en-US"/>
        </w:rPr>
        <w:t xml:space="preserve">. </w:t>
      </w:r>
      <w:r w:rsidRPr="00AE7EDD">
        <w:rPr>
          <w:rFonts w:ascii="Times New Roman" w:hAnsi="Times New Roman" w:cs="Times New Roman"/>
          <w:sz w:val="20"/>
          <w:szCs w:val="20"/>
          <w:lang w:val="en-US"/>
        </w:rPr>
        <w:t xml:space="preserve">At least 50 cells were analyzed per condition. </w:t>
      </w:r>
      <w:r w:rsidR="00951927">
        <w:rPr>
          <w:rFonts w:ascii="Times New Roman" w:hAnsi="Times New Roman" w:cs="Times New Roman"/>
          <w:sz w:val="20"/>
          <w:szCs w:val="20"/>
          <w:lang w:val="en-US"/>
        </w:rPr>
        <w:br/>
      </w:r>
      <w:r w:rsidRPr="00AE7EDD">
        <w:rPr>
          <w:rFonts w:ascii="Times New Roman" w:hAnsi="Times New Roman" w:cs="Times New Roman"/>
          <w:b/>
          <w:bCs/>
          <w:sz w:val="20"/>
          <w:szCs w:val="20"/>
          <w:lang w:val="en-US"/>
        </w:rPr>
        <w:t xml:space="preserve">(c) </w:t>
      </w:r>
      <w:r w:rsidRPr="00AE7EDD">
        <w:rPr>
          <w:rFonts w:ascii="Times New Roman" w:hAnsi="Times New Roman" w:cs="Times New Roman"/>
          <w:sz w:val="20"/>
          <w:szCs w:val="20"/>
          <w:lang w:val="en-US"/>
        </w:rPr>
        <w:t xml:space="preserve">Representative TIRF (red) and TIRF+EPI fluorescence (red/green) images of cells expressing PDGFRα-GFP and PDGFRβ-GFP biosensors. Scale bar is common for all images within a panel. </w:t>
      </w:r>
      <w:r w:rsidRPr="00AE7EDD">
        <w:rPr>
          <w:rFonts w:ascii="Times New Roman" w:hAnsi="Times New Roman" w:cs="Times New Roman"/>
          <w:b/>
          <w:bCs/>
          <w:sz w:val="20"/>
          <w:szCs w:val="20"/>
          <w:lang w:val="en-US"/>
        </w:rPr>
        <w:t xml:space="preserve">(d) </w:t>
      </w:r>
      <w:r w:rsidRPr="00AE7EDD">
        <w:rPr>
          <w:rFonts w:ascii="Times New Roman" w:hAnsi="Times New Roman" w:cs="Times New Roman"/>
          <w:sz w:val="20"/>
          <w:szCs w:val="20"/>
          <w:lang w:val="en-US"/>
        </w:rPr>
        <w:t>Quantification of TIRF/EPI fluorescence ratio, presented as mean (± SEM) for n = 13 (PDGFRα) or 11 (PDGFRβ) cells.</w:t>
      </w:r>
    </w:p>
    <w:p w14:paraId="776E0A00" w14:textId="5E4E20A0" w:rsidR="00C10784" w:rsidRDefault="00A845F2" w:rsidP="00A845F2">
      <w:pPr>
        <w:jc w:val="center"/>
      </w:pPr>
      <w:r>
        <w:rPr>
          <w:rFonts w:ascii="Times New Roman" w:hAnsi="Times New Roman" w:cs="Times New Roman"/>
          <w:noProof/>
          <w:sz w:val="24"/>
          <w:szCs w:val="24"/>
          <w:lang w:eastAsia="pl-PL"/>
        </w:rPr>
        <w:lastRenderedPageBreak/>
        <w:drawing>
          <wp:inline distT="0" distB="0" distL="0" distR="0" wp14:anchorId="354FDCE3" wp14:editId="16CDA37A">
            <wp:extent cx="5730240" cy="3741420"/>
            <wp:effectExtent l="0" t="0" r="3810" b="0"/>
            <wp:docPr id="1136025206"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5730240" cy="3741420"/>
                    </a:xfrm>
                    <a:prstGeom prst="rect">
                      <a:avLst/>
                    </a:prstGeom>
                    <a:noFill/>
                    <a:ln>
                      <a:noFill/>
                    </a:ln>
                  </pic:spPr>
                </pic:pic>
              </a:graphicData>
            </a:graphic>
          </wp:inline>
        </w:drawing>
      </w:r>
    </w:p>
    <w:p w14:paraId="0B4FB53A" w14:textId="77777777" w:rsidR="00C10784" w:rsidRPr="00AE7EDD" w:rsidRDefault="00C10784" w:rsidP="00C10784">
      <w:pPr>
        <w:spacing w:after="120" w:line="480" w:lineRule="auto"/>
        <w:jc w:val="both"/>
        <w:rPr>
          <w:rFonts w:ascii="Times New Roman" w:hAnsi="Times New Roman" w:cs="Times New Roman"/>
          <w:sz w:val="20"/>
          <w:szCs w:val="20"/>
          <w:lang w:val="en-US"/>
        </w:rPr>
      </w:pPr>
      <w:r w:rsidRPr="00AE7EDD">
        <w:rPr>
          <w:rFonts w:ascii="Times New Roman" w:hAnsi="Times New Roman" w:cs="Times New Roman"/>
          <w:b/>
          <w:bCs/>
          <w:sz w:val="20"/>
          <w:szCs w:val="20"/>
          <w:lang w:val="en-US"/>
        </w:rPr>
        <w:t>Fig. S3</w:t>
      </w:r>
      <w:r w:rsidRPr="00AE7EDD">
        <w:rPr>
          <w:rFonts w:ascii="Times New Roman" w:hAnsi="Times New Roman" w:cs="Times New Roman"/>
          <w:sz w:val="20"/>
          <w:szCs w:val="20"/>
          <w:lang w:val="en-US"/>
        </w:rPr>
        <w:t xml:space="preserve"> </w:t>
      </w:r>
      <w:r w:rsidRPr="00AE7EDD">
        <w:rPr>
          <w:rFonts w:ascii="Times New Roman" w:hAnsi="Times New Roman" w:cs="Times New Roman"/>
          <w:b/>
          <w:bCs/>
          <w:sz w:val="20"/>
          <w:szCs w:val="20"/>
          <w:lang w:val="en-US"/>
        </w:rPr>
        <w:t>Visualization of PDGF receptor α redistribution following 3 V/cm dcEF application and reversal.</w:t>
      </w:r>
      <w:r w:rsidRPr="00AE7EDD">
        <w:rPr>
          <w:rFonts w:ascii="Times New Roman" w:hAnsi="Times New Roman" w:cs="Times New Roman"/>
          <w:sz w:val="20"/>
          <w:szCs w:val="20"/>
          <w:lang w:val="en-US"/>
        </w:rPr>
        <w:t xml:space="preserve"> 3T3 fibroblasts transfected with plasmid encoding PDGFRα-GFP were observed using fluorescence microscopy before and during the application of a dcEF (3 V/cm). Initially, a 10 -minute recording captured cells under isotropic conditions </w:t>
      </w:r>
      <w:r w:rsidRPr="00AE7EDD">
        <w:rPr>
          <w:rFonts w:ascii="Times New Roman" w:hAnsi="Times New Roman" w:cs="Times New Roman"/>
          <w:b/>
          <w:bCs/>
          <w:sz w:val="20"/>
          <w:szCs w:val="20"/>
          <w:lang w:val="en-US"/>
        </w:rPr>
        <w:t>(a)</w:t>
      </w:r>
      <w:r w:rsidRPr="00AE7EDD">
        <w:rPr>
          <w:rFonts w:ascii="Times New Roman" w:hAnsi="Times New Roman" w:cs="Times New Roman"/>
          <w:sz w:val="20"/>
          <w:szCs w:val="20"/>
          <w:lang w:val="en-US"/>
        </w:rPr>
        <w:t xml:space="preserve">. Subsequently, the dcEF was applied with the cathode placed on the right side for 60 minutes </w:t>
      </w:r>
      <w:r w:rsidRPr="00AE7EDD">
        <w:rPr>
          <w:rFonts w:ascii="Times New Roman" w:hAnsi="Times New Roman" w:cs="Times New Roman"/>
          <w:b/>
          <w:bCs/>
          <w:sz w:val="20"/>
          <w:szCs w:val="20"/>
          <w:lang w:val="en-US"/>
        </w:rPr>
        <w:t>(b)</w:t>
      </w:r>
      <w:r w:rsidRPr="00AE7EDD">
        <w:rPr>
          <w:rFonts w:ascii="Times New Roman" w:hAnsi="Times New Roman" w:cs="Times New Roman"/>
          <w:sz w:val="20"/>
          <w:szCs w:val="20"/>
          <w:lang w:val="en-US"/>
        </w:rPr>
        <w:t xml:space="preserve">. Following this, the dcEF polarity was reversed by replacing the electrodes and placing the cathode on the left side </w:t>
      </w:r>
      <w:r w:rsidRPr="00AE7EDD">
        <w:rPr>
          <w:rFonts w:ascii="Times New Roman" w:hAnsi="Times New Roman" w:cs="Times New Roman"/>
          <w:b/>
          <w:bCs/>
          <w:sz w:val="20"/>
          <w:szCs w:val="20"/>
          <w:lang w:val="en-US"/>
        </w:rPr>
        <w:t>(c)</w:t>
      </w:r>
      <w:r w:rsidRPr="00AE7EDD">
        <w:rPr>
          <w:rFonts w:ascii="Times New Roman" w:hAnsi="Times New Roman" w:cs="Times New Roman"/>
          <w:sz w:val="20"/>
          <w:szCs w:val="20"/>
          <w:lang w:val="en-US"/>
        </w:rPr>
        <w:t>. The line profiles illustrate the relative distribution of fluorescence within the cell, normalized to the brightest pixel along the line. A scale bar of 50 μm is applicable to all images within the figure.</w:t>
      </w:r>
    </w:p>
    <w:p w14:paraId="1DB0DCB0" w14:textId="26EE9779" w:rsidR="00C10784" w:rsidRDefault="00A845F2" w:rsidP="00A845F2">
      <w:pPr>
        <w:jc w:val="center"/>
      </w:pPr>
      <w:r>
        <w:rPr>
          <w:rFonts w:ascii="Times New Roman" w:hAnsi="Times New Roman" w:cs="Times New Roman"/>
          <w:noProof/>
          <w:sz w:val="24"/>
          <w:szCs w:val="24"/>
          <w:lang w:eastAsia="pl-PL"/>
        </w:rPr>
        <w:lastRenderedPageBreak/>
        <w:drawing>
          <wp:inline distT="0" distB="0" distL="0" distR="0" wp14:anchorId="55F69A99" wp14:editId="0899FEB9">
            <wp:extent cx="5722620" cy="3939540"/>
            <wp:effectExtent l="0" t="0" r="0" b="3810"/>
            <wp:docPr id="908057362"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bwMode="auto">
                    <a:xfrm>
                      <a:off x="0" y="0"/>
                      <a:ext cx="5722620" cy="3939540"/>
                    </a:xfrm>
                    <a:prstGeom prst="rect">
                      <a:avLst/>
                    </a:prstGeom>
                    <a:noFill/>
                    <a:ln>
                      <a:noFill/>
                    </a:ln>
                  </pic:spPr>
                </pic:pic>
              </a:graphicData>
            </a:graphic>
          </wp:inline>
        </w:drawing>
      </w:r>
    </w:p>
    <w:p w14:paraId="6B78EF6F" w14:textId="77777777" w:rsidR="00C10784" w:rsidRPr="00AE7EDD" w:rsidRDefault="00C10784" w:rsidP="00C10784">
      <w:pPr>
        <w:spacing w:after="120" w:line="480" w:lineRule="auto"/>
        <w:jc w:val="both"/>
        <w:rPr>
          <w:rFonts w:ascii="Times New Roman" w:hAnsi="Times New Roman" w:cs="Times New Roman"/>
          <w:sz w:val="20"/>
          <w:szCs w:val="20"/>
          <w:lang w:val="en-US"/>
        </w:rPr>
      </w:pPr>
      <w:r w:rsidRPr="00AE7EDD">
        <w:rPr>
          <w:rFonts w:ascii="Times New Roman" w:hAnsi="Times New Roman" w:cs="Times New Roman"/>
          <w:b/>
          <w:bCs/>
          <w:sz w:val="20"/>
          <w:szCs w:val="20"/>
          <w:lang w:val="en-US"/>
        </w:rPr>
        <w:t>Fig. S4 Visualization of PDGF receptor β redistribution following 3 V/cm dcEF application and reversal.</w:t>
      </w:r>
      <w:r w:rsidRPr="00AE7EDD">
        <w:rPr>
          <w:rFonts w:ascii="Times New Roman" w:hAnsi="Times New Roman" w:cs="Times New Roman"/>
          <w:sz w:val="20"/>
          <w:szCs w:val="20"/>
          <w:lang w:val="en-US"/>
        </w:rPr>
        <w:t xml:space="preserve"> 3T3 fibroblasts transfected with plasmid encoding PDGFRβ-GFP were observed using fluorescence microscopy before and during the application of a dcEF (3 V/cm). Initially, a 10 -minute recording captured cells under isotropic conditions </w:t>
      </w:r>
      <w:r w:rsidRPr="00AE7EDD">
        <w:rPr>
          <w:rFonts w:ascii="Times New Roman" w:hAnsi="Times New Roman" w:cs="Times New Roman"/>
          <w:b/>
          <w:bCs/>
          <w:sz w:val="20"/>
          <w:szCs w:val="20"/>
          <w:lang w:val="en-US"/>
        </w:rPr>
        <w:t>(a)</w:t>
      </w:r>
      <w:r w:rsidRPr="00AE7EDD">
        <w:rPr>
          <w:rFonts w:ascii="Times New Roman" w:hAnsi="Times New Roman" w:cs="Times New Roman"/>
          <w:sz w:val="20"/>
          <w:szCs w:val="20"/>
          <w:lang w:val="en-US"/>
        </w:rPr>
        <w:t xml:space="preserve">. Subsequently, the dcEF was applied with the cathode placed on the right side for 60 minutes </w:t>
      </w:r>
      <w:r w:rsidRPr="00AE7EDD">
        <w:rPr>
          <w:rFonts w:ascii="Times New Roman" w:hAnsi="Times New Roman" w:cs="Times New Roman"/>
          <w:b/>
          <w:bCs/>
          <w:sz w:val="20"/>
          <w:szCs w:val="20"/>
          <w:lang w:val="en-US"/>
        </w:rPr>
        <w:t>(b)</w:t>
      </w:r>
      <w:r w:rsidRPr="00AE7EDD">
        <w:rPr>
          <w:rFonts w:ascii="Times New Roman" w:hAnsi="Times New Roman" w:cs="Times New Roman"/>
          <w:sz w:val="20"/>
          <w:szCs w:val="20"/>
          <w:lang w:val="en-US"/>
        </w:rPr>
        <w:t xml:space="preserve">. Following this, the dcEF polarity was reversed by replacing the electrodes and placing the cathode on the left side </w:t>
      </w:r>
      <w:r w:rsidRPr="00AE7EDD">
        <w:rPr>
          <w:rFonts w:ascii="Times New Roman" w:hAnsi="Times New Roman" w:cs="Times New Roman"/>
          <w:b/>
          <w:bCs/>
          <w:sz w:val="20"/>
          <w:szCs w:val="20"/>
          <w:lang w:val="en-US"/>
        </w:rPr>
        <w:t>(c)</w:t>
      </w:r>
      <w:r w:rsidRPr="00AE7EDD">
        <w:rPr>
          <w:rFonts w:ascii="Times New Roman" w:hAnsi="Times New Roman" w:cs="Times New Roman"/>
          <w:sz w:val="20"/>
          <w:szCs w:val="20"/>
          <w:lang w:val="en-US"/>
        </w:rPr>
        <w:t>. The line profiles illustrate the relative distribution of fluorescence within the cell, normalized to the brightest pixel along the line. A scale bar of 50 μm is applicable to all images within the figure.</w:t>
      </w:r>
    </w:p>
    <w:p w14:paraId="6C64C24C" w14:textId="7994EF8C" w:rsidR="00C10784" w:rsidRDefault="00A845F2" w:rsidP="00A845F2">
      <w:pPr>
        <w:jc w:val="center"/>
      </w:pPr>
      <w:r>
        <w:rPr>
          <w:b/>
          <w:bCs/>
          <w:noProof/>
        </w:rPr>
        <w:lastRenderedPageBreak/>
        <w:drawing>
          <wp:inline distT="0" distB="0" distL="0" distR="0" wp14:anchorId="32684496" wp14:editId="24451096">
            <wp:extent cx="5722620" cy="3810000"/>
            <wp:effectExtent l="0" t="0" r="0" b="0"/>
            <wp:docPr id="517444049"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hqprint">
                      <a:extLst>
                        <a:ext uri="{28A0092B-C50C-407E-A947-70E740481C1C}">
                          <a14:useLocalDpi xmlns:a14="http://schemas.microsoft.com/office/drawing/2010/main" val="0"/>
                        </a:ext>
                      </a:extLst>
                    </a:blip>
                    <a:srcRect/>
                    <a:stretch>
                      <a:fillRect/>
                    </a:stretch>
                  </pic:blipFill>
                  <pic:spPr bwMode="auto">
                    <a:xfrm>
                      <a:off x="0" y="0"/>
                      <a:ext cx="5722620" cy="3810000"/>
                    </a:xfrm>
                    <a:prstGeom prst="rect">
                      <a:avLst/>
                    </a:prstGeom>
                    <a:noFill/>
                    <a:ln>
                      <a:noFill/>
                    </a:ln>
                  </pic:spPr>
                </pic:pic>
              </a:graphicData>
            </a:graphic>
          </wp:inline>
        </w:drawing>
      </w:r>
    </w:p>
    <w:p w14:paraId="3AF30141" w14:textId="77777777" w:rsidR="00C10784" w:rsidRPr="00AE7EDD" w:rsidRDefault="00C10784" w:rsidP="00C10784">
      <w:pPr>
        <w:pStyle w:val="NormalnyWeb"/>
        <w:spacing w:before="0" w:beforeAutospacing="0" w:after="120" w:afterAutospacing="0" w:line="480" w:lineRule="auto"/>
        <w:jc w:val="both"/>
        <w:rPr>
          <w:lang w:val="en-US"/>
        </w:rPr>
      </w:pPr>
      <w:r w:rsidRPr="00AE7EDD">
        <w:rPr>
          <w:b/>
          <w:bCs/>
          <w:sz w:val="20"/>
          <w:szCs w:val="20"/>
          <w:lang w:val="en-US"/>
        </w:rPr>
        <w:t xml:space="preserve">Fig. S5 Visualization of TGFβ-R1-GFP distribution in 3T3 fibroblasts before and during the application of a dcEF (3 V/cm). </w:t>
      </w:r>
      <w:r w:rsidRPr="00AE7EDD">
        <w:rPr>
          <w:sz w:val="20"/>
          <w:szCs w:val="20"/>
          <w:lang w:val="en-US"/>
        </w:rPr>
        <w:t>Cells transfected with a plasmid encoding TGFβ-R1-GFP</w:t>
      </w:r>
      <w:r w:rsidRPr="00AE7EDD">
        <w:rPr>
          <w:b/>
          <w:bCs/>
          <w:sz w:val="20"/>
          <w:szCs w:val="20"/>
          <w:lang w:val="en-US"/>
        </w:rPr>
        <w:t xml:space="preserve"> </w:t>
      </w:r>
      <w:r w:rsidRPr="00AE7EDD">
        <w:rPr>
          <w:sz w:val="20"/>
          <w:szCs w:val="20"/>
          <w:lang w:val="en-US"/>
        </w:rPr>
        <w:t xml:space="preserve">were observed using fluorescence microscopy. Initially, a 10 -minute recording captured cells under isotropic conditions </w:t>
      </w:r>
      <w:r w:rsidRPr="00AE7EDD">
        <w:rPr>
          <w:b/>
          <w:bCs/>
          <w:sz w:val="20"/>
          <w:szCs w:val="20"/>
          <w:lang w:val="en-US"/>
        </w:rPr>
        <w:t>(a)</w:t>
      </w:r>
      <w:r w:rsidRPr="00AE7EDD">
        <w:rPr>
          <w:sz w:val="20"/>
          <w:szCs w:val="20"/>
          <w:lang w:val="en-US"/>
        </w:rPr>
        <w:t xml:space="preserve">. Subsequently, the dcEF of 3 V/cm was applied with the cathode placed on the right side for 60 minutes </w:t>
      </w:r>
      <w:r w:rsidRPr="00AE7EDD">
        <w:rPr>
          <w:b/>
          <w:bCs/>
          <w:sz w:val="20"/>
          <w:szCs w:val="20"/>
          <w:lang w:val="en-US"/>
        </w:rPr>
        <w:t>(b)</w:t>
      </w:r>
      <w:r w:rsidRPr="00AE7EDD">
        <w:rPr>
          <w:sz w:val="20"/>
          <w:szCs w:val="20"/>
          <w:lang w:val="en-US"/>
        </w:rPr>
        <w:t xml:space="preserve">. Following this, the dcEF polarity was reversed by replacing the electrodes and placing the cathode on the left </w:t>
      </w:r>
      <w:r w:rsidRPr="00AE7EDD">
        <w:rPr>
          <w:b/>
          <w:bCs/>
          <w:sz w:val="20"/>
          <w:szCs w:val="20"/>
          <w:lang w:val="en-US"/>
        </w:rPr>
        <w:t>(c)</w:t>
      </w:r>
      <w:r w:rsidRPr="00AE7EDD">
        <w:rPr>
          <w:sz w:val="20"/>
          <w:szCs w:val="20"/>
          <w:lang w:val="en-US"/>
        </w:rPr>
        <w:t>. The line profiles illustrate the relative distribution of fluorescence within the cell, normalized to the brightest pixel along the line. In order to minimize noise level, measured signal was averaged from five adjacent parallel lines, each of 1 px. thickness. A scale bar of 50 μm is applicable to all images within the figure.</w:t>
      </w:r>
    </w:p>
    <w:p w14:paraId="70BC4459" w14:textId="61B6D6C0" w:rsidR="00A845F2" w:rsidRDefault="00A845F2">
      <w:r>
        <w:br w:type="page"/>
      </w:r>
    </w:p>
    <w:p w14:paraId="0713D0DD" w14:textId="71A15553" w:rsidR="00C10784" w:rsidRDefault="00A845F2" w:rsidP="00A845F2">
      <w:pPr>
        <w:jc w:val="center"/>
      </w:pPr>
      <w:r>
        <w:rPr>
          <w:rFonts w:ascii="Times New Roman" w:hAnsi="Times New Roman" w:cs="Times New Roman"/>
          <w:noProof/>
          <w:sz w:val="24"/>
          <w:szCs w:val="24"/>
          <w:lang w:eastAsia="pl-PL"/>
        </w:rPr>
        <w:lastRenderedPageBreak/>
        <w:drawing>
          <wp:inline distT="0" distB="0" distL="0" distR="0" wp14:anchorId="7132D3E9" wp14:editId="698B68EC">
            <wp:extent cx="5722620" cy="2095500"/>
            <wp:effectExtent l="0" t="0" r="0" b="0"/>
            <wp:docPr id="1263843926"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bwMode="auto">
                    <a:xfrm>
                      <a:off x="0" y="0"/>
                      <a:ext cx="5722620" cy="2095500"/>
                    </a:xfrm>
                    <a:prstGeom prst="rect">
                      <a:avLst/>
                    </a:prstGeom>
                    <a:noFill/>
                    <a:ln>
                      <a:noFill/>
                    </a:ln>
                  </pic:spPr>
                </pic:pic>
              </a:graphicData>
            </a:graphic>
          </wp:inline>
        </w:drawing>
      </w:r>
    </w:p>
    <w:p w14:paraId="634D7FD2" w14:textId="15820D23" w:rsidR="00C10784" w:rsidRPr="00AE7EDD" w:rsidRDefault="00C10784" w:rsidP="00C10784">
      <w:pPr>
        <w:spacing w:before="120" w:after="120" w:line="480" w:lineRule="auto"/>
        <w:jc w:val="both"/>
        <w:rPr>
          <w:rFonts w:ascii="Times New Roman" w:hAnsi="Times New Roman" w:cs="Times New Roman"/>
          <w:sz w:val="24"/>
          <w:szCs w:val="24"/>
          <w:lang w:val="en-US"/>
        </w:rPr>
      </w:pPr>
      <w:r w:rsidRPr="00AE7EDD">
        <w:rPr>
          <w:rFonts w:ascii="Times New Roman" w:hAnsi="Times New Roman" w:cs="Times New Roman"/>
          <w:b/>
          <w:bCs/>
          <w:sz w:val="20"/>
          <w:szCs w:val="20"/>
          <w:lang w:val="en-US"/>
        </w:rPr>
        <w:t xml:space="preserve">Fig. S6 The influence of EGF (5 ng/ml) on the redistribution of EGFR-GFP, long term electrotaxis of 3T3 fibroblasts (a) </w:t>
      </w:r>
      <w:r w:rsidRPr="00AE7EDD">
        <w:rPr>
          <w:rFonts w:ascii="Times New Roman" w:hAnsi="Times New Roman" w:cs="Times New Roman"/>
          <w:sz w:val="20"/>
          <w:szCs w:val="20"/>
          <w:lang w:val="en-US"/>
        </w:rPr>
        <w:t xml:space="preserve">- redistribution of the EGFR-GFP in the presence of EGF (5 ng/ml) after the application of dcEF (3 V/cm) at the 0-minute time point, with the cathode placed on the right side of the field of view. </w:t>
      </w:r>
      <w:r w:rsidR="000D2A6B">
        <w:rPr>
          <w:rFonts w:ascii="Times New Roman" w:hAnsi="Times New Roman" w:cs="Times New Roman"/>
          <w:sz w:val="20"/>
          <w:szCs w:val="20"/>
          <w:lang w:val="en-US"/>
        </w:rPr>
        <w:br/>
      </w:r>
      <w:r w:rsidRPr="00AE7EDD">
        <w:rPr>
          <w:rFonts w:ascii="Times New Roman" w:hAnsi="Times New Roman" w:cs="Times New Roman"/>
          <w:b/>
          <w:bCs/>
          <w:sz w:val="20"/>
          <w:szCs w:val="20"/>
          <w:lang w:val="en-US"/>
        </w:rPr>
        <w:t>(b)</w:t>
      </w:r>
      <w:r w:rsidRPr="00AE7EDD">
        <w:rPr>
          <w:rFonts w:ascii="Times New Roman" w:hAnsi="Times New Roman" w:cs="Times New Roman"/>
          <w:sz w:val="20"/>
          <w:szCs w:val="20"/>
          <w:lang w:val="en-US"/>
        </w:rPr>
        <w:t xml:space="preserve"> - redistribution of the EGFR-GFP in the presence of EGF (5 ng/ml) following the reversal of the dcEF (3 V/cm) polarity at the 0-minute time point. The graphs </w:t>
      </w:r>
      <w:r w:rsidRPr="00AE7EDD">
        <w:rPr>
          <w:rFonts w:ascii="Times New Roman" w:hAnsi="Times New Roman" w:cs="Times New Roman"/>
          <w:b/>
          <w:bCs/>
          <w:sz w:val="20"/>
          <w:szCs w:val="20"/>
          <w:lang w:val="en-US"/>
        </w:rPr>
        <w:t>(a, b)</w:t>
      </w:r>
      <w:r w:rsidRPr="00AE7EDD">
        <w:rPr>
          <w:rFonts w:ascii="Times New Roman" w:hAnsi="Times New Roman" w:cs="Times New Roman"/>
          <w:sz w:val="20"/>
          <w:szCs w:val="20"/>
          <w:lang w:val="en-US"/>
        </w:rPr>
        <w:t xml:space="preserve"> were constructed as previously (Fig. 11), and represent average values (± SEM) for n = 5 cells; </w:t>
      </w:r>
      <w:r w:rsidRPr="00AE7EDD">
        <w:rPr>
          <w:rFonts w:ascii="Times New Roman" w:hAnsi="Times New Roman" w:cs="Times New Roman"/>
          <w:b/>
          <w:bCs/>
          <w:sz w:val="20"/>
          <w:szCs w:val="20"/>
          <w:lang w:val="en-US"/>
        </w:rPr>
        <w:t>(c)</w:t>
      </w:r>
      <w:r w:rsidRPr="00AE7EDD">
        <w:rPr>
          <w:rFonts w:ascii="Times New Roman" w:hAnsi="Times New Roman" w:cs="Times New Roman"/>
          <w:sz w:val="20"/>
          <w:szCs w:val="20"/>
          <w:lang w:val="en-US"/>
        </w:rPr>
        <w:t xml:space="preserve"> - Circular diagram showing composite trajectories of individual cell migration (n = 50 cells) under a dcEF of 3 V/cm in serum-free medium supplemented with EGF (5 ng/ml). The initial point of each trajectory (constructed from the subsequent 36 cell centroid positions, recorded at 5-minute intervals) was set at the beginning of the coordinate system. The cathode of the dcEF is located on the right side of the diagram. The scale is in μm.</w:t>
      </w:r>
    </w:p>
    <w:p w14:paraId="72393EB9" w14:textId="77777777" w:rsidR="00C10784" w:rsidRDefault="00C10784"/>
    <w:sectPr w:rsidR="00C1078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346BD" w14:textId="77777777" w:rsidR="00F66059" w:rsidRDefault="00F66059" w:rsidP="002C4FDB">
      <w:pPr>
        <w:spacing w:after="0" w:line="240" w:lineRule="auto"/>
      </w:pPr>
      <w:r>
        <w:separator/>
      </w:r>
    </w:p>
  </w:endnote>
  <w:endnote w:type="continuationSeparator" w:id="0">
    <w:p w14:paraId="596B42DF" w14:textId="77777777" w:rsidR="00F66059" w:rsidRDefault="00F66059" w:rsidP="002C4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7CA24" w14:textId="77777777" w:rsidR="00F66059" w:rsidRDefault="00F66059" w:rsidP="002C4FDB">
      <w:pPr>
        <w:spacing w:after="0" w:line="240" w:lineRule="auto"/>
      </w:pPr>
      <w:r>
        <w:separator/>
      </w:r>
    </w:p>
  </w:footnote>
  <w:footnote w:type="continuationSeparator" w:id="0">
    <w:p w14:paraId="46A9DE62" w14:textId="77777777" w:rsidR="00F66059" w:rsidRDefault="00F66059" w:rsidP="002C4F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831"/>
    <w:rsid w:val="000D2A6B"/>
    <w:rsid w:val="002C4FDB"/>
    <w:rsid w:val="00375DB4"/>
    <w:rsid w:val="004733D7"/>
    <w:rsid w:val="00476831"/>
    <w:rsid w:val="00513F03"/>
    <w:rsid w:val="006A188D"/>
    <w:rsid w:val="00800096"/>
    <w:rsid w:val="008354FC"/>
    <w:rsid w:val="0092513E"/>
    <w:rsid w:val="00951927"/>
    <w:rsid w:val="00A845F2"/>
    <w:rsid w:val="00AE7D7A"/>
    <w:rsid w:val="00B12557"/>
    <w:rsid w:val="00C10784"/>
    <w:rsid w:val="00C1668D"/>
    <w:rsid w:val="00F6605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AC8908"/>
  <w14:defaultImageDpi w14:val="330"/>
  <w15:chartTrackingRefBased/>
  <w15:docId w15:val="{EFED5FD2-B21E-47CD-B975-BC4C438BD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C10784"/>
    <w:pPr>
      <w:spacing w:before="100" w:beforeAutospacing="1" w:after="100" w:afterAutospacing="1" w:line="240" w:lineRule="auto"/>
    </w:pPr>
    <w:rPr>
      <w:rFonts w:ascii="Times New Roman" w:eastAsia="Times New Roman" w:hAnsi="Times New Roman" w:cs="Times New Roman"/>
      <w:sz w:val="24"/>
      <w:szCs w:val="24"/>
      <w:lang w:val="pl-PL" w:eastAsia="pl-PL"/>
    </w:rPr>
  </w:style>
  <w:style w:type="paragraph" w:styleId="Nagwek">
    <w:name w:val="header"/>
    <w:basedOn w:val="Normalny"/>
    <w:link w:val="NagwekZnak"/>
    <w:uiPriority w:val="99"/>
    <w:unhideWhenUsed/>
    <w:rsid w:val="002C4FD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C4FDB"/>
  </w:style>
  <w:style w:type="paragraph" w:styleId="Stopka">
    <w:name w:val="footer"/>
    <w:basedOn w:val="Normalny"/>
    <w:link w:val="StopkaZnak"/>
    <w:uiPriority w:val="99"/>
    <w:unhideWhenUsed/>
    <w:rsid w:val="002C4FD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C4F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tiff"/><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image" Target="media/image6.tiff"/><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image" Target="media/image5.tiff"/><Relationship Id="rId4" Type="http://schemas.openxmlformats.org/officeDocument/2006/relationships/footnotes" Target="footnotes.xml"/><Relationship Id="rId9" Type="http://schemas.openxmlformats.org/officeDocument/2006/relationships/image" Target="media/image4.tiff"/><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C32358BBC6A54783924BFDE8D01310" ma:contentTypeVersion="16" ma:contentTypeDescription="Create a new document." ma:contentTypeScope="" ma:versionID="07bc696cb06d58ea9dfec030a3cb18f5">
  <xsd:schema xmlns:xsd="http://www.w3.org/2001/XMLSchema" xmlns:xs="http://www.w3.org/2001/XMLSchema" xmlns:p="http://schemas.microsoft.com/office/2006/metadata/properties" xmlns:ns2="2afb718e-e481-4740-8c83-c962c2ae7a47" xmlns:ns3="f0c92a45-72c8-44ed-aaa3-c8a9987dc276" targetNamespace="http://schemas.microsoft.com/office/2006/metadata/properties" ma:root="true" ma:fieldsID="c5eed9092d50947df28d044ae2e1b7e6" ns2:_="" ns3:_="">
    <xsd:import namespace="2afb718e-e481-4740-8c83-c962c2ae7a47"/>
    <xsd:import namespace="f0c92a45-72c8-44ed-aaa3-c8a9987dc27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fb718e-e481-4740-8c83-c962c2ae7a4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40206d38-80b7-4fda-b169-763e61a9c543}" ma:internalName="TaxCatchAll" ma:showField="CatchAllData" ma:web="2afb718e-e481-4740-8c83-c962c2ae7a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c92a45-72c8-44ed-aaa3-c8a9987dc27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e3e60b7-7e0f-4d14-858b-c8d7d769770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afb718e-e481-4740-8c83-c962c2ae7a47" xsi:nil="true"/>
    <lcf76f155ced4ddcb4097134ff3c332f xmlns="f0c92a45-72c8-44ed-aaa3-c8a9987dc27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7BE9470-593D-45A9-9604-24DEA8B81A5B}"/>
</file>

<file path=customXml/itemProps2.xml><?xml version="1.0" encoding="utf-8"?>
<ds:datastoreItem xmlns:ds="http://schemas.openxmlformats.org/officeDocument/2006/customXml" ds:itemID="{FB5345C2-0CC4-4FDB-828D-2C923F9D1999}"/>
</file>

<file path=customXml/itemProps3.xml><?xml version="1.0" encoding="utf-8"?>
<ds:datastoreItem xmlns:ds="http://schemas.openxmlformats.org/officeDocument/2006/customXml" ds:itemID="{FEE209EE-CEDC-4A61-BCC7-3891057379CF}"/>
</file>

<file path=docProps/app.xml><?xml version="1.0" encoding="utf-8"?>
<Properties xmlns="http://schemas.openxmlformats.org/officeDocument/2006/extended-properties" xmlns:vt="http://schemas.openxmlformats.org/officeDocument/2006/docPropsVTypes">
  <Template>Normal</Template>
  <TotalTime>7</TotalTime>
  <Pages>8</Pages>
  <Words>1345</Words>
  <Characters>8072</Characters>
  <Application>Microsoft Office Word</Application>
  <DocSecurity>0</DocSecurity>
  <Lines>67</Lines>
  <Paragraphs>18</Paragraphs>
  <ScaleCrop>false</ScaleCrop>
  <Company/>
  <LinksUpToDate>false</LinksUpToDate>
  <CharactersWithSpaces>9399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Manikandan Narayanasamy (Integra)</dc:creator>
  <cp:keywords/>
  <dc:description/>
  <cp:lastModifiedBy>Sławomir Lasota</cp:lastModifiedBy>
  <cp:revision>9</cp:revision>
  <dcterms:created xsi:type="dcterms:W3CDTF">2025-04-04T14:09:00Z</dcterms:created>
  <dcterms:modified xsi:type="dcterms:W3CDTF">2025-04-04T14:21:00Z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0x010100F5C32358BBC6A54783924BFDE8D01310</vt:lpwstr>
  </property>
</Properties>
</file>