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56AE2E" w14:textId="77777777" w:rsidR="00744400" w:rsidRDefault="00744400" w:rsidP="00744400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9A0FB1">
        <w:rPr>
          <w:rFonts w:ascii="Times New Roman" w:hAnsi="Times New Roman" w:cs="Times New Roman" w:hint="eastAsia"/>
          <w:b/>
          <w:sz w:val="24"/>
          <w:szCs w:val="24"/>
        </w:rPr>
        <w:t xml:space="preserve">Supplementary Figure 1 MVs were internalized by </w:t>
      </w:r>
      <w:proofErr w:type="spellStart"/>
      <w:r w:rsidRPr="009A0FB1">
        <w:rPr>
          <w:rFonts w:ascii="Times New Roman" w:hAnsi="Times New Roman" w:cs="Times New Roman"/>
          <w:b/>
          <w:sz w:val="24"/>
          <w:szCs w:val="24"/>
        </w:rPr>
        <w:t>hCMEC</w:t>
      </w:r>
      <w:proofErr w:type="spellEnd"/>
      <w:r w:rsidRPr="009A0FB1">
        <w:rPr>
          <w:rFonts w:ascii="Times New Roman" w:hAnsi="Times New Roman" w:cs="Times New Roman"/>
          <w:b/>
          <w:sz w:val="24"/>
          <w:szCs w:val="24"/>
        </w:rPr>
        <w:t>/D3 cells</w:t>
      </w:r>
      <w:r w:rsidRPr="009A0FB1">
        <w:rPr>
          <w:rFonts w:ascii="Times New Roman" w:hAnsi="Times New Roman" w:cs="Times New Roman" w:hint="eastAsia"/>
          <w:b/>
          <w:sz w:val="24"/>
          <w:szCs w:val="24"/>
        </w:rPr>
        <w:t xml:space="preserve"> </w:t>
      </w:r>
      <w:r w:rsidRPr="009A0FB1">
        <w:rPr>
          <w:rFonts w:ascii="Times New Roman" w:hAnsi="Times New Roman" w:cs="Times New Roman"/>
          <w:b/>
          <w:sz w:val="24"/>
          <w:szCs w:val="24"/>
        </w:rPr>
        <w:t xml:space="preserve">and </w:t>
      </w:r>
      <w:r>
        <w:rPr>
          <w:rFonts w:ascii="Times New Roman" w:hAnsi="Times New Roman" w:cs="Times New Roman"/>
          <w:b/>
          <w:sz w:val="24"/>
          <w:szCs w:val="24"/>
        </w:rPr>
        <w:t>HeLa</w:t>
      </w:r>
      <w:r w:rsidRPr="009A0FB1">
        <w:rPr>
          <w:rFonts w:ascii="Times New Roman" w:hAnsi="Times New Roman" w:cs="Times New Roman"/>
          <w:b/>
          <w:sz w:val="24"/>
          <w:szCs w:val="24"/>
        </w:rPr>
        <w:t xml:space="preserve"> cells</w:t>
      </w:r>
      <w:r w:rsidRPr="009A0FB1">
        <w:rPr>
          <w:rFonts w:ascii="Times New Roman" w:hAnsi="Times New Roman" w:cs="Times New Roman" w:hint="eastAsia"/>
          <w:b/>
          <w:sz w:val="24"/>
          <w:szCs w:val="24"/>
        </w:rPr>
        <w:t>.</w:t>
      </w:r>
      <w:r w:rsidRPr="0040626C">
        <w:rPr>
          <w:rFonts w:ascii="Times New Roman" w:hAnsi="Times New Roman" w:cs="Times New Roman" w:hint="eastAsia"/>
          <w:b/>
          <w:sz w:val="24"/>
          <w:szCs w:val="24"/>
        </w:rPr>
        <w:t xml:space="preserve"> </w:t>
      </w:r>
      <w:r w:rsidRPr="009A0FB1">
        <w:rPr>
          <w:rFonts w:ascii="Times New Roman" w:hAnsi="Times New Roman" w:cs="Times New Roman" w:hint="eastAsia"/>
          <w:b/>
          <w:sz w:val="24"/>
          <w:szCs w:val="24"/>
        </w:rPr>
        <w:t>(A and B)</w:t>
      </w:r>
      <w:r w:rsidRPr="009A0FB1">
        <w:rPr>
          <w:rFonts w:ascii="Times New Roman" w:hAnsi="Times New Roman" w:cs="Times New Roman" w:hint="eastAsia"/>
          <w:bCs/>
          <w:sz w:val="24"/>
          <w:szCs w:val="24"/>
        </w:rPr>
        <w:t xml:space="preserve"> The </w:t>
      </w:r>
      <w:r w:rsidRPr="009A0FB1">
        <w:rPr>
          <w:rFonts w:ascii="Times New Roman" w:hAnsi="Times New Roman" w:cs="Times New Roman"/>
          <w:bCs/>
          <w:sz w:val="24"/>
          <w:szCs w:val="24"/>
        </w:rPr>
        <w:t>MVs</w:t>
      </w:r>
      <w:r w:rsidRPr="009A0FB1">
        <w:rPr>
          <w:rFonts w:ascii="Times New Roman" w:hAnsi="Times New Roman" w:cs="Times New Roman" w:hint="eastAsia"/>
          <w:bCs/>
          <w:sz w:val="24"/>
          <w:szCs w:val="24"/>
        </w:rPr>
        <w:t xml:space="preserve"> isolated from </w:t>
      </w:r>
      <w:r>
        <w:rPr>
          <w:rFonts w:ascii="Times New Roman" w:hAnsi="Times New Roman" w:cs="Times New Roman" w:hint="eastAsia"/>
          <w:bCs/>
          <w:sz w:val="24"/>
          <w:szCs w:val="24"/>
        </w:rPr>
        <w:t>HeLa</w:t>
      </w:r>
      <w:r w:rsidRPr="009A0FB1">
        <w:rPr>
          <w:rFonts w:ascii="Times New Roman" w:hAnsi="Times New Roman" w:cs="Times New Roman" w:hint="eastAsia"/>
          <w:bCs/>
          <w:sz w:val="24"/>
          <w:szCs w:val="24"/>
        </w:rPr>
        <w:t xml:space="preserve"> cells were labeled with </w:t>
      </w:r>
      <w:proofErr w:type="spellStart"/>
      <w:r w:rsidRPr="009A0FB1">
        <w:rPr>
          <w:rFonts w:ascii="Times New Roman" w:hAnsi="Times New Roman" w:cs="Times New Roman" w:hint="eastAsia"/>
          <w:bCs/>
          <w:sz w:val="24"/>
          <w:szCs w:val="24"/>
        </w:rPr>
        <w:t>DiI</w:t>
      </w:r>
      <w:proofErr w:type="spellEnd"/>
      <w:r w:rsidRPr="009A0FB1">
        <w:rPr>
          <w:rFonts w:ascii="Times New Roman" w:hAnsi="Times New Roman" w:cs="Times New Roman" w:hint="eastAsia"/>
          <w:bCs/>
          <w:sz w:val="24"/>
          <w:szCs w:val="24"/>
        </w:rPr>
        <w:t xml:space="preserve"> (red) and</w:t>
      </w:r>
      <w:r w:rsidRPr="009A0FB1">
        <w:rPr>
          <w:rFonts w:ascii="Times New Roman" w:hAnsi="Times New Roman" w:cs="Times New Roman"/>
          <w:bCs/>
          <w:sz w:val="24"/>
          <w:szCs w:val="24"/>
        </w:rPr>
        <w:t xml:space="preserve"> subsequently incubated with both </w:t>
      </w:r>
      <w:bookmarkStart w:id="0" w:name="OLE_LINK22"/>
      <w:proofErr w:type="spellStart"/>
      <w:r w:rsidRPr="009A0FB1">
        <w:rPr>
          <w:rFonts w:ascii="Times New Roman" w:hAnsi="Times New Roman" w:cs="Times New Roman"/>
          <w:bCs/>
          <w:sz w:val="24"/>
          <w:szCs w:val="24"/>
        </w:rPr>
        <w:t>hCMEC</w:t>
      </w:r>
      <w:proofErr w:type="spellEnd"/>
      <w:r w:rsidRPr="009A0FB1">
        <w:rPr>
          <w:rFonts w:ascii="Times New Roman" w:hAnsi="Times New Roman" w:cs="Times New Roman"/>
          <w:bCs/>
          <w:sz w:val="24"/>
          <w:szCs w:val="24"/>
        </w:rPr>
        <w:t>/D3 cells</w:t>
      </w:r>
      <w:r w:rsidRPr="009A0FB1"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  <w:r w:rsidRPr="009A0FB1">
        <w:rPr>
          <w:rFonts w:ascii="Times New Roman" w:hAnsi="Times New Roman" w:cs="Times New Roman"/>
          <w:bCs/>
          <w:sz w:val="24"/>
          <w:szCs w:val="24"/>
        </w:rPr>
        <w:t xml:space="preserve">and </w:t>
      </w:r>
      <w:r>
        <w:rPr>
          <w:rFonts w:ascii="Times New Roman" w:hAnsi="Times New Roman" w:cs="Times New Roman"/>
          <w:bCs/>
          <w:sz w:val="24"/>
          <w:szCs w:val="24"/>
        </w:rPr>
        <w:t>HeLa</w:t>
      </w:r>
      <w:r w:rsidRPr="009A0FB1">
        <w:rPr>
          <w:rFonts w:ascii="Times New Roman" w:hAnsi="Times New Roman" w:cs="Times New Roman"/>
          <w:bCs/>
          <w:sz w:val="24"/>
          <w:szCs w:val="24"/>
        </w:rPr>
        <w:t xml:space="preserve"> cells </w:t>
      </w:r>
      <w:bookmarkEnd w:id="0"/>
      <w:r w:rsidRPr="009A0FB1">
        <w:rPr>
          <w:rFonts w:ascii="Times New Roman" w:hAnsi="Times New Roman" w:cs="Times New Roman" w:hint="eastAsia"/>
          <w:bCs/>
          <w:sz w:val="24"/>
          <w:szCs w:val="24"/>
        </w:rPr>
        <w:t xml:space="preserve">for 12 h. The images were analyzed by </w:t>
      </w:r>
      <w:r w:rsidRPr="009A0FB1">
        <w:rPr>
          <w:rFonts w:ascii="Times New Roman" w:hAnsi="Times New Roman" w:cs="Times New Roman"/>
          <w:color w:val="000000"/>
          <w:sz w:val="24"/>
          <w:szCs w:val="24"/>
        </w:rPr>
        <w:t>c</w:t>
      </w:r>
      <w:r w:rsidRPr="009A0FB1">
        <w:rPr>
          <w:rFonts w:ascii="Times New Roman" w:hAnsi="Times New Roman" w:cs="Times New Roman"/>
          <w:bCs/>
          <w:color w:val="000000"/>
          <w:sz w:val="24"/>
          <w:szCs w:val="24"/>
        </w:rPr>
        <w:t>onfocal microscopy</w:t>
      </w:r>
      <w:r w:rsidRPr="009A0FB1">
        <w:rPr>
          <w:rFonts w:ascii="Times New Roman" w:hAnsi="Times New Roman" w:cs="Times New Roman" w:hint="eastAsia"/>
          <w:bCs/>
          <w:color w:val="000000"/>
          <w:sz w:val="24"/>
          <w:szCs w:val="24"/>
        </w:rPr>
        <w:t xml:space="preserve"> (scale bar,</w:t>
      </w:r>
      <w:r w:rsidRPr="009A0FB1"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  <w:r w:rsidRPr="009A0FB1">
        <w:rPr>
          <w:rFonts w:ascii="Times New Roman" w:hAnsi="Times New Roman" w:cs="Times New Roman"/>
          <w:bCs/>
          <w:sz w:val="24"/>
          <w:szCs w:val="24"/>
        </w:rPr>
        <w:t xml:space="preserve">10 </w:t>
      </w:r>
      <w:proofErr w:type="spellStart"/>
      <w:r w:rsidRPr="009A0FB1">
        <w:rPr>
          <w:rFonts w:ascii="Times New Roman" w:hAnsi="Times New Roman" w:cs="Times New Roman"/>
          <w:bCs/>
          <w:sz w:val="24"/>
          <w:szCs w:val="24"/>
        </w:rPr>
        <w:t>μm</w:t>
      </w:r>
      <w:proofErr w:type="spellEnd"/>
      <w:r w:rsidRPr="009A0FB1">
        <w:rPr>
          <w:rFonts w:ascii="Times New Roman" w:hAnsi="Times New Roman" w:cs="Times New Roman" w:hint="eastAsia"/>
          <w:bCs/>
          <w:sz w:val="24"/>
          <w:szCs w:val="24"/>
        </w:rPr>
        <w:t>).</w:t>
      </w:r>
    </w:p>
    <w:p w14:paraId="6164FA8B" w14:textId="77777777" w:rsidR="00744400" w:rsidRDefault="00744400" w:rsidP="00744400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</w:p>
    <w:p w14:paraId="79EC8C8C" w14:textId="77777777" w:rsidR="00744400" w:rsidRDefault="00744400" w:rsidP="00744400">
      <w:pPr>
        <w:spacing w:line="480" w:lineRule="auto"/>
        <w:rPr>
          <w:rFonts w:ascii="Times New Roman" w:hAnsi="Times New Roman" w:cs="Times New Roman"/>
          <w:sz w:val="24"/>
          <w:szCs w:val="28"/>
        </w:rPr>
      </w:pPr>
      <w:r w:rsidRPr="009A0FB1">
        <w:rPr>
          <w:rFonts w:ascii="Times New Roman" w:hAnsi="Times New Roman" w:cs="Times New Roman" w:hint="eastAsia"/>
          <w:b/>
          <w:sz w:val="24"/>
          <w:szCs w:val="24"/>
        </w:rPr>
        <w:t xml:space="preserve">Supplementary Figure 2 MVs </w:t>
      </w:r>
      <w:r w:rsidRPr="009A0FB1">
        <w:rPr>
          <w:rFonts w:ascii="Times New Roman" w:hAnsi="Times New Roman" w:cs="Times New Roman" w:hint="eastAsia"/>
          <w:b/>
          <w:bCs/>
          <w:sz w:val="24"/>
          <w:szCs w:val="24"/>
        </w:rPr>
        <w:t>isolated</w:t>
      </w:r>
      <w:r w:rsidRPr="009A0FB1">
        <w:rPr>
          <w:rFonts w:ascii="Times New Roman" w:hAnsi="Times New Roman" w:cs="Times New Roman"/>
          <w:b/>
          <w:bCs/>
          <w:sz w:val="24"/>
          <w:szCs w:val="24"/>
        </w:rPr>
        <w:t xml:space="preserve"> from EV71-treated </w:t>
      </w:r>
      <w:r>
        <w:rPr>
          <w:rFonts w:ascii="Times New Roman" w:hAnsi="Times New Roman" w:cs="Times New Roman"/>
          <w:b/>
          <w:bCs/>
          <w:sz w:val="24"/>
          <w:szCs w:val="24"/>
        </w:rPr>
        <w:t>HeLa</w:t>
      </w:r>
      <w:r w:rsidRPr="009A0FB1">
        <w:rPr>
          <w:rFonts w:ascii="Times New Roman" w:hAnsi="Times New Roman" w:cs="Times New Roman"/>
          <w:b/>
          <w:bCs/>
          <w:sz w:val="24"/>
          <w:szCs w:val="24"/>
        </w:rPr>
        <w:t xml:space="preserve"> cells contained </w:t>
      </w:r>
      <w:r w:rsidRPr="009A0FB1">
        <w:rPr>
          <w:rFonts w:ascii="Times New Roman" w:eastAsia="Arial Unicode MS" w:hAnsi="Times New Roman" w:cs="Times New Roman" w:hint="eastAsia"/>
          <w:b/>
          <w:bCs/>
          <w:sz w:val="24"/>
          <w:szCs w:val="24"/>
        </w:rPr>
        <w:t>damaged</w:t>
      </w:r>
      <w:r w:rsidRPr="009A0FB1">
        <w:rPr>
          <w:rFonts w:ascii="Times New Roman" w:hAnsi="Times New Roman" w:cs="Times New Roman"/>
          <w:b/>
          <w:bCs/>
          <w:sz w:val="24"/>
          <w:szCs w:val="24"/>
        </w:rPr>
        <w:t xml:space="preserve"> mitochondria.</w:t>
      </w:r>
      <w:r w:rsidRPr="009A0FB1">
        <w:rPr>
          <w:rFonts w:ascii="Times New Roman" w:hAnsi="Times New Roman" w:cs="Times New Roman" w:hint="eastAsia"/>
          <w:b/>
          <w:sz w:val="24"/>
          <w:szCs w:val="24"/>
        </w:rPr>
        <w:t xml:space="preserve"> (A)</w:t>
      </w:r>
      <w:r w:rsidRPr="009A0FB1">
        <w:rPr>
          <w:rFonts w:ascii="Times New Roman" w:hAnsi="Times New Roman" w:cs="Times New Roman"/>
          <w:sz w:val="24"/>
          <w:szCs w:val="24"/>
        </w:rPr>
        <w:t xml:space="preserve">The transmission electron microscopy was used to capture the images of MVsEV71 </w:t>
      </w:r>
      <w:r w:rsidRPr="009A0FB1">
        <w:rPr>
          <w:rFonts w:ascii="Times New Roman" w:hAnsi="Times New Roman" w:cs="Times New Roman" w:hint="eastAsia"/>
          <w:sz w:val="24"/>
          <w:szCs w:val="24"/>
        </w:rPr>
        <w:t>(s</w:t>
      </w:r>
      <w:r w:rsidRPr="009A0FB1">
        <w:rPr>
          <w:rFonts w:ascii="Times New Roman" w:hAnsi="Times New Roman" w:cs="Times New Roman"/>
          <w:sz w:val="24"/>
          <w:szCs w:val="24"/>
        </w:rPr>
        <w:t xml:space="preserve">cale bar, </w:t>
      </w:r>
      <w:r w:rsidRPr="009A0FB1">
        <w:rPr>
          <w:rFonts w:ascii="Times New Roman" w:hAnsi="Times New Roman" w:cs="Times New Roman" w:hint="eastAsia"/>
          <w:sz w:val="24"/>
          <w:szCs w:val="24"/>
        </w:rPr>
        <w:t>5</w:t>
      </w:r>
      <w:r w:rsidRPr="009A0FB1">
        <w:rPr>
          <w:rFonts w:ascii="Times New Roman" w:hAnsi="Times New Roman" w:cs="Times New Roman"/>
          <w:sz w:val="24"/>
          <w:szCs w:val="24"/>
        </w:rPr>
        <w:t>00 nm</w:t>
      </w:r>
      <w:r w:rsidRPr="009A0FB1">
        <w:rPr>
          <w:rFonts w:ascii="Times New Roman" w:hAnsi="Times New Roman" w:cs="Times New Roman" w:hint="eastAsia"/>
          <w:sz w:val="24"/>
          <w:szCs w:val="24"/>
        </w:rPr>
        <w:t>)</w:t>
      </w:r>
      <w:r w:rsidRPr="009A0FB1">
        <w:rPr>
          <w:rFonts w:ascii="Times New Roman" w:hAnsi="Times New Roman" w:cs="Times New Roman"/>
          <w:sz w:val="24"/>
          <w:szCs w:val="24"/>
        </w:rPr>
        <w:t>.</w:t>
      </w:r>
      <w:r w:rsidRPr="009A0FB1">
        <w:rPr>
          <w:rFonts w:ascii="Times New Roman" w:hAnsi="Times New Roman" w:cs="Times New Roman" w:hint="eastAsia"/>
          <w:sz w:val="24"/>
          <w:szCs w:val="24"/>
        </w:rPr>
        <w:t xml:space="preserve"> Arrow,</w:t>
      </w:r>
      <w:r w:rsidRPr="009A0FB1">
        <w:rPr>
          <w:rFonts w:ascii="Times New Roman" w:hAnsi="Times New Roman" w:cs="Times New Roman" w:hint="eastAsia"/>
          <w:b/>
          <w:sz w:val="24"/>
          <w:szCs w:val="24"/>
        </w:rPr>
        <w:t xml:space="preserve"> </w:t>
      </w:r>
      <w:r w:rsidRPr="009A0FB1">
        <w:rPr>
          <w:rFonts w:ascii="Times New Roman" w:hAnsi="Times New Roman" w:cs="Times New Roman" w:hint="eastAsia"/>
          <w:sz w:val="24"/>
          <w:szCs w:val="28"/>
        </w:rPr>
        <w:t>mitochondrial crest.</w:t>
      </w:r>
    </w:p>
    <w:p w14:paraId="02D8BFD7" w14:textId="77777777" w:rsidR="00744400" w:rsidRDefault="00744400" w:rsidP="00744400">
      <w:pPr>
        <w:spacing w:line="480" w:lineRule="auto"/>
        <w:rPr>
          <w:rFonts w:ascii="Times New Roman" w:hAnsi="Times New Roman" w:cs="Times New Roman"/>
          <w:sz w:val="24"/>
          <w:szCs w:val="28"/>
        </w:rPr>
      </w:pPr>
    </w:p>
    <w:p w14:paraId="50443AA6" w14:textId="77777777" w:rsidR="00744400" w:rsidRDefault="00744400" w:rsidP="007444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A0FB1">
        <w:rPr>
          <w:rFonts w:ascii="Times New Roman" w:hAnsi="Times New Roman" w:cs="Times New Roman" w:hint="eastAsia"/>
          <w:b/>
          <w:bCs/>
          <w:sz w:val="24"/>
          <w:szCs w:val="28"/>
        </w:rPr>
        <w:t>Supplementary Figure 3</w:t>
      </w:r>
      <w:r w:rsidRPr="009A0FB1">
        <w:rPr>
          <w:rFonts w:ascii="Times New Roman" w:hAnsi="Times New Roman" w:cs="Times New Roman" w:hint="eastAsia"/>
          <w:b/>
          <w:bCs/>
          <w:color w:val="231F20"/>
          <w:sz w:val="24"/>
          <w:szCs w:val="24"/>
        </w:rPr>
        <w:t xml:space="preserve"> </w:t>
      </w:r>
      <w:r w:rsidRPr="009A0FB1">
        <w:rPr>
          <w:rFonts w:ascii="Times New Roman" w:hAnsi="Times New Roman" w:cs="Times New Roman"/>
          <w:b/>
          <w:bCs/>
          <w:color w:val="231F20"/>
          <w:sz w:val="24"/>
          <w:szCs w:val="24"/>
        </w:rPr>
        <w:t>Overexpressing NOX4 increas</w:t>
      </w:r>
      <w:r w:rsidRPr="009A0FB1">
        <w:rPr>
          <w:rFonts w:ascii="Times New Roman" w:hAnsi="Times New Roman" w:cs="Times New Roman" w:hint="eastAsia"/>
          <w:b/>
          <w:bCs/>
          <w:color w:val="231F20"/>
          <w:sz w:val="24"/>
          <w:szCs w:val="24"/>
        </w:rPr>
        <w:t>ed</w:t>
      </w:r>
      <w:r w:rsidRPr="009A0FB1">
        <w:rPr>
          <w:rFonts w:ascii="Times New Roman" w:hAnsi="Times New Roman" w:cs="Times New Roman"/>
          <w:b/>
          <w:bCs/>
          <w:color w:val="231F20"/>
          <w:sz w:val="24"/>
          <w:szCs w:val="24"/>
        </w:rPr>
        <w:t xml:space="preserve"> the level of ROS</w:t>
      </w:r>
      <w:r w:rsidRPr="009A0FB1">
        <w:rPr>
          <w:rFonts w:ascii="Times New Roman" w:hAnsi="Times New Roman" w:cs="Times New Roman" w:hint="eastAsia"/>
          <w:b/>
          <w:bCs/>
          <w:color w:val="231F20"/>
          <w:sz w:val="24"/>
          <w:szCs w:val="24"/>
        </w:rPr>
        <w:t xml:space="preserve">. (A) </w:t>
      </w:r>
      <w:r w:rsidRPr="009A0FB1">
        <w:rPr>
          <w:rFonts w:ascii="Times New Roman" w:hAnsi="Times New Roman" w:cs="Times New Roman" w:hint="eastAsia"/>
          <w:color w:val="231F20"/>
          <w:sz w:val="24"/>
          <w:szCs w:val="24"/>
        </w:rPr>
        <w:t xml:space="preserve">The </w:t>
      </w:r>
      <w:r>
        <w:rPr>
          <w:rFonts w:ascii="Times New Roman" w:hAnsi="Times New Roman" w:cs="Times New Roman" w:hint="eastAsia"/>
          <w:color w:val="231F20"/>
          <w:sz w:val="24"/>
          <w:szCs w:val="24"/>
        </w:rPr>
        <w:t>HeLa</w:t>
      </w:r>
      <w:r w:rsidRPr="009A0FB1">
        <w:rPr>
          <w:rFonts w:ascii="Times New Roman" w:hAnsi="Times New Roman" w:cs="Times New Roman" w:hint="eastAsia"/>
          <w:color w:val="231F20"/>
          <w:sz w:val="24"/>
          <w:szCs w:val="24"/>
        </w:rPr>
        <w:t xml:space="preserve"> </w:t>
      </w:r>
      <w:r w:rsidRPr="009A0FB1">
        <w:rPr>
          <w:rFonts w:ascii="Times New Roman" w:hAnsi="Times New Roman" w:cs="Times New Roman"/>
          <w:color w:val="231F20"/>
          <w:sz w:val="24"/>
          <w:szCs w:val="24"/>
        </w:rPr>
        <w:t>cells</w:t>
      </w:r>
      <w:r w:rsidRPr="009A0FB1">
        <w:rPr>
          <w:rFonts w:ascii="Times New Roman" w:hAnsi="Times New Roman" w:cs="Times New Roman" w:hint="eastAsia"/>
          <w:color w:val="231F20"/>
          <w:sz w:val="24"/>
          <w:szCs w:val="24"/>
        </w:rPr>
        <w:t xml:space="preserve"> were transfected with HA or HA-NOX4 plasmid for 36 h. The protein level of NOX4 was measured by Western blot. </w:t>
      </w:r>
      <w:r w:rsidRPr="009A0FB1">
        <w:rPr>
          <w:rFonts w:ascii="Times New Roman" w:hAnsi="Times New Roman" w:cs="Times New Roman" w:hint="eastAsia"/>
          <w:b/>
          <w:bCs/>
          <w:color w:val="231F20"/>
          <w:sz w:val="24"/>
          <w:szCs w:val="24"/>
        </w:rPr>
        <w:t xml:space="preserve">(B) </w:t>
      </w:r>
      <w:r w:rsidRPr="009A0FB1">
        <w:rPr>
          <w:rFonts w:ascii="Times New Roman" w:hAnsi="Times New Roman" w:cs="Times New Roman" w:hint="eastAsia"/>
          <w:color w:val="231F20"/>
          <w:sz w:val="24"/>
          <w:szCs w:val="24"/>
        </w:rPr>
        <w:t xml:space="preserve">The mRNA level of overexpressed NOX4 was quantified using qPCR assay. </w:t>
      </w:r>
      <w:r w:rsidRPr="009A0FB1">
        <w:rPr>
          <w:rFonts w:ascii="Times New Roman" w:hAnsi="Times New Roman" w:cs="Times New Roman" w:hint="eastAsia"/>
          <w:b/>
          <w:bCs/>
          <w:color w:val="231F20"/>
          <w:sz w:val="24"/>
          <w:szCs w:val="24"/>
        </w:rPr>
        <w:t>(C)</w:t>
      </w:r>
      <w:r w:rsidRPr="009A0FB1">
        <w:rPr>
          <w:rFonts w:ascii="Times New Roman" w:hAnsi="Times New Roman" w:cs="Times New Roman" w:hint="eastAsia"/>
          <w:color w:val="231F20"/>
          <w:sz w:val="24"/>
          <w:szCs w:val="24"/>
        </w:rPr>
        <w:t xml:space="preserve"> The </w:t>
      </w:r>
      <w:r>
        <w:rPr>
          <w:rFonts w:ascii="Times New Roman" w:hAnsi="Times New Roman" w:cs="Times New Roman" w:hint="eastAsia"/>
          <w:color w:val="231F20"/>
          <w:sz w:val="24"/>
          <w:szCs w:val="24"/>
        </w:rPr>
        <w:t>HeLa</w:t>
      </w:r>
      <w:r w:rsidRPr="009A0FB1">
        <w:rPr>
          <w:rFonts w:ascii="Times New Roman" w:hAnsi="Times New Roman" w:cs="Times New Roman" w:hint="eastAsia"/>
          <w:color w:val="231F20"/>
          <w:sz w:val="24"/>
          <w:szCs w:val="24"/>
        </w:rPr>
        <w:t xml:space="preserve"> cells transfected with HA or HA-NOX4 plasmid were stained with </w:t>
      </w:r>
      <w:r w:rsidRPr="009A0FB1">
        <w:rPr>
          <w:rFonts w:ascii="Times New Roman" w:hAnsi="Times New Roman" w:cs="Times New Roman"/>
          <w:sz w:val="24"/>
          <w:szCs w:val="24"/>
        </w:rPr>
        <w:t>DCFH-DA</w:t>
      </w:r>
      <w:r w:rsidRPr="009A0FB1">
        <w:rPr>
          <w:rFonts w:ascii="Times New Roman" w:hAnsi="Times New Roman" w:cs="Times New Roman" w:hint="eastAsia"/>
          <w:sz w:val="24"/>
          <w:szCs w:val="24"/>
        </w:rPr>
        <w:t xml:space="preserve"> and analysis by f</w:t>
      </w:r>
      <w:r w:rsidRPr="009A0FB1">
        <w:rPr>
          <w:rFonts w:ascii="Times New Roman" w:hAnsi="Times New Roman" w:cs="Times New Roman"/>
          <w:sz w:val="24"/>
          <w:szCs w:val="24"/>
        </w:rPr>
        <w:t xml:space="preserve">low </w:t>
      </w:r>
      <w:r w:rsidRPr="009A0FB1">
        <w:rPr>
          <w:rFonts w:ascii="Times New Roman" w:hAnsi="Times New Roman" w:cs="Times New Roman" w:hint="eastAsia"/>
          <w:sz w:val="24"/>
          <w:szCs w:val="24"/>
        </w:rPr>
        <w:t>c</w:t>
      </w:r>
      <w:r w:rsidRPr="009A0FB1">
        <w:rPr>
          <w:rFonts w:ascii="Times New Roman" w:hAnsi="Times New Roman" w:cs="Times New Roman"/>
          <w:sz w:val="24"/>
          <w:szCs w:val="24"/>
        </w:rPr>
        <w:t>ytometry</w:t>
      </w:r>
      <w:r w:rsidRPr="009A0FB1">
        <w:rPr>
          <w:rFonts w:ascii="Times New Roman" w:hAnsi="Times New Roman" w:cs="Times New Roman" w:hint="eastAsia"/>
          <w:sz w:val="24"/>
          <w:szCs w:val="24"/>
        </w:rPr>
        <w:t>.</w:t>
      </w:r>
    </w:p>
    <w:p w14:paraId="648ADE34" w14:textId="77777777" w:rsidR="00744400" w:rsidRDefault="00744400" w:rsidP="007444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E7B50F3" w14:textId="77777777" w:rsidR="00744400" w:rsidRPr="00721364" w:rsidRDefault="00744400" w:rsidP="0074440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62EEE">
        <w:rPr>
          <w:rFonts w:ascii="Times New Roman" w:hAnsi="Times New Roman" w:cs="Times New Roman" w:hint="eastAsia"/>
          <w:b/>
          <w:bCs/>
          <w:sz w:val="24"/>
          <w:szCs w:val="28"/>
        </w:rPr>
        <w:t>Supplementary Figure 4</w:t>
      </w:r>
      <w:r w:rsidRPr="009702FB"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 </w:t>
      </w:r>
      <w:r w:rsidRPr="00762EEE"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Inhibiting NOX4 inhibited </w:t>
      </w:r>
      <w:r w:rsidRPr="00762EEE">
        <w:rPr>
          <w:rFonts w:ascii="Times New Roman" w:hAnsi="Times New Roman" w:cs="Times New Roman"/>
          <w:b/>
          <w:bCs/>
          <w:sz w:val="24"/>
          <w:szCs w:val="28"/>
        </w:rPr>
        <w:t>the</w:t>
      </w:r>
      <w:r w:rsidRPr="00762EEE"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 CPE induced by MVsEV71 in </w:t>
      </w:r>
      <w:r>
        <w:rPr>
          <w:rFonts w:ascii="Times New Roman" w:hAnsi="Times New Roman" w:cs="Times New Roman" w:hint="eastAsia"/>
          <w:b/>
          <w:bCs/>
          <w:sz w:val="24"/>
          <w:szCs w:val="28"/>
        </w:rPr>
        <w:t>HeLa</w:t>
      </w:r>
      <w:r w:rsidRPr="00762EEE"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 cells.</w:t>
      </w:r>
      <w:r w:rsidRPr="009702FB"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 </w:t>
      </w:r>
      <w:r w:rsidRPr="00762EEE">
        <w:rPr>
          <w:rFonts w:ascii="Times New Roman" w:hAnsi="Times New Roman" w:cs="Times New Roman" w:hint="eastAsia"/>
          <w:b/>
          <w:bCs/>
          <w:color w:val="231F20"/>
          <w:sz w:val="24"/>
          <w:szCs w:val="24"/>
        </w:rPr>
        <w:t xml:space="preserve">(A) </w:t>
      </w:r>
      <w:r w:rsidRPr="00762EEE">
        <w:rPr>
          <w:rFonts w:ascii="Times New Roman" w:hAnsi="Times New Roman" w:cs="Times New Roman" w:hint="eastAsia"/>
          <w:color w:val="231F20"/>
          <w:sz w:val="24"/>
          <w:szCs w:val="24"/>
        </w:rPr>
        <w:t xml:space="preserve">The </w:t>
      </w:r>
      <w:r>
        <w:rPr>
          <w:rFonts w:ascii="Times New Roman" w:hAnsi="Times New Roman" w:cs="Times New Roman" w:hint="eastAsia"/>
          <w:color w:val="231F20"/>
          <w:sz w:val="24"/>
          <w:szCs w:val="24"/>
        </w:rPr>
        <w:t>HeLa</w:t>
      </w:r>
      <w:r w:rsidRPr="00762EEE">
        <w:rPr>
          <w:rFonts w:ascii="Times New Roman" w:hAnsi="Times New Roman" w:cs="Times New Roman" w:hint="eastAsia"/>
          <w:color w:val="231F20"/>
          <w:sz w:val="24"/>
          <w:szCs w:val="24"/>
        </w:rPr>
        <w:t xml:space="preserve"> </w:t>
      </w:r>
      <w:r w:rsidRPr="00762EEE">
        <w:rPr>
          <w:rFonts w:ascii="Times New Roman" w:hAnsi="Times New Roman" w:cs="Times New Roman"/>
          <w:color w:val="231F20"/>
          <w:sz w:val="24"/>
          <w:szCs w:val="24"/>
        </w:rPr>
        <w:t>cells</w:t>
      </w:r>
      <w:r w:rsidRPr="00762EEE">
        <w:rPr>
          <w:rFonts w:ascii="Times New Roman" w:hAnsi="Times New Roman" w:cs="Times New Roman" w:hint="eastAsia"/>
          <w:color w:val="231F20"/>
          <w:sz w:val="24"/>
          <w:szCs w:val="24"/>
        </w:rPr>
        <w:t xml:space="preserve"> were treated with GLX351322 at a different dose for 24</w:t>
      </w:r>
      <w:r>
        <w:rPr>
          <w:rFonts w:ascii="Times New Roman" w:hAnsi="Times New Roman" w:cs="Times New Roman" w:hint="eastAsia"/>
          <w:color w:val="231F20"/>
          <w:sz w:val="24"/>
          <w:szCs w:val="24"/>
        </w:rPr>
        <w:t xml:space="preserve"> </w:t>
      </w:r>
      <w:r w:rsidRPr="00762EEE">
        <w:rPr>
          <w:rFonts w:ascii="Times New Roman" w:hAnsi="Times New Roman" w:cs="Times New Roman" w:hint="eastAsia"/>
          <w:color w:val="231F20"/>
          <w:sz w:val="24"/>
          <w:szCs w:val="24"/>
        </w:rPr>
        <w:t xml:space="preserve">h. The viability of cells was measured by CCK8 assays. </w:t>
      </w:r>
      <w:r w:rsidRPr="00762EEE">
        <w:rPr>
          <w:rFonts w:ascii="Times New Roman" w:hAnsi="Times New Roman" w:cs="Times New Roman" w:hint="eastAsia"/>
          <w:b/>
          <w:bCs/>
          <w:color w:val="231F20"/>
          <w:sz w:val="24"/>
          <w:szCs w:val="24"/>
        </w:rPr>
        <w:t xml:space="preserve">(B) </w:t>
      </w:r>
      <w:r w:rsidRPr="00762EEE">
        <w:rPr>
          <w:rFonts w:ascii="Times New Roman" w:hAnsi="Times New Roman" w:cs="Times New Roman" w:hint="eastAsia"/>
          <w:color w:val="231F20"/>
          <w:sz w:val="24"/>
          <w:szCs w:val="24"/>
        </w:rPr>
        <w:t xml:space="preserve">The </w:t>
      </w:r>
      <w:r>
        <w:rPr>
          <w:rFonts w:ascii="Times New Roman" w:hAnsi="Times New Roman" w:cs="Times New Roman" w:hint="eastAsia"/>
          <w:color w:val="231F20"/>
          <w:sz w:val="24"/>
          <w:szCs w:val="24"/>
        </w:rPr>
        <w:t>HeLa</w:t>
      </w:r>
      <w:r w:rsidRPr="00762EEE">
        <w:rPr>
          <w:rFonts w:ascii="Times New Roman" w:hAnsi="Times New Roman" w:cs="Times New Roman" w:hint="eastAsia"/>
          <w:color w:val="231F20"/>
          <w:sz w:val="24"/>
          <w:szCs w:val="24"/>
        </w:rPr>
        <w:t xml:space="preserve"> </w:t>
      </w:r>
      <w:r w:rsidRPr="00762EEE">
        <w:rPr>
          <w:rFonts w:ascii="Times New Roman" w:hAnsi="Times New Roman" w:cs="Times New Roman"/>
          <w:color w:val="231F20"/>
          <w:sz w:val="24"/>
          <w:szCs w:val="24"/>
        </w:rPr>
        <w:t>cells</w:t>
      </w:r>
      <w:r w:rsidRPr="00762EEE">
        <w:rPr>
          <w:rFonts w:ascii="Times New Roman" w:hAnsi="Times New Roman" w:cs="Times New Roman" w:hint="eastAsia"/>
          <w:color w:val="231F20"/>
          <w:sz w:val="24"/>
          <w:szCs w:val="24"/>
        </w:rPr>
        <w:t xml:space="preserve"> were untreated or pretreated with GLX351322 (20</w:t>
      </w:r>
      <w:r>
        <w:rPr>
          <w:rFonts w:ascii="Times New Roman" w:hAnsi="Times New Roman" w:cs="Times New Roman" w:hint="eastAsia"/>
          <w:color w:val="231F20"/>
          <w:sz w:val="24"/>
          <w:szCs w:val="24"/>
        </w:rPr>
        <w:t xml:space="preserve"> </w:t>
      </w:r>
      <w:proofErr w:type="spellStart"/>
      <w:r w:rsidRPr="00390495">
        <w:rPr>
          <w:rFonts w:ascii="Times New Roman" w:hAnsi="Times New Roman" w:cs="Times New Roman"/>
          <w:color w:val="231F20"/>
          <w:sz w:val="24"/>
          <w:szCs w:val="24"/>
        </w:rPr>
        <w:t>μ</w:t>
      </w:r>
      <w:r w:rsidRPr="00762EEE">
        <w:rPr>
          <w:rFonts w:ascii="Times New Roman" w:hAnsi="Times New Roman" w:cs="Times New Roman" w:hint="eastAsia"/>
          <w:color w:val="231F20"/>
          <w:sz w:val="24"/>
          <w:szCs w:val="24"/>
        </w:rPr>
        <w:t>M</w:t>
      </w:r>
      <w:proofErr w:type="spellEnd"/>
      <w:r w:rsidRPr="00762EEE">
        <w:rPr>
          <w:rFonts w:ascii="Times New Roman" w:hAnsi="Times New Roman" w:cs="Times New Roman" w:hint="eastAsia"/>
          <w:color w:val="231F20"/>
          <w:sz w:val="24"/>
          <w:szCs w:val="24"/>
        </w:rPr>
        <w:t>)</w:t>
      </w:r>
      <w:r w:rsidRPr="00762EEE">
        <w:t xml:space="preserve"> </w:t>
      </w:r>
      <w:r w:rsidRPr="00762EEE">
        <w:rPr>
          <w:rFonts w:ascii="Times New Roman" w:hAnsi="Times New Roman" w:cs="Times New Roman"/>
          <w:color w:val="231F20"/>
          <w:sz w:val="24"/>
          <w:szCs w:val="24"/>
        </w:rPr>
        <w:t>before being infected</w:t>
      </w:r>
      <w:r w:rsidRPr="00762EEE">
        <w:rPr>
          <w:rFonts w:ascii="Times New Roman" w:hAnsi="Times New Roman" w:cs="Times New Roman" w:hint="eastAsia"/>
          <w:color w:val="231F20"/>
          <w:sz w:val="24"/>
          <w:szCs w:val="24"/>
        </w:rPr>
        <w:t xml:space="preserve"> with MVsEV71. The CPE were observed under </w:t>
      </w:r>
      <w:r w:rsidRPr="00762EEE">
        <w:rPr>
          <w:rFonts w:ascii="Times New Roman" w:hAnsi="Times New Roman" w:cs="Times New Roman"/>
          <w:color w:val="231F20"/>
          <w:sz w:val="24"/>
          <w:szCs w:val="24"/>
        </w:rPr>
        <w:t>microscope</w:t>
      </w:r>
      <w:r w:rsidRPr="00762EEE">
        <w:rPr>
          <w:rFonts w:ascii="Times New Roman" w:hAnsi="Times New Roman" w:cs="Times New Roman" w:hint="eastAsia"/>
          <w:color w:val="231F20"/>
          <w:sz w:val="24"/>
          <w:szCs w:val="24"/>
        </w:rPr>
        <w:t>.</w:t>
      </w:r>
    </w:p>
    <w:p w14:paraId="73E7FC05" w14:textId="77777777" w:rsidR="00686C66" w:rsidRDefault="00686C66"/>
    <w:sectPr w:rsidR="00686C66" w:rsidSect="00A6132F"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400"/>
    <w:rsid w:val="00686C66"/>
    <w:rsid w:val="00744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BDDB9B"/>
  <w15:chartTrackingRefBased/>
  <w15:docId w15:val="{DB39E29E-C9DB-4BDE-AF41-1EFC047F1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4400"/>
    <w:pPr>
      <w:widowControl w:val="0"/>
      <w:spacing w:after="0" w:line="240" w:lineRule="auto"/>
      <w:jc w:val="both"/>
    </w:pPr>
    <w:rPr>
      <w:rFonts w:eastAsiaTheme="minorEastAsia"/>
      <w:kern w:val="2"/>
      <w:sz w:val="21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7444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191</Words>
  <Characters>1093</Characters>
  <Application>Microsoft Office Word</Application>
  <DocSecurity>0</DocSecurity>
  <Lines>9</Lines>
  <Paragraphs>2</Paragraphs>
  <ScaleCrop>false</ScaleCrop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Ramya Johnpeter (Integra)</dc:creator>
  <cp:keywords/>
  <dc:description/>
  <cp:lastModifiedBy>Ramya Johnpeter (Integra)</cp:lastModifiedBy>
  <cp:revision>1</cp:revision>
  <dcterms:created xsi:type="dcterms:W3CDTF">2025-04-10T05:42:00Z</dcterms:created>
  <dcterms:modified xsi:type="dcterms:W3CDTF">2025-04-10T05:43:00Z</dcterms:modified>
</cp:coreProperties>
</file>