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8F40B" w14:textId="5830E47A" w:rsidR="004D1232" w:rsidRDefault="004D1232" w:rsidP="004D1232">
      <w:r w:rsidRPr="004D1232">
        <w:rPr>
          <w:noProof/>
        </w:rPr>
        <w:drawing>
          <wp:inline distT="0" distB="0" distL="0" distR="0" wp14:anchorId="3603D681" wp14:editId="474B694C">
            <wp:extent cx="5275853" cy="4297680"/>
            <wp:effectExtent l="0" t="0" r="1270" b="7620"/>
            <wp:docPr id="1429726659" name="Grafik 1" descr="Ein Bild, das Diagramm, Plan, technische Zeichnung, Tex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726659" name="Grafik 1" descr="Ein Bild, das Diagramm, Plan, technische Zeichnung, Tex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647" cy="4300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1C645" w14:textId="7FB03E98" w:rsidR="00D907B4" w:rsidRPr="00D907B4" w:rsidRDefault="00D907B4" w:rsidP="00D907B4">
      <w:pPr>
        <w:jc w:val="both"/>
        <w:rPr>
          <w:rFonts w:ascii="Arial" w:hAnsi="Arial" w:cs="Arial"/>
          <w:sz w:val="20"/>
          <w:szCs w:val="20"/>
        </w:rPr>
      </w:pPr>
      <w:r w:rsidRPr="00D907B4">
        <w:rPr>
          <w:rFonts w:ascii="Arial" w:hAnsi="Arial" w:cs="Arial"/>
          <w:b/>
          <w:bCs/>
          <w:sz w:val="20"/>
          <w:szCs w:val="20"/>
          <w:lang w:val="en-GB"/>
        </w:rPr>
        <w:t>Figure S</w:t>
      </w:r>
      <w:r w:rsidR="003A20EC">
        <w:rPr>
          <w:rFonts w:ascii="Arial" w:hAnsi="Arial" w:cs="Arial"/>
          <w:b/>
          <w:bCs/>
          <w:sz w:val="20"/>
          <w:szCs w:val="20"/>
          <w:lang w:val="en-GB"/>
        </w:rPr>
        <w:t>4</w:t>
      </w:r>
      <w:r w:rsidRPr="00D907B4">
        <w:rPr>
          <w:rFonts w:ascii="Arial" w:hAnsi="Arial" w:cs="Arial"/>
          <w:b/>
          <w:bCs/>
          <w:sz w:val="20"/>
          <w:szCs w:val="20"/>
          <w:lang w:val="en-GB"/>
        </w:rPr>
        <w:t xml:space="preserve">. COX-1 and mPGES-1 mRNA expression in macrophages from wildtype controls (WT) and COX2-deficient mice (KO). </w:t>
      </w:r>
      <w:r w:rsidRPr="00D907B4">
        <w:rPr>
          <w:rFonts w:ascii="Arial" w:hAnsi="Arial" w:cs="Arial"/>
          <w:sz w:val="20"/>
          <w:szCs w:val="20"/>
          <w:lang w:val="en-GB"/>
        </w:rPr>
        <w:t xml:space="preserve">Primary Kupffer cells (KC), peritoneal macrophages (PM) and bone marrow-derived macrophages (BMDM) were stimulated with </w:t>
      </w:r>
      <w:r w:rsidR="009E3436" w:rsidRPr="009E3436">
        <w:rPr>
          <w:rFonts w:ascii="Arial" w:hAnsi="Arial" w:cs="Arial"/>
          <w:sz w:val="20"/>
          <w:szCs w:val="20"/>
          <w:highlight w:val="cyan"/>
          <w:lang w:val="en-GB"/>
        </w:rPr>
        <w:t>for 24 h</w:t>
      </w:r>
      <w:r w:rsidR="009E3436">
        <w:rPr>
          <w:rFonts w:ascii="Arial" w:hAnsi="Arial" w:cs="Arial"/>
          <w:sz w:val="20"/>
          <w:szCs w:val="20"/>
          <w:lang w:val="en-GB"/>
        </w:rPr>
        <w:t xml:space="preserve"> with </w:t>
      </w:r>
      <w:r w:rsidRPr="00D907B4">
        <w:rPr>
          <w:rFonts w:ascii="Arial" w:hAnsi="Arial" w:cs="Arial"/>
          <w:sz w:val="20"/>
          <w:szCs w:val="20"/>
          <w:lang w:val="en-GB"/>
        </w:rPr>
        <w:t>LPS</w:t>
      </w:r>
      <w:r w:rsidRPr="00D907B4">
        <w:rPr>
          <w:rFonts w:ascii="Arial" w:hAnsi="Arial" w:cs="Arial"/>
          <w:sz w:val="20"/>
          <w:szCs w:val="20"/>
          <w:lang w:val="en-US"/>
        </w:rPr>
        <w:t xml:space="preserve">. Relative mRNA expression of COX-1 (gene name </w:t>
      </w:r>
      <w:r w:rsidRPr="00D907B4">
        <w:rPr>
          <w:rFonts w:ascii="Arial" w:hAnsi="Arial" w:cs="Arial"/>
          <w:i/>
          <w:iCs/>
          <w:sz w:val="20"/>
          <w:szCs w:val="20"/>
          <w:lang w:val="en-US"/>
        </w:rPr>
        <w:t>Ptges1</w:t>
      </w:r>
      <w:r w:rsidRPr="00D907B4">
        <w:rPr>
          <w:rFonts w:ascii="Arial" w:hAnsi="Arial" w:cs="Arial"/>
          <w:sz w:val="20"/>
          <w:szCs w:val="20"/>
          <w:lang w:val="en-US"/>
        </w:rPr>
        <w:t xml:space="preserve">; A) and mPGES-1 (gene name </w:t>
      </w:r>
      <w:proofErr w:type="spellStart"/>
      <w:r w:rsidRPr="00D907B4">
        <w:rPr>
          <w:rFonts w:ascii="Arial" w:hAnsi="Arial" w:cs="Arial"/>
          <w:i/>
          <w:iCs/>
          <w:sz w:val="20"/>
          <w:szCs w:val="20"/>
          <w:lang w:val="en-US"/>
        </w:rPr>
        <w:t>Ptges</w:t>
      </w:r>
      <w:proofErr w:type="spellEnd"/>
      <w:r w:rsidRPr="00D907B4">
        <w:rPr>
          <w:rFonts w:ascii="Arial" w:hAnsi="Arial" w:cs="Arial"/>
          <w:sz w:val="20"/>
          <w:szCs w:val="20"/>
          <w:lang w:val="en-US"/>
        </w:rPr>
        <w:t xml:space="preserve">; B) were determined by RT-qPCR with </w:t>
      </w:r>
      <w:proofErr w:type="spellStart"/>
      <w:r w:rsidRPr="00D907B4">
        <w:rPr>
          <w:rFonts w:ascii="Arial" w:hAnsi="Arial" w:cs="Arial"/>
          <w:i/>
          <w:iCs/>
          <w:sz w:val="20"/>
          <w:szCs w:val="20"/>
          <w:lang w:val="en-US"/>
        </w:rPr>
        <w:t>Hprt</w:t>
      </w:r>
      <w:proofErr w:type="spellEnd"/>
      <w:r w:rsidRPr="00D907B4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D907B4">
        <w:rPr>
          <w:rFonts w:ascii="Arial" w:hAnsi="Arial" w:cs="Arial"/>
          <w:sz w:val="20"/>
          <w:szCs w:val="20"/>
          <w:lang w:val="en-US"/>
        </w:rPr>
        <w:t xml:space="preserve">as the reference gene. </w:t>
      </w:r>
      <w:r w:rsidRPr="00D907B4">
        <w:rPr>
          <w:rFonts w:ascii="Arial" w:hAnsi="Arial" w:cs="Arial"/>
          <w:sz w:val="20"/>
          <w:szCs w:val="20"/>
          <w:lang w:val="en-GB"/>
        </w:rPr>
        <w:t xml:space="preserve">Values are median (line), upper- and lower quartile (box) and extremes (whiskers) of </w:t>
      </w:r>
      <w:r w:rsidR="009E3436" w:rsidRPr="009E3436">
        <w:rPr>
          <w:rFonts w:ascii="Arial" w:hAnsi="Arial" w:cs="Arial"/>
          <w:sz w:val="20"/>
          <w:szCs w:val="20"/>
          <w:highlight w:val="cyan"/>
          <w:lang w:val="en-GB"/>
        </w:rPr>
        <w:t>n=26-32 (WT) or n=5-10 (KO</w:t>
      </w:r>
      <w:r w:rsidR="009E3436" w:rsidRPr="009E3436">
        <w:rPr>
          <w:rFonts w:ascii="Arial" w:hAnsi="Arial" w:cs="Arial"/>
          <w:sz w:val="20"/>
          <w:szCs w:val="20"/>
          <w:highlight w:val="cyan"/>
          <w:lang w:val="en-GB"/>
        </w:rPr>
        <w:t>)</w:t>
      </w:r>
      <w:r w:rsidR="009E3436" w:rsidRPr="009E3436">
        <w:rPr>
          <w:rFonts w:ascii="Arial" w:hAnsi="Arial" w:cs="Arial"/>
          <w:sz w:val="20"/>
          <w:szCs w:val="20"/>
          <w:lang w:val="en-GB"/>
        </w:rPr>
        <w:t xml:space="preserve"> </w:t>
      </w:r>
      <w:r w:rsidRPr="00D907B4">
        <w:rPr>
          <w:rFonts w:ascii="Arial" w:hAnsi="Arial" w:cs="Arial"/>
          <w:sz w:val="20"/>
          <w:szCs w:val="20"/>
          <w:lang w:val="en-GB"/>
        </w:rPr>
        <w:t xml:space="preserve">independent experiments. Statistics: Two-way-ANOVA with Tukey´s </w:t>
      </w:r>
      <w:r w:rsidRPr="00D907B4">
        <w:rPr>
          <w:rFonts w:ascii="Arial" w:hAnsi="Arial" w:cs="Arial"/>
          <w:i/>
          <w:iCs/>
          <w:sz w:val="20"/>
          <w:szCs w:val="20"/>
          <w:lang w:val="en-GB"/>
        </w:rPr>
        <w:t xml:space="preserve">post hoc </w:t>
      </w:r>
      <w:r w:rsidRPr="00D907B4">
        <w:rPr>
          <w:rFonts w:ascii="Arial" w:hAnsi="Arial" w:cs="Arial"/>
          <w:sz w:val="20"/>
          <w:szCs w:val="20"/>
          <w:lang w:val="en-GB"/>
        </w:rPr>
        <w:t xml:space="preserve">test for multiple comparison. </w:t>
      </w:r>
      <w:r w:rsidRPr="00D907B4">
        <w:rPr>
          <w:rFonts w:ascii="Arial" w:hAnsi="Arial" w:cs="Arial"/>
          <w:sz w:val="20"/>
          <w:szCs w:val="20"/>
          <w:lang w:val="en-US"/>
        </w:rPr>
        <w:t>*</w:t>
      </w:r>
      <w:r w:rsidRPr="00D907B4">
        <w:rPr>
          <w:rFonts w:ascii="Arial" w:hAnsi="Arial" w:cs="Arial"/>
          <w:i/>
          <w:iCs/>
          <w:sz w:val="20"/>
          <w:szCs w:val="20"/>
          <w:lang w:val="en-US"/>
        </w:rPr>
        <w:t>p</w:t>
      </w:r>
      <w:r w:rsidRPr="00D907B4">
        <w:rPr>
          <w:rFonts w:ascii="Arial" w:hAnsi="Arial" w:cs="Arial"/>
          <w:sz w:val="20"/>
          <w:szCs w:val="20"/>
          <w:lang w:val="en-US"/>
        </w:rPr>
        <w:t xml:space="preserve">&lt;0.05. </w:t>
      </w:r>
    </w:p>
    <w:p w14:paraId="43B72A29" w14:textId="77777777" w:rsidR="00D907B4" w:rsidRPr="004D1232" w:rsidRDefault="00D907B4" w:rsidP="004D1232"/>
    <w:sectPr w:rsidR="00D907B4" w:rsidRPr="004D123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32"/>
    <w:rsid w:val="002449F1"/>
    <w:rsid w:val="003A20EC"/>
    <w:rsid w:val="004D1232"/>
    <w:rsid w:val="006C6478"/>
    <w:rsid w:val="007D48F5"/>
    <w:rsid w:val="008D4498"/>
    <w:rsid w:val="0095541E"/>
    <w:rsid w:val="009E3436"/>
    <w:rsid w:val="00B52C06"/>
    <w:rsid w:val="00D9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55F4"/>
  <w15:chartTrackingRefBased/>
  <w15:docId w15:val="{CA0799F0-08FC-4D24-9D55-F4C34C76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D1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D1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D12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D1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D12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D1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D1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D1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D1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D12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D1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D12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D123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D123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D123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D123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D123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D12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D1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D1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D1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D1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D1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D123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D123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D123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D1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D123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D12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Madita Vahrenbrink</dc:creator>
  <cp:keywords/>
  <dc:description/>
  <cp:lastModifiedBy>Madita Vahrenbrink</cp:lastModifiedBy>
  <cp:revision>5</cp:revision>
  <dcterms:created xsi:type="dcterms:W3CDTF">2025-02-24T19:28:00Z</dcterms:created>
  <dcterms:modified xsi:type="dcterms:W3CDTF">2025-04-10T04:54:00Z</dcterms:modified>
</cp:coreProperties>
</file>