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B1430" w14:textId="39F5BBB5" w:rsidR="008671EF" w:rsidRDefault="008671EF" w:rsidP="00CE4C97">
      <w:pPr>
        <w:jc w:val="both"/>
        <w:rPr>
          <w:rFonts w:ascii="Arial" w:hAnsi="Arial" w:cs="Arial"/>
          <w:sz w:val="20"/>
          <w:szCs w:val="20"/>
          <w:lang w:val="en-US"/>
        </w:rPr>
      </w:pPr>
      <w:r w:rsidRPr="008671E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D1149B1" wp14:editId="1B450D61">
            <wp:extent cx="5483376" cy="3813607"/>
            <wp:effectExtent l="0" t="0" r="3175" b="0"/>
            <wp:docPr id="3" name="Grafik 2">
              <a:extLst xmlns:a="http://schemas.openxmlformats.org/drawingml/2006/main">
                <a:ext uri="{FF2B5EF4-FFF2-40B4-BE49-F238E27FC236}">
                  <a16:creationId xmlns:a16="http://schemas.microsoft.com/office/drawing/2014/main" id="{500B072B-2604-42AA-BD70-E56AA031F8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>
                      <a:extLst>
                        <a:ext uri="{FF2B5EF4-FFF2-40B4-BE49-F238E27FC236}">
                          <a16:creationId xmlns:a16="http://schemas.microsoft.com/office/drawing/2014/main" id="{500B072B-2604-42AA-BD70-E56AA031F8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3376" cy="381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75EFD" w14:textId="25CDE0BB" w:rsidR="008671EF" w:rsidRDefault="008671EF" w:rsidP="008671EF">
      <w:pPr>
        <w:jc w:val="both"/>
        <w:rPr>
          <w:rFonts w:ascii="Arial" w:hAnsi="Arial" w:cs="Arial"/>
          <w:sz w:val="20"/>
          <w:szCs w:val="20"/>
          <w:lang w:val="en-US"/>
        </w:rPr>
      </w:pPr>
      <w:r w:rsidRPr="00D907B4">
        <w:rPr>
          <w:rFonts w:ascii="Arial" w:hAnsi="Arial" w:cs="Arial"/>
          <w:b/>
          <w:bCs/>
          <w:sz w:val="20"/>
          <w:szCs w:val="20"/>
          <w:lang w:val="en-GB"/>
        </w:rPr>
        <w:t>Figure S</w:t>
      </w:r>
      <w:r w:rsidR="00A44D9D">
        <w:rPr>
          <w:rFonts w:ascii="Arial" w:hAnsi="Arial" w:cs="Arial"/>
          <w:b/>
          <w:bCs/>
          <w:sz w:val="20"/>
          <w:szCs w:val="20"/>
          <w:lang w:val="en-GB"/>
        </w:rPr>
        <w:t>5</w:t>
      </w:r>
      <w:r w:rsidRPr="00D907B4">
        <w:rPr>
          <w:rFonts w:ascii="Arial" w:hAnsi="Arial" w:cs="Arial"/>
          <w:b/>
          <w:bCs/>
          <w:sz w:val="20"/>
          <w:szCs w:val="20"/>
          <w:lang w:val="en-GB"/>
        </w:rPr>
        <w:t xml:space="preserve">. </w:t>
      </w:r>
      <w:r>
        <w:rPr>
          <w:rFonts w:ascii="Arial" w:hAnsi="Arial" w:cs="Arial"/>
          <w:b/>
          <w:bCs/>
          <w:sz w:val="20"/>
          <w:szCs w:val="20"/>
          <w:lang w:val="en-GB"/>
        </w:rPr>
        <w:t xml:space="preserve">Detection of </w:t>
      </w:r>
      <w:r w:rsidRPr="00D907B4">
        <w:rPr>
          <w:rFonts w:ascii="Arial" w:hAnsi="Arial" w:cs="Arial"/>
          <w:b/>
          <w:bCs/>
          <w:sz w:val="20"/>
          <w:szCs w:val="20"/>
          <w:lang w:val="en-GB"/>
        </w:rPr>
        <w:t xml:space="preserve">COX-2 and </w:t>
      </w:r>
      <w:r w:rsidRPr="00D907B4">
        <w:rPr>
          <w:rFonts w:ascii="Arial" w:hAnsi="Arial" w:cs="Arial"/>
          <w:b/>
          <w:bCs/>
          <w:sz w:val="20"/>
          <w:szCs w:val="20"/>
          <w:lang w:val="el-GR"/>
        </w:rPr>
        <w:t>β</w:t>
      </w:r>
      <w:r w:rsidRPr="00D907B4">
        <w:rPr>
          <w:rFonts w:ascii="Arial" w:hAnsi="Arial" w:cs="Arial"/>
          <w:b/>
          <w:bCs/>
          <w:sz w:val="20"/>
          <w:szCs w:val="20"/>
          <w:lang w:val="en-US"/>
        </w:rPr>
        <w:t>-Actin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in Kupffer cells</w:t>
      </w:r>
      <w:r w:rsidRPr="00D907B4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 w:rsidRPr="00D907B4">
        <w:rPr>
          <w:rFonts w:ascii="Arial" w:hAnsi="Arial" w:cs="Arial"/>
          <w:sz w:val="20"/>
          <w:szCs w:val="20"/>
          <w:lang w:val="en-GB"/>
        </w:rPr>
        <w:t>Primary Kupffer cells (KC)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D907B4">
        <w:rPr>
          <w:rFonts w:ascii="Arial" w:hAnsi="Arial" w:cs="Arial"/>
          <w:sz w:val="20"/>
          <w:szCs w:val="20"/>
          <w:lang w:val="en-GB"/>
        </w:rPr>
        <w:t xml:space="preserve">were stimulated with </w:t>
      </w:r>
      <w:r w:rsidR="00465C2D" w:rsidRPr="00465C2D">
        <w:rPr>
          <w:rFonts w:ascii="Arial" w:hAnsi="Arial" w:cs="Arial"/>
          <w:sz w:val="20"/>
          <w:szCs w:val="20"/>
          <w:highlight w:val="cyan"/>
          <w:lang w:val="en-GB"/>
        </w:rPr>
        <w:t>for 24 h</w:t>
      </w:r>
      <w:r w:rsidR="00465C2D">
        <w:rPr>
          <w:rFonts w:ascii="Arial" w:hAnsi="Arial" w:cs="Arial"/>
          <w:sz w:val="20"/>
          <w:szCs w:val="20"/>
          <w:lang w:val="en-GB"/>
        </w:rPr>
        <w:t xml:space="preserve"> with </w:t>
      </w:r>
      <w:r w:rsidRPr="00D907B4">
        <w:rPr>
          <w:rFonts w:ascii="Arial" w:hAnsi="Arial" w:cs="Arial"/>
          <w:sz w:val="20"/>
          <w:szCs w:val="20"/>
          <w:lang w:val="en-GB"/>
        </w:rPr>
        <w:t>LPS</w:t>
      </w:r>
      <w:r w:rsidRPr="00D907B4">
        <w:rPr>
          <w:rFonts w:ascii="Arial" w:hAnsi="Arial" w:cs="Arial"/>
          <w:sz w:val="20"/>
          <w:szCs w:val="20"/>
          <w:lang w:val="en-US"/>
        </w:rPr>
        <w:t xml:space="preserve">. Protein lysates were analyzed by immunoblotting for COX-2 protein expression, with </w:t>
      </w:r>
      <w:r w:rsidRPr="00D907B4">
        <w:rPr>
          <w:rFonts w:ascii="Arial" w:hAnsi="Arial" w:cs="Arial"/>
          <w:sz w:val="20"/>
          <w:szCs w:val="20"/>
          <w:lang w:val="el-GR"/>
        </w:rPr>
        <w:t>β</w:t>
      </w:r>
      <w:r w:rsidRPr="00D907B4">
        <w:rPr>
          <w:rFonts w:ascii="Arial" w:hAnsi="Arial" w:cs="Arial"/>
          <w:sz w:val="20"/>
          <w:szCs w:val="20"/>
          <w:lang w:val="en-US"/>
        </w:rPr>
        <w:t xml:space="preserve">-Actin serving as the loading control. </w:t>
      </w:r>
    </w:p>
    <w:p w14:paraId="5453CE28" w14:textId="2E18B7BD" w:rsidR="008671EF" w:rsidRDefault="008671EF" w:rsidP="008671EF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054D9406" w14:textId="77777777" w:rsidR="008671EF" w:rsidRDefault="008671EF" w:rsidP="008671EF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31639A5B" w14:textId="4413CAE6" w:rsidR="008671EF" w:rsidRPr="008671EF" w:rsidRDefault="008671EF" w:rsidP="008671EF">
      <w:r w:rsidRPr="008671EF">
        <w:rPr>
          <w:noProof/>
        </w:rPr>
        <w:drawing>
          <wp:inline distT="0" distB="0" distL="0" distR="0" wp14:anchorId="465BB87D" wp14:editId="50389C3F">
            <wp:extent cx="5760720" cy="1815465"/>
            <wp:effectExtent l="0" t="0" r="0" b="0"/>
            <wp:docPr id="11" name="Grafik 10">
              <a:extLst xmlns:a="http://schemas.openxmlformats.org/drawingml/2006/main">
                <a:ext uri="{FF2B5EF4-FFF2-40B4-BE49-F238E27FC236}">
                  <a16:creationId xmlns:a16="http://schemas.microsoft.com/office/drawing/2014/main" id="{2A71D365-B9E1-4E59-A2D0-DEFAC70F7B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>
                      <a:extLst>
                        <a:ext uri="{FF2B5EF4-FFF2-40B4-BE49-F238E27FC236}">
                          <a16:creationId xmlns:a16="http://schemas.microsoft.com/office/drawing/2014/main" id="{2A71D365-B9E1-4E59-A2D0-DEFAC70F7BF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1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5738B" w14:textId="5619EC80" w:rsidR="008671EF" w:rsidRDefault="008671EF" w:rsidP="008671EF">
      <w:pPr>
        <w:jc w:val="both"/>
        <w:rPr>
          <w:rFonts w:ascii="Arial" w:hAnsi="Arial" w:cs="Arial"/>
          <w:sz w:val="20"/>
          <w:szCs w:val="20"/>
          <w:lang w:val="en-US"/>
        </w:rPr>
      </w:pPr>
      <w:r w:rsidRPr="00D907B4">
        <w:rPr>
          <w:rFonts w:ascii="Arial" w:hAnsi="Arial" w:cs="Arial"/>
          <w:b/>
          <w:bCs/>
          <w:sz w:val="20"/>
          <w:szCs w:val="20"/>
          <w:lang w:val="en-GB"/>
        </w:rPr>
        <w:t>Figure S</w:t>
      </w:r>
      <w:r w:rsidR="00A44D9D">
        <w:rPr>
          <w:rFonts w:ascii="Arial" w:hAnsi="Arial" w:cs="Arial"/>
          <w:b/>
          <w:bCs/>
          <w:sz w:val="20"/>
          <w:szCs w:val="20"/>
          <w:lang w:val="en-GB"/>
        </w:rPr>
        <w:t>6</w:t>
      </w:r>
      <w:r w:rsidRPr="00D907B4">
        <w:rPr>
          <w:rFonts w:ascii="Arial" w:hAnsi="Arial" w:cs="Arial"/>
          <w:b/>
          <w:bCs/>
          <w:sz w:val="20"/>
          <w:szCs w:val="20"/>
          <w:lang w:val="en-GB"/>
        </w:rPr>
        <w:t xml:space="preserve">. </w:t>
      </w:r>
      <w:r>
        <w:rPr>
          <w:rFonts w:ascii="Arial" w:hAnsi="Arial" w:cs="Arial"/>
          <w:b/>
          <w:bCs/>
          <w:sz w:val="20"/>
          <w:szCs w:val="20"/>
          <w:lang w:val="en-GB"/>
        </w:rPr>
        <w:t xml:space="preserve">Detection of </w:t>
      </w:r>
      <w:r w:rsidRPr="00D907B4">
        <w:rPr>
          <w:rFonts w:ascii="Arial" w:hAnsi="Arial" w:cs="Arial"/>
          <w:b/>
          <w:bCs/>
          <w:sz w:val="20"/>
          <w:szCs w:val="20"/>
          <w:lang w:val="en-GB"/>
        </w:rPr>
        <w:t xml:space="preserve">COX-2 and </w:t>
      </w:r>
      <w:r w:rsidRPr="00D907B4">
        <w:rPr>
          <w:rFonts w:ascii="Arial" w:hAnsi="Arial" w:cs="Arial"/>
          <w:b/>
          <w:bCs/>
          <w:sz w:val="20"/>
          <w:szCs w:val="20"/>
          <w:lang w:val="el-GR"/>
        </w:rPr>
        <w:t>β</w:t>
      </w:r>
      <w:r w:rsidRPr="00D907B4">
        <w:rPr>
          <w:rFonts w:ascii="Arial" w:hAnsi="Arial" w:cs="Arial"/>
          <w:b/>
          <w:bCs/>
          <w:sz w:val="20"/>
          <w:szCs w:val="20"/>
          <w:lang w:val="en-US"/>
        </w:rPr>
        <w:t>-Actin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in peritoneal macrophages</w:t>
      </w:r>
      <w:r w:rsidRPr="00D907B4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 w:rsidRPr="00D907B4">
        <w:rPr>
          <w:rFonts w:ascii="Arial" w:hAnsi="Arial" w:cs="Arial"/>
          <w:sz w:val="20"/>
          <w:szCs w:val="20"/>
          <w:lang w:val="en-GB"/>
        </w:rPr>
        <w:t>Primary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D907B4">
        <w:rPr>
          <w:rFonts w:ascii="Arial" w:hAnsi="Arial" w:cs="Arial"/>
          <w:sz w:val="20"/>
          <w:szCs w:val="20"/>
          <w:lang w:val="en-GB"/>
        </w:rPr>
        <w:t xml:space="preserve">peritoneal macrophages (PM) were stimulated </w:t>
      </w:r>
      <w:r w:rsidR="00465C2D" w:rsidRPr="00465C2D">
        <w:rPr>
          <w:rFonts w:ascii="Arial" w:hAnsi="Arial" w:cs="Arial"/>
          <w:sz w:val="20"/>
          <w:szCs w:val="20"/>
          <w:highlight w:val="cyan"/>
          <w:lang w:val="en-GB"/>
        </w:rPr>
        <w:t>for 24 h</w:t>
      </w:r>
      <w:r w:rsidR="00465C2D">
        <w:rPr>
          <w:rFonts w:ascii="Arial" w:hAnsi="Arial" w:cs="Arial"/>
          <w:sz w:val="20"/>
          <w:szCs w:val="20"/>
          <w:lang w:val="en-GB"/>
        </w:rPr>
        <w:t xml:space="preserve"> </w:t>
      </w:r>
      <w:r w:rsidRPr="00D907B4">
        <w:rPr>
          <w:rFonts w:ascii="Arial" w:hAnsi="Arial" w:cs="Arial"/>
          <w:sz w:val="20"/>
          <w:szCs w:val="20"/>
          <w:lang w:val="en-GB"/>
        </w:rPr>
        <w:t>with LPS</w:t>
      </w:r>
      <w:r w:rsidRPr="00D907B4">
        <w:rPr>
          <w:rFonts w:ascii="Arial" w:hAnsi="Arial" w:cs="Arial"/>
          <w:sz w:val="20"/>
          <w:szCs w:val="20"/>
          <w:lang w:val="en-US"/>
        </w:rPr>
        <w:t xml:space="preserve">. Protein lysates were analyzed by immunoblotting for COX-2 protein expression, with </w:t>
      </w:r>
      <w:r w:rsidRPr="00D907B4">
        <w:rPr>
          <w:rFonts w:ascii="Arial" w:hAnsi="Arial" w:cs="Arial"/>
          <w:sz w:val="20"/>
          <w:szCs w:val="20"/>
          <w:lang w:val="el-GR"/>
        </w:rPr>
        <w:t>β</w:t>
      </w:r>
      <w:r w:rsidRPr="00D907B4">
        <w:rPr>
          <w:rFonts w:ascii="Arial" w:hAnsi="Arial" w:cs="Arial"/>
          <w:sz w:val="20"/>
          <w:szCs w:val="20"/>
          <w:lang w:val="en-US"/>
        </w:rPr>
        <w:t xml:space="preserve">-Actin serving as the loading control. </w:t>
      </w:r>
    </w:p>
    <w:p w14:paraId="2E368B5A" w14:textId="158DF7C2" w:rsidR="008671EF" w:rsidRDefault="008671EF" w:rsidP="008671EF">
      <w:pPr>
        <w:jc w:val="both"/>
        <w:rPr>
          <w:rFonts w:ascii="Arial" w:hAnsi="Arial" w:cs="Arial"/>
          <w:sz w:val="20"/>
          <w:szCs w:val="20"/>
          <w:lang w:val="en-US"/>
        </w:rPr>
      </w:pPr>
      <w:r w:rsidRPr="008671EF"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026695A3" wp14:editId="75406C0A">
            <wp:extent cx="5760720" cy="3695700"/>
            <wp:effectExtent l="0" t="0" r="0" b="0"/>
            <wp:docPr id="6" name="Grafik 2">
              <a:extLst xmlns:a="http://schemas.openxmlformats.org/drawingml/2006/main">
                <a:ext uri="{FF2B5EF4-FFF2-40B4-BE49-F238E27FC236}">
                  <a16:creationId xmlns:a16="http://schemas.microsoft.com/office/drawing/2014/main" id="{51F45A2D-19FC-4BFC-8A30-A3258DB8D3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>
                      <a:extLst>
                        <a:ext uri="{FF2B5EF4-FFF2-40B4-BE49-F238E27FC236}">
                          <a16:creationId xmlns:a16="http://schemas.microsoft.com/office/drawing/2014/main" id="{51F45A2D-19FC-4BFC-8A30-A3258DB8D3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EF75E" w14:textId="07C557D1" w:rsidR="008671EF" w:rsidRDefault="008671EF" w:rsidP="008671EF">
      <w:pPr>
        <w:jc w:val="both"/>
        <w:rPr>
          <w:rFonts w:ascii="Arial" w:hAnsi="Arial" w:cs="Arial"/>
          <w:sz w:val="20"/>
          <w:szCs w:val="20"/>
          <w:lang w:val="en-US"/>
        </w:rPr>
      </w:pPr>
      <w:r w:rsidRPr="00D907B4">
        <w:rPr>
          <w:rFonts w:ascii="Arial" w:hAnsi="Arial" w:cs="Arial"/>
          <w:b/>
          <w:bCs/>
          <w:sz w:val="20"/>
          <w:szCs w:val="20"/>
          <w:lang w:val="en-GB"/>
        </w:rPr>
        <w:t>Figure S</w:t>
      </w:r>
      <w:r w:rsidR="00A44D9D">
        <w:rPr>
          <w:rFonts w:ascii="Arial" w:hAnsi="Arial" w:cs="Arial"/>
          <w:b/>
          <w:bCs/>
          <w:sz w:val="20"/>
          <w:szCs w:val="20"/>
          <w:lang w:val="en-GB"/>
        </w:rPr>
        <w:t>7</w:t>
      </w:r>
      <w:r w:rsidRPr="00D907B4">
        <w:rPr>
          <w:rFonts w:ascii="Arial" w:hAnsi="Arial" w:cs="Arial"/>
          <w:b/>
          <w:bCs/>
          <w:sz w:val="20"/>
          <w:szCs w:val="20"/>
          <w:lang w:val="en-GB"/>
        </w:rPr>
        <w:t xml:space="preserve">. </w:t>
      </w:r>
      <w:r>
        <w:rPr>
          <w:rFonts w:ascii="Arial" w:hAnsi="Arial" w:cs="Arial"/>
          <w:b/>
          <w:bCs/>
          <w:sz w:val="20"/>
          <w:szCs w:val="20"/>
          <w:lang w:val="en-GB"/>
        </w:rPr>
        <w:t xml:space="preserve">Detection of </w:t>
      </w:r>
      <w:r w:rsidRPr="00D907B4">
        <w:rPr>
          <w:rFonts w:ascii="Arial" w:hAnsi="Arial" w:cs="Arial"/>
          <w:b/>
          <w:bCs/>
          <w:sz w:val="20"/>
          <w:szCs w:val="20"/>
          <w:lang w:val="en-GB"/>
        </w:rPr>
        <w:t xml:space="preserve">COX-2 and </w:t>
      </w:r>
      <w:r w:rsidRPr="00D907B4">
        <w:rPr>
          <w:rFonts w:ascii="Arial" w:hAnsi="Arial" w:cs="Arial"/>
          <w:b/>
          <w:bCs/>
          <w:sz w:val="20"/>
          <w:szCs w:val="20"/>
          <w:lang w:val="el-GR"/>
        </w:rPr>
        <w:t>β</w:t>
      </w:r>
      <w:r w:rsidRPr="00D907B4">
        <w:rPr>
          <w:rFonts w:ascii="Arial" w:hAnsi="Arial" w:cs="Arial"/>
          <w:b/>
          <w:bCs/>
          <w:sz w:val="20"/>
          <w:szCs w:val="20"/>
          <w:lang w:val="en-US"/>
        </w:rPr>
        <w:t>-Actin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in bone marrow-derived macrophages</w:t>
      </w:r>
      <w:r w:rsidRPr="00D907B4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 w:rsidRPr="00D907B4">
        <w:rPr>
          <w:rFonts w:ascii="Arial" w:hAnsi="Arial" w:cs="Arial"/>
          <w:sz w:val="20"/>
          <w:szCs w:val="20"/>
          <w:lang w:val="en-GB"/>
        </w:rPr>
        <w:t xml:space="preserve">Primary bone marrow-derived macrophages (BMDM) were stimulated </w:t>
      </w:r>
      <w:r w:rsidR="00465C2D" w:rsidRPr="00465C2D">
        <w:rPr>
          <w:rFonts w:ascii="Arial" w:hAnsi="Arial" w:cs="Arial"/>
          <w:sz w:val="20"/>
          <w:szCs w:val="20"/>
          <w:highlight w:val="cyan"/>
          <w:lang w:val="en-GB"/>
        </w:rPr>
        <w:t>for 24 h</w:t>
      </w:r>
      <w:r w:rsidR="00465C2D">
        <w:rPr>
          <w:rFonts w:ascii="Arial" w:hAnsi="Arial" w:cs="Arial"/>
          <w:sz w:val="20"/>
          <w:szCs w:val="20"/>
          <w:lang w:val="en-GB"/>
        </w:rPr>
        <w:t xml:space="preserve"> </w:t>
      </w:r>
      <w:r w:rsidRPr="00D907B4">
        <w:rPr>
          <w:rFonts w:ascii="Arial" w:hAnsi="Arial" w:cs="Arial"/>
          <w:sz w:val="20"/>
          <w:szCs w:val="20"/>
          <w:lang w:val="en-GB"/>
        </w:rPr>
        <w:t>with LPS</w:t>
      </w:r>
      <w:r w:rsidRPr="00D907B4">
        <w:rPr>
          <w:rFonts w:ascii="Arial" w:hAnsi="Arial" w:cs="Arial"/>
          <w:sz w:val="20"/>
          <w:szCs w:val="20"/>
          <w:lang w:val="en-US"/>
        </w:rPr>
        <w:t xml:space="preserve">. Protein lysates were analyzed by immunoblotting for COX-2 protein expression, with </w:t>
      </w:r>
      <w:r w:rsidRPr="00D907B4">
        <w:rPr>
          <w:rFonts w:ascii="Arial" w:hAnsi="Arial" w:cs="Arial"/>
          <w:sz w:val="20"/>
          <w:szCs w:val="20"/>
          <w:lang w:val="el-GR"/>
        </w:rPr>
        <w:t>β</w:t>
      </w:r>
      <w:r w:rsidRPr="00D907B4">
        <w:rPr>
          <w:rFonts w:ascii="Arial" w:hAnsi="Arial" w:cs="Arial"/>
          <w:sz w:val="20"/>
          <w:szCs w:val="20"/>
          <w:lang w:val="en-US"/>
        </w:rPr>
        <w:t xml:space="preserve">-Actin serving as the loading control. </w:t>
      </w:r>
    </w:p>
    <w:p w14:paraId="424021F5" w14:textId="77777777" w:rsidR="008671EF" w:rsidRDefault="008671EF" w:rsidP="008671EF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232ED138" w14:textId="77777777" w:rsidR="008671EF" w:rsidRDefault="008671EF" w:rsidP="00CE4C97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3B6B3663" w14:textId="77777777" w:rsidR="008671EF" w:rsidRDefault="008671EF" w:rsidP="00CE4C97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619DE818" w14:textId="77777777" w:rsidR="004D1232" w:rsidRPr="004D1232" w:rsidRDefault="004D1232">
      <w:pPr>
        <w:rPr>
          <w:lang w:val="en-US"/>
        </w:rPr>
      </w:pPr>
    </w:p>
    <w:sectPr w:rsidR="004D1232" w:rsidRPr="004D123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32"/>
    <w:rsid w:val="0007282E"/>
    <w:rsid w:val="002449F1"/>
    <w:rsid w:val="00465C2D"/>
    <w:rsid w:val="004D1232"/>
    <w:rsid w:val="005678C8"/>
    <w:rsid w:val="007D48F5"/>
    <w:rsid w:val="008671EF"/>
    <w:rsid w:val="008D4498"/>
    <w:rsid w:val="00A44D9D"/>
    <w:rsid w:val="00AD7321"/>
    <w:rsid w:val="00C2099B"/>
    <w:rsid w:val="00CE4C97"/>
    <w:rsid w:val="00D9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55F4"/>
  <w15:chartTrackingRefBased/>
  <w15:docId w15:val="{CA0799F0-08FC-4D24-9D55-F4C34C76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71EF"/>
  </w:style>
  <w:style w:type="paragraph" w:styleId="berschrift1">
    <w:name w:val="heading 1"/>
    <w:basedOn w:val="Standard"/>
    <w:next w:val="Standard"/>
    <w:link w:val="berschrift1Zchn"/>
    <w:uiPriority w:val="9"/>
    <w:qFormat/>
    <w:rsid w:val="004D1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D1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D12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D1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D1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D1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D1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D1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D1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D1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D1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D1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D123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D123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D12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D12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D12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D12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D1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D1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D1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D1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D1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D123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D123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D123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D1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D123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D12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Madita Vahrenbrink</dc:creator>
  <cp:keywords/>
  <dc:description/>
  <cp:lastModifiedBy>Madita Vahrenbrink</cp:lastModifiedBy>
  <cp:revision>5</cp:revision>
  <dcterms:created xsi:type="dcterms:W3CDTF">2025-02-24T19:29:00Z</dcterms:created>
  <dcterms:modified xsi:type="dcterms:W3CDTF">2025-04-12T12:32:00Z</dcterms:modified>
</cp:coreProperties>
</file>