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BFF2C">
      <w:pPr>
        <w:spacing w:line="48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1 </w:t>
      </w:r>
      <w:r>
        <w:rPr>
          <w:rFonts w:hint="default" w:ascii="Times New Roman" w:hAnsi="Times New Roman" w:cs="Times New Roman"/>
          <w:sz w:val="24"/>
          <w:szCs w:val="24"/>
        </w:rPr>
        <w:t>Clinical characteristics of ACPA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+</w:t>
      </w:r>
      <w:r>
        <w:rPr>
          <w:rFonts w:hint="default" w:ascii="Times New Roman" w:hAnsi="Times New Roman" w:cs="Times New Roman"/>
          <w:sz w:val="24"/>
          <w:szCs w:val="24"/>
        </w:rPr>
        <w:t xml:space="preserve"> RA patients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9DA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  <mc:AlternateContent>
              <mc:Choice Requires="wpsCustomData">
                <wpsCustomData:diagonals>
                  <wpsCustomData:diagonal from="10000" to="30000">
                    <wpsCustomData:border w:val="single" w:color="auto" w:sz="0" w:space="0"/>
                  </wpsCustomData:diagonal>
                </wpsCustomData:diagonals>
              </mc:Choice>
            </mc:AlternateContent>
          </w:tcPr>
          <w:p w14:paraId="4C6CF46D">
            <w:pPr>
              <w:snapToGrid w:val="0"/>
              <w:spacing w:line="48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  <w:p w14:paraId="7DE384E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61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B6FD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n=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0140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0F303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E00DE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56.45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4.88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29B0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A6DD5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Duration (year)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262CB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 (5-12)</w:t>
            </w:r>
          </w:p>
        </w:tc>
      </w:tr>
      <w:tr w14:paraId="1587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3FE3C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Female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(%)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9A3A7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70</w:t>
            </w:r>
          </w:p>
        </w:tc>
      </w:tr>
      <w:tr w14:paraId="10595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C566A8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Rheumatoid factor (UI/ml)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62FFF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307 (164-410)</w:t>
            </w:r>
          </w:p>
        </w:tc>
      </w:tr>
      <w:tr w14:paraId="7DF2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E1649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Anti-CCP titer (UI/ml)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C920D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980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0)</w:t>
            </w:r>
          </w:p>
        </w:tc>
      </w:tr>
      <w:tr w14:paraId="7DDB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AA1508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DAS28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E2EE2F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1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5856D4C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1BB133D0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0B063D90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5FE14F7C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33039330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54E3BD36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5137CFB9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3E92EA06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7C327E6E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3BC56379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00A22974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02325D63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3C221AD9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</w:p>
    <w:p w14:paraId="4AED561C"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497195" cy="1800225"/>
            <wp:effectExtent l="0" t="0" r="0" b="9525"/>
            <wp:docPr id="1" name="图片 1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20247">
      <w:pPr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 S1.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ACPA induces the priming of the NLRP3 inflammasome through the TLR4/NF-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κ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 signaling pathway</w:t>
      </w:r>
    </w:p>
    <w:p w14:paraId="07FA8368"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THP-1 macrophages were stimulated with ACPA or IgG (purified from healthy human peripheral blood). (A) ELISA was used to detect the expression levels of IL-1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in culture medium (n=3). (B) Western blot was used to detect the expression levels of caspase-1 p20, IL-1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p17 in the supernatant, NLRP3, caspase-1 and IL-1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β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in the lysate (n=3). (C) Western blot was used to detect the expression levels of TLR4, 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κ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α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p65 and p-p65 in the lysa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te (n=3).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2267"/>
    <w:rsid w:val="02C7179D"/>
    <w:rsid w:val="0F723E8F"/>
    <w:rsid w:val="103319CE"/>
    <w:rsid w:val="1A32468A"/>
    <w:rsid w:val="1B972C67"/>
    <w:rsid w:val="20A05A08"/>
    <w:rsid w:val="212418BC"/>
    <w:rsid w:val="2B894CE2"/>
    <w:rsid w:val="2C61082D"/>
    <w:rsid w:val="2DF1278D"/>
    <w:rsid w:val="30202DD3"/>
    <w:rsid w:val="43B26E8F"/>
    <w:rsid w:val="49DC5B65"/>
    <w:rsid w:val="592A534B"/>
    <w:rsid w:val="5D637343"/>
    <w:rsid w:val="5E4C1651"/>
    <w:rsid w:val="74453B55"/>
    <w:rsid w:val="7FE6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</Words>
  <Characters>364</Characters>
  <Lines>0</Lines>
  <Paragraphs>0</Paragraphs>
  <TotalTime>0</TotalTime>
  <ScaleCrop>false</ScaleCrop>
  <LinksUpToDate>false</LinksUpToDate>
  <CharactersWithSpaces>413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elemeNt</cp:lastModifiedBy>
  <dcterms:modified xsi:type="dcterms:W3CDTF">2025-06-20T06:49:08Z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eyJoZGlkIjoiMjYwNzI4Nzk2MzBiNjgzZmMzMTQzYWMwNTdmMGY1NTciLCJ1c2VySWQiOiIyNzU1ODUzMzYifQ==</vt:lpwstr>
  </property>
  <property fmtid="{D5CDD505-2E9C-101B-9397-08002B2CF9AE}" pid="4" name="ICV">
    <vt:lpwstr>135D4738470E4F2F87D72D707E263865_12</vt:lpwstr>
  </property>
</Properties>
</file>