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48DD9" w14:textId="77777777" w:rsidR="00475B63" w:rsidRDefault="00475B63" w:rsidP="00475B63">
      <w:pPr>
        <w:rPr>
          <w:rFonts w:ascii="Times New Roman" w:hAnsi="Times New Roman" w:cs="Times New Roman"/>
          <w:b/>
          <w:bCs/>
          <w:sz w:val="24"/>
          <w:szCs w:val="24"/>
          <w:lang w:val="en-HK"/>
        </w:rPr>
      </w:pPr>
      <w:r>
        <w:rPr>
          <w:rFonts w:ascii="Times New Roman" w:hAnsi="Times New Roman" w:cs="Times New Roman"/>
          <w:b/>
          <w:bCs/>
          <w:sz w:val="24"/>
          <w:szCs w:val="24"/>
          <w:lang w:val="en-HK"/>
        </w:rPr>
        <w:t>SUPPLEMENTARY INFORMATION</w:t>
      </w:r>
    </w:p>
    <w:p w14:paraId="28E28B16" w14:textId="77777777" w:rsidR="00475B63" w:rsidRPr="00E40137" w:rsidRDefault="00475B63" w:rsidP="00475B63">
      <w:pPr>
        <w:spacing w:before="100" w:beforeAutospacing="1" w:after="100" w:afterAutospacing="1" w:line="360" w:lineRule="auto"/>
        <w:outlineLvl w:val="3"/>
        <w:rPr>
          <w:rFonts w:ascii="Times New Roman" w:eastAsia="Times New Roman" w:hAnsi="Times New Roman" w:cs="Times New Roman"/>
          <w:b/>
          <w:bCs/>
          <w:sz w:val="24"/>
          <w:szCs w:val="24"/>
          <w:lang w:val="en-HK"/>
        </w:rPr>
      </w:pPr>
      <w:r w:rsidRPr="00E40137">
        <w:rPr>
          <w:rFonts w:ascii="Times New Roman" w:eastAsia="Times New Roman" w:hAnsi="Times New Roman" w:cs="Times New Roman"/>
          <w:b/>
          <w:bCs/>
          <w:sz w:val="24"/>
          <w:szCs w:val="24"/>
          <w:lang w:val="en-HK"/>
        </w:rPr>
        <w:t>AlphaFold3-based structural prediction of the TULP3–ACE2 interaction</w:t>
      </w:r>
    </w:p>
    <w:p w14:paraId="15FE88E3" w14:textId="77777777" w:rsidR="00475B63" w:rsidRPr="00E40137" w:rsidRDefault="00475B63" w:rsidP="00475B63">
      <w:pPr>
        <w:spacing w:before="100" w:beforeAutospacing="1" w:after="100" w:afterAutospacing="1" w:line="360" w:lineRule="auto"/>
        <w:rPr>
          <w:rFonts w:ascii="Times New Roman" w:eastAsia="Times New Roman" w:hAnsi="Times New Roman" w:cs="Times New Roman"/>
          <w:sz w:val="24"/>
          <w:szCs w:val="24"/>
          <w:lang w:val="en-HK"/>
        </w:rPr>
      </w:pPr>
      <w:r w:rsidRPr="00E40137">
        <w:rPr>
          <w:rFonts w:ascii="Times New Roman" w:eastAsia="Times New Roman" w:hAnsi="Times New Roman" w:cs="Times New Roman"/>
          <w:b/>
          <w:bCs/>
          <w:sz w:val="24"/>
          <w:szCs w:val="24"/>
          <w:lang w:val="en-HK"/>
        </w:rPr>
        <w:t>Sequence-Based Biophysical Profiling Identifies a Membrane-Proximal Helical Segment as a Candidate TULP3 Cargo Motif</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To identify potential TULP3-binding motifs on ACE2, we performed full-length sequence profiling of ACE2 (</w:t>
      </w:r>
      <w:proofErr w:type="spellStart"/>
      <w:r w:rsidRPr="00E40137">
        <w:rPr>
          <w:rFonts w:ascii="Times New Roman" w:eastAsia="Times New Roman" w:hAnsi="Times New Roman" w:cs="Times New Roman"/>
          <w:sz w:val="24"/>
          <w:szCs w:val="24"/>
          <w:lang w:val="en-HK"/>
        </w:rPr>
        <w:t>UniProt</w:t>
      </w:r>
      <w:proofErr w:type="spellEnd"/>
      <w:r w:rsidRPr="00E40137">
        <w:rPr>
          <w:rFonts w:ascii="Times New Roman" w:eastAsia="Times New Roman" w:hAnsi="Times New Roman" w:cs="Times New Roman"/>
          <w:sz w:val="24"/>
          <w:szCs w:val="24"/>
          <w:lang w:val="en-HK"/>
        </w:rPr>
        <w:t>: Q9BYF1) and TULP3 (</w:t>
      </w:r>
      <w:proofErr w:type="spellStart"/>
      <w:r w:rsidRPr="00E40137">
        <w:rPr>
          <w:rFonts w:ascii="Times New Roman" w:eastAsia="Times New Roman" w:hAnsi="Times New Roman" w:cs="Times New Roman"/>
          <w:sz w:val="24"/>
          <w:szCs w:val="24"/>
          <w:lang w:val="en-HK"/>
        </w:rPr>
        <w:t>UniProt</w:t>
      </w:r>
      <w:proofErr w:type="spellEnd"/>
      <w:r w:rsidRPr="00E40137">
        <w:rPr>
          <w:rFonts w:ascii="Times New Roman" w:eastAsia="Times New Roman" w:hAnsi="Times New Roman" w:cs="Times New Roman"/>
          <w:sz w:val="24"/>
          <w:szCs w:val="24"/>
          <w:lang w:val="en-HK"/>
        </w:rPr>
        <w:t xml:space="preserve">: O75386) using smoothed Kyte–Doolittle hydropathy (5-residue window) and </w:t>
      </w:r>
      <w:r w:rsidRPr="00E40137">
        <w:rPr>
          <w:rFonts w:ascii="Times New Roman" w:eastAsia="Times New Roman" w:hAnsi="Times New Roman" w:cs="Times New Roman"/>
          <w:sz w:val="24"/>
          <w:szCs w:val="24"/>
        </w:rPr>
        <w:t>α</w:t>
      </w:r>
      <w:r w:rsidRPr="00E40137">
        <w:rPr>
          <w:rFonts w:ascii="Times New Roman" w:eastAsia="Times New Roman" w:hAnsi="Times New Roman" w:cs="Times New Roman"/>
          <w:sz w:val="24"/>
          <w:szCs w:val="24"/>
          <w:lang w:val="en-HK"/>
        </w:rPr>
        <w:t xml:space="preserve">-helix propensity scores (Levitt scale). This analysis highlighted a 25-residue stretch, ACE2 (749–773), with consistently high hydropathy and strong helical propensity—features characteristic of membrane-adjacent helices recognized by the TULP3 tubby domain. The segment bridges the C-terminal end of the transmembrane helix and its cytoplasmic extension, maintaining both </w:t>
      </w:r>
      <w:proofErr w:type="spellStart"/>
      <w:r w:rsidRPr="00E40137">
        <w:rPr>
          <w:rFonts w:ascii="Times New Roman" w:eastAsia="Times New Roman" w:hAnsi="Times New Roman" w:cs="Times New Roman"/>
          <w:sz w:val="24"/>
          <w:szCs w:val="24"/>
          <w:lang w:val="en-HK"/>
        </w:rPr>
        <w:t>juxtamembrane</w:t>
      </w:r>
      <w:proofErr w:type="spellEnd"/>
      <w:r w:rsidRPr="00E40137">
        <w:rPr>
          <w:rFonts w:ascii="Times New Roman" w:eastAsia="Times New Roman" w:hAnsi="Times New Roman" w:cs="Times New Roman"/>
          <w:sz w:val="24"/>
          <w:szCs w:val="24"/>
          <w:lang w:val="en-HK"/>
        </w:rPr>
        <w:t xml:space="preserve"> continuity and surface accessibility.</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 xml:space="preserve">By contrast, the upstream region (720–748) displays lower hydropathy and multiple proline/glycine disruptions, impairing helix formation and membrane affinity. The downstream region (774–805) becomes highly polar and disordered, consistent with a cytosolic, unstructured tail. Together, these features support ACE2 (749–773) as a structurally and biophysically </w:t>
      </w:r>
      <w:proofErr w:type="spellStart"/>
      <w:r w:rsidRPr="00E40137">
        <w:rPr>
          <w:rFonts w:ascii="Times New Roman" w:eastAsia="Times New Roman" w:hAnsi="Times New Roman" w:cs="Times New Roman"/>
          <w:sz w:val="24"/>
          <w:szCs w:val="24"/>
          <w:lang w:val="en-HK"/>
        </w:rPr>
        <w:t>favorable</w:t>
      </w:r>
      <w:proofErr w:type="spellEnd"/>
      <w:r w:rsidRPr="00E40137">
        <w:rPr>
          <w:rFonts w:ascii="Times New Roman" w:eastAsia="Times New Roman" w:hAnsi="Times New Roman" w:cs="Times New Roman"/>
          <w:sz w:val="24"/>
          <w:szCs w:val="24"/>
          <w:lang w:val="en-HK"/>
        </w:rPr>
        <w:t xml:space="preserve"> candidate for TULP3 recognition.</w:t>
      </w:r>
      <w:r w:rsidRPr="00E40137">
        <w:rPr>
          <w:rFonts w:ascii="Times New Roman" w:eastAsia="Times New Roman" w:hAnsi="Times New Roman" w:cs="Times New Roman" w:hint="eastAsia"/>
          <w:sz w:val="24"/>
          <w:szCs w:val="24"/>
          <w:lang w:val="en-HK"/>
        </w:rPr>
        <w:t xml:space="preserve"> </w:t>
      </w:r>
      <w:bookmarkStart w:id="0" w:name="_Hlk211279906"/>
      <w:r w:rsidRPr="00E40137">
        <w:rPr>
          <w:rFonts w:ascii="Times New Roman" w:hAnsi="Times New Roman" w:cs="Times New Roman"/>
          <w:sz w:val="24"/>
          <w:szCs w:val="24"/>
          <w:lang w:val="en-HK"/>
        </w:rPr>
        <w:t xml:space="preserve">Schematic </w:t>
      </w:r>
      <w:r>
        <w:rPr>
          <w:rFonts w:ascii="Times New Roman" w:hAnsi="Times New Roman" w:cs="Times New Roman"/>
          <w:sz w:val="24"/>
          <w:szCs w:val="24"/>
          <w:lang w:val="en-HK"/>
        </w:rPr>
        <w:t xml:space="preserve">diagram </w:t>
      </w:r>
      <w:r w:rsidRPr="00E40137">
        <w:rPr>
          <w:rFonts w:ascii="Times New Roman" w:hAnsi="Times New Roman" w:cs="Times New Roman"/>
          <w:sz w:val="24"/>
          <w:szCs w:val="24"/>
          <w:lang w:val="en-HK"/>
        </w:rPr>
        <w:t>shows the domain organization of ACE2 and TULP3, with the identified binding region highlighted (</w:t>
      </w:r>
      <w:r>
        <w:rPr>
          <w:rFonts w:ascii="Times New Roman" w:hAnsi="Times New Roman" w:cs="Times New Roman"/>
          <w:sz w:val="24"/>
          <w:szCs w:val="24"/>
          <w:lang w:val="en-HK"/>
        </w:rPr>
        <w:t xml:space="preserve">Supplementary </w:t>
      </w:r>
      <w:r w:rsidRPr="00E40137">
        <w:rPr>
          <w:rFonts w:ascii="Times New Roman" w:hAnsi="Times New Roman" w:cs="Times New Roman"/>
          <w:sz w:val="24"/>
          <w:szCs w:val="24"/>
          <w:lang w:val="en-HK"/>
        </w:rPr>
        <w:t>Fig. S1).</w:t>
      </w:r>
      <w:bookmarkEnd w:id="0"/>
    </w:p>
    <w:p w14:paraId="60D6214A" w14:textId="77777777" w:rsidR="00475B63" w:rsidRPr="00E40137" w:rsidRDefault="00475B63" w:rsidP="00475B63">
      <w:pPr>
        <w:spacing w:before="100" w:beforeAutospacing="1" w:after="100" w:afterAutospacing="1" w:line="360" w:lineRule="auto"/>
        <w:rPr>
          <w:rFonts w:ascii="Times New Roman" w:eastAsia="Times New Roman" w:hAnsi="Times New Roman" w:cs="Times New Roman"/>
          <w:sz w:val="24"/>
          <w:szCs w:val="24"/>
          <w:lang w:val="en-HK"/>
        </w:rPr>
      </w:pPr>
      <w:r w:rsidRPr="00E40137">
        <w:rPr>
          <w:rFonts w:ascii="Times New Roman" w:eastAsia="Times New Roman" w:hAnsi="Times New Roman" w:cs="Times New Roman"/>
          <w:b/>
          <w:bCs/>
          <w:sz w:val="24"/>
          <w:szCs w:val="24"/>
          <w:lang w:val="en-HK"/>
        </w:rPr>
        <w:t>Fragment Selection and Systematic Testing</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We focused on the C-terminal transmembrane region of ACE2 (741–783), which is topologically analogous to validated TULP3 cargoes. Secondary structure and hydropathy analysis identified ACE2 (749–773) as a membrane-proximal hydrophobic stretch likely to adopt a helical conformation.</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In parallel, we selected a TULP3 fragment spanning residues 271–430, encompassing the full tubby domain (</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1–</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12) and its canonical cargo-binding surface (</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8–</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12). To assess specificity and robustness, we systematically tested alternative ACE2 fragments (741–805, 700–805, 748–773) and TULP3 truncations (250–442, 270–430, 300–442). Most combinations produced low inter-protein TM-scores (</w:t>
      </w:r>
      <w:proofErr w:type="spellStart"/>
      <w:r w:rsidRPr="00E40137">
        <w:rPr>
          <w:rFonts w:ascii="Times New Roman" w:eastAsia="Times New Roman" w:hAnsi="Times New Roman" w:cs="Times New Roman"/>
          <w:sz w:val="24"/>
          <w:szCs w:val="24"/>
          <w:lang w:val="en-HK"/>
        </w:rPr>
        <w:t>iPTM</w:t>
      </w:r>
      <w:proofErr w:type="spellEnd"/>
      <w:r w:rsidRPr="00E40137">
        <w:rPr>
          <w:rFonts w:ascii="Times New Roman" w:eastAsia="Times New Roman" w:hAnsi="Times New Roman" w:cs="Times New Roman"/>
          <w:sz w:val="24"/>
          <w:szCs w:val="24"/>
          <w:lang w:val="en-HK"/>
        </w:rPr>
        <w:t xml:space="preserve"> &lt; 0.3), suggesting incompatible interfaces. In contrast, the ACE2 (749–773)–TULP3 (271–430) pairing consistently produced the strongest results, achieving a maximum </w:t>
      </w:r>
      <w:proofErr w:type="spellStart"/>
      <w:r w:rsidRPr="00E40137">
        <w:rPr>
          <w:rFonts w:ascii="Times New Roman" w:eastAsia="Times New Roman" w:hAnsi="Times New Roman" w:cs="Times New Roman"/>
          <w:sz w:val="24"/>
          <w:szCs w:val="24"/>
          <w:lang w:val="en-HK"/>
        </w:rPr>
        <w:t>iPTM</w:t>
      </w:r>
      <w:proofErr w:type="spellEnd"/>
      <w:r w:rsidRPr="00E40137">
        <w:rPr>
          <w:rFonts w:ascii="Times New Roman" w:eastAsia="Times New Roman" w:hAnsi="Times New Roman" w:cs="Times New Roman"/>
          <w:sz w:val="24"/>
          <w:szCs w:val="24"/>
          <w:lang w:val="en-HK"/>
        </w:rPr>
        <w:t xml:space="preserve"> of 0.58 and </w:t>
      </w:r>
      <w:proofErr w:type="spellStart"/>
      <w:r w:rsidRPr="00E40137">
        <w:rPr>
          <w:rFonts w:ascii="Times New Roman" w:eastAsia="Times New Roman" w:hAnsi="Times New Roman" w:cs="Times New Roman"/>
          <w:sz w:val="24"/>
          <w:szCs w:val="24"/>
          <w:lang w:val="en-HK"/>
        </w:rPr>
        <w:t>pTM</w:t>
      </w:r>
      <w:proofErr w:type="spellEnd"/>
      <w:r w:rsidRPr="00E40137">
        <w:rPr>
          <w:rFonts w:ascii="Times New Roman" w:eastAsia="Times New Roman" w:hAnsi="Times New Roman" w:cs="Times New Roman"/>
          <w:sz w:val="24"/>
          <w:szCs w:val="24"/>
          <w:lang w:val="en-HK"/>
        </w:rPr>
        <w:t xml:space="preserve"> of 0.78 across 15 AlphaFold3 prediction runs</w:t>
      </w:r>
      <w:r>
        <w:rPr>
          <w:rFonts w:ascii="Times New Roman" w:eastAsia="Times New Roman" w:hAnsi="Times New Roman" w:cs="Times New Roman"/>
          <w:sz w:val="24"/>
          <w:szCs w:val="24"/>
          <w:lang w:val="en-HK"/>
        </w:rPr>
        <w:t xml:space="preserve"> (Supplementary Fig. S1)</w:t>
      </w:r>
      <w:r w:rsidRPr="00E40137">
        <w:rPr>
          <w:rFonts w:ascii="Times New Roman" w:eastAsia="Times New Roman" w:hAnsi="Times New Roman" w:cs="Times New Roman"/>
          <w:sz w:val="24"/>
          <w:szCs w:val="24"/>
          <w:lang w:val="en-HK"/>
        </w:rPr>
        <w:t xml:space="preserve">. Although these values indicate moderate confidence, they are notable given the challenges AlphaFold3 faces in </w:t>
      </w:r>
      <w:proofErr w:type="spellStart"/>
      <w:r w:rsidRPr="00E40137">
        <w:rPr>
          <w:rFonts w:ascii="Times New Roman" w:eastAsia="Times New Roman" w:hAnsi="Times New Roman" w:cs="Times New Roman"/>
          <w:sz w:val="24"/>
          <w:szCs w:val="24"/>
          <w:lang w:val="en-HK"/>
        </w:rPr>
        <w:t>modeling</w:t>
      </w:r>
      <w:proofErr w:type="spellEnd"/>
      <w:r w:rsidRPr="00E40137">
        <w:rPr>
          <w:rFonts w:ascii="Times New Roman" w:eastAsia="Times New Roman" w:hAnsi="Times New Roman" w:cs="Times New Roman"/>
          <w:sz w:val="24"/>
          <w:szCs w:val="24"/>
          <w:lang w:val="en-HK"/>
        </w:rPr>
        <w:t xml:space="preserve"> membrane-proximal interactions.</w:t>
      </w:r>
      <w:r w:rsidRPr="00E40137">
        <w:rPr>
          <w:sz w:val="24"/>
          <w:szCs w:val="24"/>
          <w:lang w:val="en-HK"/>
        </w:rPr>
        <w:t xml:space="preserve"> </w:t>
      </w:r>
    </w:p>
    <w:p w14:paraId="11C7EFE6" w14:textId="77777777" w:rsidR="00475B63" w:rsidRPr="00E40137" w:rsidRDefault="00475B63" w:rsidP="00475B63">
      <w:pPr>
        <w:spacing w:before="100" w:beforeAutospacing="1" w:after="100" w:afterAutospacing="1" w:line="360" w:lineRule="auto"/>
        <w:rPr>
          <w:rFonts w:ascii="Times New Roman" w:eastAsia="Times New Roman" w:hAnsi="Times New Roman" w:cs="Times New Roman"/>
          <w:sz w:val="24"/>
          <w:szCs w:val="24"/>
          <w:lang w:val="en-HK"/>
        </w:rPr>
      </w:pPr>
      <w:r w:rsidRPr="00E40137">
        <w:rPr>
          <w:rFonts w:ascii="Times New Roman" w:eastAsia="Times New Roman" w:hAnsi="Times New Roman" w:cs="Times New Roman"/>
          <w:b/>
          <w:bCs/>
          <w:sz w:val="24"/>
          <w:szCs w:val="24"/>
          <w:lang w:val="en-HK"/>
        </w:rPr>
        <w:lastRenderedPageBreak/>
        <w:t>Model Selection and Detailed Interaction Analysis</w:t>
      </w:r>
      <w:bookmarkStart w:id="1" w:name="_Hlk211281273"/>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t>
      </w:r>
      <w:r w:rsidRPr="00E40137">
        <w:rPr>
          <w:rFonts w:ascii="Times New Roman" w:eastAsia="Times New Roman" w:hAnsi="Times New Roman" w:cs="Times New Roman" w:hint="eastAsia"/>
          <w:sz w:val="24"/>
          <w:szCs w:val="24"/>
          <w:lang w:val="en-HK"/>
        </w:rPr>
        <w:t xml:space="preserve"> </w:t>
      </w:r>
      <w:bookmarkEnd w:id="1"/>
      <w:r w:rsidRPr="00E40137">
        <w:rPr>
          <w:rFonts w:ascii="Times New Roman" w:eastAsia="Times New Roman" w:hAnsi="Times New Roman" w:cs="Times New Roman"/>
          <w:sz w:val="24"/>
          <w:szCs w:val="24"/>
          <w:lang w:val="en-HK"/>
        </w:rPr>
        <w:t xml:space="preserve">From the 75 models generated across 15 prediction runs, we selected the top eight structures with </w:t>
      </w:r>
      <w:proofErr w:type="spellStart"/>
      <w:r w:rsidRPr="00E40137">
        <w:rPr>
          <w:rFonts w:ascii="Times New Roman" w:eastAsia="Times New Roman" w:hAnsi="Times New Roman" w:cs="Times New Roman"/>
          <w:sz w:val="24"/>
          <w:szCs w:val="24"/>
          <w:lang w:val="en-HK"/>
        </w:rPr>
        <w:t>iPTM</w:t>
      </w:r>
      <w:proofErr w:type="spellEnd"/>
      <w:r w:rsidRPr="00E40137">
        <w:rPr>
          <w:rFonts w:ascii="Times New Roman" w:eastAsia="Times New Roman" w:hAnsi="Times New Roman" w:cs="Times New Roman"/>
          <w:sz w:val="24"/>
          <w:szCs w:val="24"/>
          <w:lang w:val="en-HK"/>
        </w:rPr>
        <w:t xml:space="preserve"> &gt; 0.5 for detailed analysis. These models exhibited convergent interaction patterns.</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Notably, ACE2 residue I761 consistently engaged the TULP3 cargo-binding surface (</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8–</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 xml:space="preserve">10), with recurring contacts such as N390–I761 and F391–I761 appearing in seven out of eight models. Consensus mapping confirmed the spatial clustering of I761 along the </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8–</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10 strands, matching the geometry of known tubby domain cargo interfaces. The interaction profile included both hydrophobic contacts (F391–I761, L377–I761) and polar interactions (N390–I761), reflecting the amphipathic character typical of recognized cargo motifs.</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While AlphaFold3 does not explicitly model membrane topology and may underestimate weak or membrane-mediated interactions, the reproducibility and convergence across independent predictions support the plausibility of this TULP3–ACE2 interface.</w:t>
      </w:r>
    </w:p>
    <w:p w14:paraId="3E4B0021" w14:textId="77777777" w:rsidR="00475B63" w:rsidRPr="00E40137" w:rsidRDefault="00475B63" w:rsidP="00475B63">
      <w:pPr>
        <w:spacing w:before="100" w:beforeAutospacing="1" w:after="100" w:afterAutospacing="1" w:line="360" w:lineRule="auto"/>
        <w:outlineLvl w:val="2"/>
        <w:rPr>
          <w:rFonts w:ascii="Times New Roman" w:eastAsia="Times New Roman" w:hAnsi="Times New Roman" w:cs="Times New Roman"/>
          <w:b/>
          <w:bCs/>
          <w:sz w:val="24"/>
          <w:szCs w:val="24"/>
          <w:lang w:val="en-HK"/>
        </w:rPr>
      </w:pPr>
      <w:r w:rsidRPr="00E40137">
        <w:rPr>
          <w:rFonts w:ascii="Times New Roman" w:eastAsia="Times New Roman" w:hAnsi="Times New Roman" w:cs="Times New Roman"/>
          <w:b/>
          <w:bCs/>
          <w:sz w:val="24"/>
          <w:szCs w:val="24"/>
          <w:lang w:val="en-HK"/>
        </w:rPr>
        <w:t>Mutational Analysis of I761 Confirms the Hydrophobic Dependence of the TULP3–ACE2 Interface</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w:t>
      </w:r>
      <w:r w:rsidRPr="00E40137">
        <w:rPr>
          <w:rFonts w:ascii="Times New Roman" w:eastAsia="Times New Roman" w:hAnsi="Times New Roman" w:cs="Times New Roman" w:hint="eastAsia"/>
          <w:sz w:val="24"/>
          <w:szCs w:val="24"/>
          <w:lang w:val="en-HK"/>
        </w:rPr>
        <w:t xml:space="preserve"> </w:t>
      </w:r>
      <w:r w:rsidRPr="00E40137">
        <w:rPr>
          <w:rFonts w:ascii="Times New Roman" w:eastAsia="Times New Roman" w:hAnsi="Times New Roman" w:cs="Times New Roman"/>
          <w:sz w:val="24"/>
          <w:szCs w:val="24"/>
          <w:lang w:val="en-HK"/>
        </w:rPr>
        <w:t xml:space="preserve">To examine how mutations at residue I761 influence the TULP3–ACE2 interface, we performed extensive mutational AlphaFold3 analysis using the same fragment pairing as in the main </w:t>
      </w:r>
      <w:proofErr w:type="spellStart"/>
      <w:r w:rsidRPr="00E40137">
        <w:rPr>
          <w:rFonts w:ascii="Times New Roman" w:eastAsia="Times New Roman" w:hAnsi="Times New Roman" w:cs="Times New Roman"/>
          <w:sz w:val="24"/>
          <w:szCs w:val="24"/>
          <w:lang w:val="en-HK"/>
        </w:rPr>
        <w:t>modeling</w:t>
      </w:r>
      <w:proofErr w:type="spellEnd"/>
      <w:r w:rsidRPr="00E40137">
        <w:rPr>
          <w:rFonts w:ascii="Times New Roman" w:eastAsia="Times New Roman" w:hAnsi="Times New Roman" w:cs="Times New Roman"/>
          <w:sz w:val="24"/>
          <w:szCs w:val="24"/>
          <w:lang w:val="en-HK"/>
        </w:rPr>
        <w:t xml:space="preserve"> (TULP3 271–430; ACE2 749–773). Residue I761 was individually replaced with all 19 other amino acids. For each variant, six random seeds were used, and AlphaFold3 generated five structures per seed, yielding 30 models per mutation. For consistency, only the six highest-confidence predictions—those ranked first by AlphaFold3 for each mutation—were used for subsequent distance and scoring analyses.</w:t>
      </w:r>
      <w:r w:rsidRPr="00E40137">
        <w:rPr>
          <w:rFonts w:ascii="Times New Roman" w:eastAsia="Times New Roman" w:hAnsi="Times New Roman" w:cs="Times New Roman" w:hint="eastAsia"/>
          <w:b/>
          <w:bCs/>
          <w:sz w:val="24"/>
          <w:szCs w:val="24"/>
          <w:lang w:val="en-HK"/>
        </w:rPr>
        <w:t xml:space="preserve"> </w:t>
      </w:r>
      <w:r w:rsidRPr="00E40137">
        <w:rPr>
          <w:rFonts w:ascii="Times New Roman" w:eastAsia="Times New Roman" w:hAnsi="Times New Roman" w:cs="Times New Roman"/>
          <w:sz w:val="24"/>
          <w:szCs w:val="24"/>
          <w:lang w:val="en-HK"/>
        </w:rPr>
        <w:t>For each selected model, we quantified the distances between the mutant site and two key TULP3 interface residues, N390 and F391, using three complementary metrics: (1) C</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–C</w:t>
      </w:r>
      <w:r w:rsidRPr="00E40137">
        <w:rPr>
          <w:rFonts w:ascii="Times New Roman" w:eastAsia="Times New Roman" w:hAnsi="Times New Roman" w:cs="Times New Roman"/>
          <w:sz w:val="24"/>
          <w:szCs w:val="24"/>
        </w:rPr>
        <w:t>β</w:t>
      </w:r>
      <w:r w:rsidRPr="00E40137">
        <w:rPr>
          <w:rFonts w:ascii="Times New Roman" w:eastAsia="Times New Roman" w:hAnsi="Times New Roman" w:cs="Times New Roman"/>
          <w:sz w:val="24"/>
          <w:szCs w:val="24"/>
          <w:lang w:val="en-HK"/>
        </w:rPr>
        <w:t xml:space="preserve"> distance, (2) minimum heavy-atom distance, and (3) </w:t>
      </w:r>
      <w:proofErr w:type="spellStart"/>
      <w:r w:rsidRPr="00E40137">
        <w:rPr>
          <w:rFonts w:ascii="Times New Roman" w:eastAsia="Times New Roman" w:hAnsi="Times New Roman" w:cs="Times New Roman"/>
          <w:sz w:val="24"/>
          <w:szCs w:val="24"/>
          <w:lang w:val="en-HK"/>
        </w:rPr>
        <w:t>center</w:t>
      </w:r>
      <w:proofErr w:type="spellEnd"/>
      <w:r w:rsidRPr="00E40137">
        <w:rPr>
          <w:rFonts w:ascii="Times New Roman" w:eastAsia="Times New Roman" w:hAnsi="Times New Roman" w:cs="Times New Roman"/>
          <w:sz w:val="24"/>
          <w:szCs w:val="24"/>
          <w:lang w:val="en-HK"/>
        </w:rPr>
        <w:t>-of-mass (COM) distance of all heavy atoms. N390–I761 and F391–I761 values were averaged across the top-ranked models for each amino-acid substitution.</w:t>
      </w:r>
      <w:r w:rsidRPr="00E40137">
        <w:rPr>
          <w:rFonts w:ascii="Times New Roman" w:eastAsia="Times New Roman" w:hAnsi="Times New Roman" w:cs="Times New Roman" w:hint="eastAsia"/>
          <w:sz w:val="24"/>
          <w:szCs w:val="24"/>
          <w:lang w:val="en-HK"/>
        </w:rPr>
        <w:t xml:space="preserve"> As shown in </w:t>
      </w:r>
      <w:r>
        <w:rPr>
          <w:rFonts w:ascii="Times New Roman" w:eastAsia="Times New Roman" w:hAnsi="Times New Roman" w:cs="Times New Roman"/>
          <w:sz w:val="24"/>
          <w:szCs w:val="24"/>
          <w:lang w:val="en-HK"/>
        </w:rPr>
        <w:t xml:space="preserve">Supplementary </w:t>
      </w:r>
      <w:r w:rsidRPr="00E40137">
        <w:rPr>
          <w:rFonts w:ascii="Times New Roman" w:eastAsia="Times New Roman" w:hAnsi="Times New Roman" w:cs="Times New Roman" w:hint="eastAsia"/>
          <w:sz w:val="24"/>
          <w:szCs w:val="24"/>
          <w:lang w:val="en-HK"/>
        </w:rPr>
        <w:t>Fig. S</w:t>
      </w:r>
      <w:r w:rsidRPr="00E40137">
        <w:rPr>
          <w:rFonts w:ascii="Times New Roman" w:eastAsia="Times New Roman" w:hAnsi="Times New Roman" w:cs="Times New Roman"/>
          <w:sz w:val="24"/>
          <w:szCs w:val="24"/>
          <w:lang w:val="en-HK"/>
        </w:rPr>
        <w:t>2</w:t>
      </w:r>
      <w:r w:rsidRPr="00E40137">
        <w:rPr>
          <w:rFonts w:ascii="Times New Roman" w:eastAsia="Times New Roman" w:hAnsi="Times New Roman" w:cs="Times New Roman" w:hint="eastAsia"/>
          <w:sz w:val="24"/>
          <w:szCs w:val="24"/>
          <w:lang w:val="en-HK"/>
        </w:rPr>
        <w:t>,</w:t>
      </w:r>
      <w:r w:rsidRPr="00E40137">
        <w:rPr>
          <w:rFonts w:ascii="Times New Roman" w:eastAsia="Times New Roman" w:hAnsi="Times New Roman" w:cs="Times New Roman" w:hint="eastAsia"/>
          <w:b/>
          <w:bCs/>
          <w:sz w:val="24"/>
          <w:szCs w:val="24"/>
          <w:lang w:val="en-HK"/>
        </w:rPr>
        <w:t xml:space="preserve"> </w:t>
      </w:r>
      <w:r w:rsidRPr="00E40137">
        <w:rPr>
          <w:rFonts w:ascii="Times New Roman" w:eastAsia="Times New Roman" w:hAnsi="Times New Roman" w:cs="Times New Roman" w:hint="eastAsia"/>
          <w:sz w:val="24"/>
          <w:szCs w:val="24"/>
          <w:lang w:val="en-HK"/>
        </w:rPr>
        <w:t>h</w:t>
      </w:r>
      <w:r w:rsidRPr="00E40137">
        <w:rPr>
          <w:rFonts w:ascii="Times New Roman" w:eastAsia="Times New Roman" w:hAnsi="Times New Roman" w:cs="Times New Roman"/>
          <w:sz w:val="24"/>
          <w:szCs w:val="24"/>
          <w:lang w:val="en-HK"/>
        </w:rPr>
        <w:t>ydrophobic substitutions (e.g., M, W, L, V) consistently maintained short N390–I761 and F391–I761 distances across all metrics, indicating stable hydrophobic interface packing. In contrast, polar or charged replacements (e.g., R, Q, K, E) produced substantially larger separations, suggesting weakened interactions at the cargo-binding surface. The native isoleucine showed the smallest mean distances, reflecting optimal hydrophobic complementarity and steric fit.</w:t>
      </w:r>
      <w:r w:rsidRPr="00E40137">
        <w:rPr>
          <w:rFonts w:ascii="Times New Roman" w:eastAsia="Times New Roman" w:hAnsi="Times New Roman" w:cs="Times New Roman" w:hint="eastAsia"/>
          <w:b/>
          <w:bCs/>
          <w:sz w:val="24"/>
          <w:szCs w:val="24"/>
          <w:lang w:val="en-HK"/>
        </w:rPr>
        <w:t xml:space="preserve"> </w:t>
      </w:r>
      <w:r w:rsidRPr="00E40137">
        <w:rPr>
          <w:rFonts w:ascii="Times New Roman" w:eastAsia="Times New Roman" w:hAnsi="Times New Roman" w:cs="Times New Roman"/>
          <w:sz w:val="24"/>
          <w:szCs w:val="24"/>
          <w:lang w:val="en-HK"/>
        </w:rPr>
        <w:t>Across all 600 predictions, smaller inter-residue distances were generally associated with higher inter-protein TM-scores (</w:t>
      </w:r>
      <w:proofErr w:type="spellStart"/>
      <w:r w:rsidRPr="00E40137">
        <w:rPr>
          <w:rFonts w:ascii="Times New Roman" w:eastAsia="Times New Roman" w:hAnsi="Times New Roman" w:cs="Times New Roman"/>
          <w:sz w:val="24"/>
          <w:szCs w:val="24"/>
          <w:lang w:val="en-HK"/>
        </w:rPr>
        <w:t>iPTM</w:t>
      </w:r>
      <w:proofErr w:type="spellEnd"/>
      <w:r w:rsidRPr="00E40137">
        <w:rPr>
          <w:rFonts w:ascii="Times New Roman" w:eastAsia="Times New Roman" w:hAnsi="Times New Roman" w:cs="Times New Roman"/>
          <w:sz w:val="24"/>
          <w:szCs w:val="24"/>
          <w:lang w:val="en-HK"/>
        </w:rPr>
        <w:t>), supporting overall consistency between structural compactness and model confidence (</w:t>
      </w:r>
      <w:r>
        <w:rPr>
          <w:rFonts w:ascii="Times New Roman" w:eastAsia="Times New Roman" w:hAnsi="Times New Roman" w:cs="Times New Roman"/>
          <w:sz w:val="24"/>
          <w:szCs w:val="24"/>
          <w:lang w:val="en-HK"/>
        </w:rPr>
        <w:t xml:space="preserve">Supplementary </w:t>
      </w:r>
      <w:r w:rsidRPr="00E40137">
        <w:rPr>
          <w:rFonts w:ascii="Times New Roman" w:eastAsia="Times New Roman" w:hAnsi="Times New Roman" w:cs="Times New Roman"/>
          <w:sz w:val="24"/>
          <w:szCs w:val="24"/>
          <w:lang w:val="en-HK"/>
        </w:rPr>
        <w:t xml:space="preserve">Fig. S2). Together, these results reinforce that I761 functions as a hydrophobic </w:t>
      </w:r>
      <w:r w:rsidRPr="00E40137">
        <w:rPr>
          <w:rFonts w:ascii="Times New Roman" w:eastAsia="Times New Roman" w:hAnsi="Times New Roman" w:cs="Times New Roman"/>
          <w:sz w:val="24"/>
          <w:szCs w:val="24"/>
          <w:lang w:val="en-HK"/>
        </w:rPr>
        <w:lastRenderedPageBreak/>
        <w:t>anchor stabilizing the TULP3–ACE2 interface. Hydrophobic substitutions partly preserve this interaction, whereas non-hydrophobic mutations disrupt it, confirming that hydrophobic complementarity at I761 underlies the stability of the predicted cargo-binding interface.</w:t>
      </w:r>
    </w:p>
    <w:p w14:paraId="5E50C6F5" w14:textId="77777777" w:rsidR="00475B63" w:rsidRPr="00E40137" w:rsidRDefault="00475B63" w:rsidP="00475B63">
      <w:pPr>
        <w:spacing w:before="100" w:beforeAutospacing="1" w:after="100" w:afterAutospacing="1" w:line="240" w:lineRule="auto"/>
        <w:rPr>
          <w:rFonts w:ascii="Times New Roman" w:eastAsia="Times New Roman" w:hAnsi="Times New Roman" w:cs="Times New Roman"/>
          <w:lang w:val="en-HK"/>
        </w:rPr>
      </w:pPr>
    </w:p>
    <w:p w14:paraId="5BED7E18" w14:textId="77777777" w:rsidR="00475B63" w:rsidRDefault="00475B63" w:rsidP="00475B63">
      <w:pPr>
        <w:spacing w:after="0" w:line="240" w:lineRule="auto"/>
        <w:jc w:val="left"/>
        <w:rPr>
          <w:rFonts w:ascii="Times New Roman" w:hAnsi="Times New Roman" w:cs="Times New Roman"/>
          <w:b/>
          <w:bCs/>
          <w:sz w:val="24"/>
          <w:szCs w:val="24"/>
          <w:lang w:val="en-HK"/>
        </w:rPr>
      </w:pPr>
      <w:r>
        <w:rPr>
          <w:rFonts w:ascii="Times New Roman" w:hAnsi="Times New Roman" w:cs="Times New Roman"/>
          <w:b/>
          <w:bCs/>
          <w:sz w:val="24"/>
          <w:szCs w:val="24"/>
          <w:lang w:val="en-HK"/>
        </w:rPr>
        <w:br w:type="page"/>
      </w:r>
    </w:p>
    <w:p w14:paraId="410B376F" w14:textId="77777777" w:rsidR="00475B63" w:rsidRDefault="00475B63" w:rsidP="00475B63">
      <w:pPr>
        <w:rPr>
          <w:rFonts w:ascii="Times New Roman" w:hAnsi="Times New Roman" w:cs="Times New Roman"/>
          <w:b/>
          <w:bCs/>
          <w:sz w:val="24"/>
          <w:szCs w:val="24"/>
          <w:lang w:val="en-HK"/>
        </w:rPr>
      </w:pPr>
      <w:r w:rsidRPr="00DD4544">
        <w:lastRenderedPageBreak/>
        <w:drawing>
          <wp:anchor distT="0" distB="0" distL="114300" distR="114300" simplePos="0" relativeHeight="251661312" behindDoc="0" locked="0" layoutInCell="1" allowOverlap="1" wp14:anchorId="5B178764" wp14:editId="1BD7B0D1">
            <wp:simplePos x="0" y="0"/>
            <wp:positionH relativeFrom="column">
              <wp:posOffset>438150</wp:posOffset>
            </wp:positionH>
            <wp:positionV relativeFrom="paragraph">
              <wp:posOffset>25309</wp:posOffset>
            </wp:positionV>
            <wp:extent cx="5019675" cy="4295775"/>
            <wp:effectExtent l="0" t="0" r="0" b="0"/>
            <wp:wrapTopAndBottom/>
            <wp:docPr id="991200794" name="Picture 1" descr="A diagram of a dn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00794" name="Picture 1" descr="A diagram of a dna molecule&#10;&#10;AI-generated content may be incorrect."/>
                    <pic:cNvPicPr/>
                  </pic:nvPicPr>
                  <pic:blipFill rotWithShape="1">
                    <a:blip r:embed="rId4" cstate="print">
                      <a:extLst>
                        <a:ext uri="{28A0092B-C50C-407E-A947-70E740481C1C}">
                          <a14:useLocalDpi xmlns:a14="http://schemas.microsoft.com/office/drawing/2010/main" val="0"/>
                        </a:ext>
                      </a:extLst>
                    </a:blip>
                    <a:srcRect b="6042"/>
                    <a:stretch>
                      <a:fillRect/>
                    </a:stretch>
                  </pic:blipFill>
                  <pic:spPr bwMode="auto">
                    <a:xfrm>
                      <a:off x="0" y="0"/>
                      <a:ext cx="5019675" cy="429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5A798F" w14:textId="77777777" w:rsidR="00475B63" w:rsidRPr="00E40137" w:rsidRDefault="00475B63" w:rsidP="00475B63">
      <w:pPr>
        <w:pStyle w:val="NormalWeb"/>
        <w:spacing w:before="0" w:beforeAutospacing="0" w:after="0" w:afterAutospacing="0"/>
        <w:rPr>
          <w:lang w:val="en-HK"/>
        </w:rPr>
      </w:pPr>
      <w:r w:rsidRPr="00E40137">
        <w:rPr>
          <w:b/>
          <w:bCs/>
          <w:lang w:val="en-HK"/>
        </w:rPr>
        <w:t>Supplementary figure 1</w:t>
      </w:r>
      <w:r w:rsidRPr="00E40137">
        <w:rPr>
          <w:lang w:val="en-HK"/>
        </w:rPr>
        <w:t xml:space="preserve">. </w:t>
      </w:r>
      <w:r w:rsidRPr="00E40137">
        <w:rPr>
          <w:b/>
          <w:bCs/>
          <w:lang w:val="en-HK"/>
        </w:rPr>
        <w:t>Sequence-Based Biophysical Profiling Identifies a Membrane-Proximal Helical Segment as a Candidate TULP3 Cargo Motif</w:t>
      </w:r>
      <w:r w:rsidRPr="00E40137">
        <w:rPr>
          <w:lang w:val="en-HK"/>
        </w:rPr>
        <w:t xml:space="preserve"> </w:t>
      </w:r>
    </w:p>
    <w:p w14:paraId="37F653CB" w14:textId="77777777" w:rsidR="00475B63" w:rsidRPr="00E40137" w:rsidRDefault="00475B63" w:rsidP="00475B63">
      <w:pPr>
        <w:pStyle w:val="NormalWeb"/>
        <w:spacing w:before="0" w:beforeAutospacing="0" w:after="0" w:afterAutospacing="0"/>
        <w:rPr>
          <w:lang w:val="en-HK"/>
        </w:rPr>
      </w:pPr>
      <w:r w:rsidRPr="00E40137">
        <w:rPr>
          <w:lang w:val="en-HK"/>
        </w:rPr>
        <w:t>A. Schematic diagram shows the domain organization of ACE2 and TULP3, with the identified binding region highlighted. Secondary structure and hydropathy analysis identified ACE2 (749–773) as a membrane-proximal hydrophobic stretch likely to adopt a helical conformation. In parallel, we selected a TULP3 fragment spanning residues 271–430, encompassing the full tubby domain (</w:t>
      </w:r>
      <w:r w:rsidRPr="00DD4544">
        <w:t>β</w:t>
      </w:r>
      <w:r w:rsidRPr="00E40137">
        <w:rPr>
          <w:lang w:val="en-HK"/>
        </w:rPr>
        <w:t>1–</w:t>
      </w:r>
      <w:r w:rsidRPr="00DD4544">
        <w:t>β</w:t>
      </w:r>
      <w:r w:rsidRPr="00E40137">
        <w:rPr>
          <w:lang w:val="en-HK"/>
        </w:rPr>
        <w:t>12) and its canonical cargo-binding surface (</w:t>
      </w:r>
      <w:r w:rsidRPr="00DD4544">
        <w:t>β</w:t>
      </w:r>
      <w:r w:rsidRPr="00E40137">
        <w:rPr>
          <w:lang w:val="en-HK"/>
        </w:rPr>
        <w:t>8–</w:t>
      </w:r>
      <w:r w:rsidRPr="00DD4544">
        <w:t>β</w:t>
      </w:r>
      <w:r w:rsidRPr="00E40137">
        <w:rPr>
          <w:lang w:val="en-HK"/>
        </w:rPr>
        <w:t xml:space="preserve">12). </w:t>
      </w:r>
    </w:p>
    <w:p w14:paraId="7FF95B59" w14:textId="77777777" w:rsidR="00475B63" w:rsidRPr="00E40137" w:rsidRDefault="00475B63" w:rsidP="00475B63">
      <w:pPr>
        <w:pStyle w:val="NormalWeb"/>
        <w:spacing w:before="0" w:beforeAutospacing="0" w:after="0" w:afterAutospacing="0"/>
        <w:rPr>
          <w:lang w:val="en-HK"/>
        </w:rPr>
      </w:pPr>
      <w:r w:rsidRPr="00E40137">
        <w:rPr>
          <w:lang w:val="en-HK"/>
        </w:rPr>
        <w:t xml:space="preserve">B. </w:t>
      </w:r>
      <w:r w:rsidRPr="00E40137">
        <w:rPr>
          <w:color w:val="000000"/>
          <w:lang w:val="en-HK"/>
        </w:rPr>
        <w:t xml:space="preserve">Illustrative model of the ACE2–TULP3 interaction. Full-length ACE2 (reddish) and TULP3 (blueish) structures predicted by AlphaFold3 and aligned based on the AlphaFold3-predicted ACE2 (749–773)–TULP3 (271–430) binding complex. Binding regions are displayed as </w:t>
      </w:r>
      <w:r>
        <w:rPr>
          <w:color w:val="000000"/>
          <w:lang w:val="en-HK"/>
        </w:rPr>
        <w:t xml:space="preserve">ribbon </w:t>
      </w:r>
      <w:r w:rsidRPr="00E40137">
        <w:rPr>
          <w:color w:val="000000"/>
          <w:lang w:val="en-HK"/>
        </w:rPr>
        <w:t>cartoons</w:t>
      </w:r>
      <w:r>
        <w:rPr>
          <w:color w:val="000000"/>
          <w:lang w:val="en-HK"/>
        </w:rPr>
        <w:t xml:space="preserve"> with solid </w:t>
      </w:r>
      <w:proofErr w:type="spellStart"/>
      <w:r>
        <w:rPr>
          <w:color w:val="000000"/>
          <w:lang w:val="en-HK"/>
        </w:rPr>
        <w:t>color</w:t>
      </w:r>
      <w:proofErr w:type="spellEnd"/>
      <w:r w:rsidRPr="00E40137">
        <w:rPr>
          <w:color w:val="000000"/>
          <w:lang w:val="en-HK"/>
        </w:rPr>
        <w:t>; non-binding regions as surfaces</w:t>
      </w:r>
      <w:r>
        <w:rPr>
          <w:color w:val="000000"/>
          <w:lang w:val="en-HK"/>
        </w:rPr>
        <w:t xml:space="preserve"> with muted </w:t>
      </w:r>
      <w:proofErr w:type="spellStart"/>
      <w:r>
        <w:rPr>
          <w:color w:val="000000"/>
          <w:lang w:val="en-HK"/>
        </w:rPr>
        <w:t>color</w:t>
      </w:r>
      <w:proofErr w:type="spellEnd"/>
      <w:r w:rsidRPr="00E40137">
        <w:rPr>
          <w:color w:val="000000"/>
          <w:lang w:val="en-HK"/>
        </w:rPr>
        <w:t>. This model provides architectural context for the spatial arrangement of the ACE2 membrane-proximal helix engaging the TULP3 tubby domain but has not been subjected to molecular dynamics refinement or membrane simulations.</w:t>
      </w:r>
    </w:p>
    <w:p w14:paraId="1C3265E9" w14:textId="77777777" w:rsidR="00475B63" w:rsidRPr="00E40137" w:rsidRDefault="00475B63" w:rsidP="00475B63">
      <w:pPr>
        <w:pStyle w:val="NormalWeb"/>
        <w:rPr>
          <w:lang w:val="en-HK"/>
        </w:rPr>
      </w:pPr>
      <w:r w:rsidRPr="009D4812">
        <w:rPr>
          <w:noProof/>
        </w:rPr>
        <w:lastRenderedPageBreak/>
        <w:drawing>
          <wp:anchor distT="0" distB="0" distL="114300" distR="114300" simplePos="0" relativeHeight="251659264" behindDoc="0" locked="0" layoutInCell="1" allowOverlap="1" wp14:anchorId="32D30366" wp14:editId="64362942">
            <wp:simplePos x="0" y="0"/>
            <wp:positionH relativeFrom="column">
              <wp:posOffset>1214120</wp:posOffset>
            </wp:positionH>
            <wp:positionV relativeFrom="paragraph">
              <wp:posOffset>193040</wp:posOffset>
            </wp:positionV>
            <wp:extent cx="3489325" cy="3221990"/>
            <wp:effectExtent l="0" t="0" r="3175" b="3810"/>
            <wp:wrapTopAndBottom/>
            <wp:docPr id="6" name="Picture 5" descr="A diagram of different colors&#10;&#10;AI-generated content may be incorrect.">
              <a:extLst xmlns:a="http://schemas.openxmlformats.org/drawingml/2006/main">
                <a:ext uri="{FF2B5EF4-FFF2-40B4-BE49-F238E27FC236}">
                  <a16:creationId xmlns:a16="http://schemas.microsoft.com/office/drawing/2014/main" id="{D45DA548-9BD4-3B64-C583-8F2525D910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diagram of different colors&#10;&#10;AI-generated content may be incorrect.">
                      <a:extLst>
                        <a:ext uri="{FF2B5EF4-FFF2-40B4-BE49-F238E27FC236}">
                          <a16:creationId xmlns:a16="http://schemas.microsoft.com/office/drawing/2014/main" id="{D45DA548-9BD4-3B64-C583-8F2525D910EE}"/>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89325" cy="3221990"/>
                    </a:xfrm>
                    <a:prstGeom prst="rect">
                      <a:avLst/>
                    </a:prstGeom>
                  </pic:spPr>
                </pic:pic>
              </a:graphicData>
            </a:graphic>
            <wp14:sizeRelH relativeFrom="page">
              <wp14:pctWidth>0</wp14:pctWidth>
            </wp14:sizeRelH>
            <wp14:sizeRelV relativeFrom="page">
              <wp14:pctHeight>0</wp14:pctHeight>
            </wp14:sizeRelV>
          </wp:anchor>
        </w:drawing>
      </w:r>
    </w:p>
    <w:p w14:paraId="547C69CB" w14:textId="77777777" w:rsidR="00475B63" w:rsidRPr="00E40137" w:rsidRDefault="00475B63" w:rsidP="00475B63">
      <w:pPr>
        <w:pStyle w:val="NormalWeb"/>
        <w:rPr>
          <w:lang w:val="en-HK"/>
        </w:rPr>
      </w:pPr>
      <w:r w:rsidRPr="00E40137">
        <w:rPr>
          <w:rStyle w:val="Strong"/>
          <w:rFonts w:eastAsiaTheme="majorEastAsia"/>
          <w:color w:val="000000" w:themeColor="text1"/>
          <w:lang w:val="en-HK"/>
        </w:rPr>
        <w:t>Supplementary Figure 2. Effects of I761 mutations on the TULP3–ACE2 interface.</w:t>
      </w:r>
      <w:r w:rsidRPr="00E40137">
        <w:rPr>
          <w:rFonts w:hint="eastAsia"/>
          <w:color w:val="000000" w:themeColor="text1"/>
          <w:lang w:val="en-HK"/>
        </w:rPr>
        <w:t xml:space="preserve"> </w:t>
      </w:r>
      <w:r w:rsidRPr="00E40137">
        <w:rPr>
          <w:lang w:val="en-HK"/>
        </w:rPr>
        <w:t xml:space="preserve">Heatmap showing inter-residue distances between TULP3 and ACE2 upon mutation of ACE2 residue I761. The </w:t>
      </w:r>
      <w:r w:rsidRPr="00E40137">
        <w:rPr>
          <w:rStyle w:val="Emphasis"/>
          <w:rFonts w:eastAsiaTheme="majorEastAsia"/>
          <w:lang w:val="en-HK"/>
        </w:rPr>
        <w:t>x</w:t>
      </w:r>
      <w:r w:rsidRPr="00E40137">
        <w:rPr>
          <w:lang w:val="en-HK"/>
        </w:rPr>
        <w:t>-axis represents six distance definitions, combining two residue pairs (N390–I761 and F391–I761) with three distance metrics (C</w:t>
      </w:r>
      <w:r>
        <w:t>β</w:t>
      </w:r>
      <w:r w:rsidRPr="00E40137">
        <w:rPr>
          <w:lang w:val="en-HK"/>
        </w:rPr>
        <w:t>–C</w:t>
      </w:r>
      <w:r>
        <w:t>β</w:t>
      </w:r>
      <w:r w:rsidRPr="00E40137">
        <w:rPr>
          <w:lang w:val="en-HK"/>
        </w:rPr>
        <w:t xml:space="preserve">, minimum heavy-atom, and </w:t>
      </w:r>
      <w:proofErr w:type="spellStart"/>
      <w:r w:rsidRPr="00E40137">
        <w:rPr>
          <w:lang w:val="en-HK"/>
        </w:rPr>
        <w:t>center</w:t>
      </w:r>
      <w:proofErr w:type="spellEnd"/>
      <w:r w:rsidRPr="00E40137">
        <w:rPr>
          <w:lang w:val="en-HK"/>
        </w:rPr>
        <w:t xml:space="preserve">-of-mass). The </w:t>
      </w:r>
      <w:r w:rsidRPr="00E40137">
        <w:rPr>
          <w:rStyle w:val="Emphasis"/>
          <w:rFonts w:eastAsiaTheme="majorEastAsia"/>
          <w:lang w:val="en-HK"/>
        </w:rPr>
        <w:t>y</w:t>
      </w:r>
      <w:r w:rsidRPr="00E40137">
        <w:rPr>
          <w:lang w:val="en-HK"/>
        </w:rPr>
        <w:t xml:space="preserve">-axis lists the 20 amino-acid substitutions at position 761. Each cell shows the average distance from the six top-ranked AlphaFold3 predictions for that mutation. Cooler </w:t>
      </w:r>
      <w:proofErr w:type="spellStart"/>
      <w:r w:rsidRPr="00E40137">
        <w:rPr>
          <w:lang w:val="en-HK"/>
        </w:rPr>
        <w:t>colors</w:t>
      </w:r>
      <w:proofErr w:type="spellEnd"/>
      <w:r w:rsidRPr="00E40137">
        <w:rPr>
          <w:lang w:val="en-HK"/>
        </w:rPr>
        <w:t xml:space="preserve"> indicate shorter distances (tighter packing), whereas warmer </w:t>
      </w:r>
      <w:proofErr w:type="spellStart"/>
      <w:r w:rsidRPr="00E40137">
        <w:rPr>
          <w:lang w:val="en-HK"/>
        </w:rPr>
        <w:t>colors</w:t>
      </w:r>
      <w:proofErr w:type="spellEnd"/>
      <w:r w:rsidRPr="00E40137">
        <w:rPr>
          <w:lang w:val="en-HK"/>
        </w:rPr>
        <w:t xml:space="preserve"> indicate longer distances (looser packing).</w:t>
      </w:r>
    </w:p>
    <w:p w14:paraId="43F37BE5" w14:textId="77777777" w:rsidR="00475B63" w:rsidRDefault="00475B63" w:rsidP="00475B63">
      <w:pPr>
        <w:pStyle w:val="NormalWeb"/>
        <w:rPr>
          <w:rFonts w:eastAsia="SimSun"/>
          <w:b/>
          <w:bCs/>
          <w:lang w:val="en-US"/>
        </w:rPr>
      </w:pPr>
      <w:r>
        <w:rPr>
          <w:rFonts w:eastAsia="SimSun"/>
          <w:b/>
          <w:bCs/>
          <w:noProof/>
          <w:lang w:val="en-US"/>
        </w:rPr>
        <w:lastRenderedPageBreak/>
        <w:drawing>
          <wp:anchor distT="0" distB="0" distL="114300" distR="114300" simplePos="0" relativeHeight="251660288" behindDoc="0" locked="0" layoutInCell="1" allowOverlap="1" wp14:anchorId="0CD9B494" wp14:editId="47622950">
            <wp:simplePos x="0" y="0"/>
            <wp:positionH relativeFrom="column">
              <wp:posOffset>762000</wp:posOffset>
            </wp:positionH>
            <wp:positionV relativeFrom="paragraph">
              <wp:posOffset>0</wp:posOffset>
            </wp:positionV>
            <wp:extent cx="4324350" cy="5549265"/>
            <wp:effectExtent l="0" t="0" r="6350" b="635"/>
            <wp:wrapTopAndBottom/>
            <wp:docPr id="2" name="图片 2" descr="Supplementary Fig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4(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324350" cy="5549265"/>
                    </a:xfrm>
                    <a:prstGeom prst="rect">
                      <a:avLst/>
                    </a:prstGeom>
                  </pic:spPr>
                </pic:pic>
              </a:graphicData>
            </a:graphic>
            <wp14:sizeRelH relativeFrom="page">
              <wp14:pctWidth>0</wp14:pctWidth>
            </wp14:sizeRelH>
            <wp14:sizeRelV relativeFrom="page">
              <wp14:pctHeight>0</wp14:pctHeight>
            </wp14:sizeRelV>
          </wp:anchor>
        </w:drawing>
      </w:r>
    </w:p>
    <w:p w14:paraId="6EE4D04A" w14:textId="77777777" w:rsidR="00475B63" w:rsidRPr="00E40137" w:rsidRDefault="00475B63" w:rsidP="00475B63">
      <w:pPr>
        <w:pStyle w:val="NormalWeb"/>
        <w:rPr>
          <w:rFonts w:eastAsia="SimSun"/>
          <w:b/>
          <w:bCs/>
          <w:lang w:val="en-US"/>
        </w:rPr>
      </w:pPr>
      <w:r>
        <w:rPr>
          <w:rFonts w:eastAsia="SimSun" w:hint="eastAsia"/>
          <w:b/>
          <w:bCs/>
          <w:lang w:val="en-US"/>
        </w:rPr>
        <w:t xml:space="preserve">Supplementary Figure </w:t>
      </w:r>
      <w:r>
        <w:rPr>
          <w:rFonts w:eastAsia="SimSun"/>
          <w:b/>
          <w:bCs/>
          <w:lang w:val="en-US"/>
        </w:rPr>
        <w:t>3</w:t>
      </w:r>
      <w:r>
        <w:rPr>
          <w:rFonts w:eastAsia="SimSun" w:hint="eastAsia"/>
          <w:b/>
          <w:bCs/>
          <w:lang w:val="en-US"/>
        </w:rPr>
        <w:t>. I</w:t>
      </w:r>
      <w:r>
        <w:rPr>
          <w:rFonts w:eastAsia="SimSun"/>
          <w:b/>
          <w:bCs/>
          <w:lang w:val="en-US"/>
        </w:rPr>
        <w:t>mmunofluorescence</w:t>
      </w:r>
      <w:r>
        <w:rPr>
          <w:rFonts w:eastAsia="SimSun" w:hint="eastAsia"/>
          <w:b/>
          <w:bCs/>
          <w:lang w:val="en-US"/>
        </w:rPr>
        <w:t xml:space="preserve"> staining </w:t>
      </w:r>
      <w:r>
        <w:rPr>
          <w:rFonts w:eastAsia="SimSun"/>
          <w:b/>
          <w:bCs/>
          <w:lang w:val="en-US"/>
        </w:rPr>
        <w:t>of</w:t>
      </w:r>
      <w:r>
        <w:rPr>
          <w:rFonts w:eastAsia="SimSun" w:hint="eastAsia"/>
          <w:b/>
          <w:bCs/>
          <w:lang w:val="en-US"/>
        </w:rPr>
        <w:t xml:space="preserve"> ARL13B and TULP3 </w:t>
      </w:r>
      <w:r>
        <w:rPr>
          <w:rFonts w:eastAsia="SimSun"/>
          <w:b/>
          <w:bCs/>
          <w:lang w:val="en-US"/>
        </w:rPr>
        <w:t xml:space="preserve">in the A549 cells </w:t>
      </w:r>
      <w:r w:rsidRPr="008E24E6">
        <w:rPr>
          <w:rFonts w:eastAsia="SimSun"/>
          <w:lang w:val="en-US"/>
        </w:rPr>
        <w:t>Representative immunofluorescence images show a reduced fluorescent intensity on the KD proteins in the ARL13B and TULP3KD groups in A549 cells.</w:t>
      </w:r>
    </w:p>
    <w:p w14:paraId="16641ADF" w14:textId="77777777" w:rsidR="00A928F1" w:rsidRPr="00475B63" w:rsidRDefault="00A928F1">
      <w:pPr>
        <w:rPr>
          <w:lang w:val="en-US"/>
        </w:rPr>
      </w:pPr>
    </w:p>
    <w:sectPr w:rsidR="00A928F1" w:rsidRPr="00475B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B63"/>
    <w:rsid w:val="0030472A"/>
    <w:rsid w:val="004300F5"/>
    <w:rsid w:val="00475B63"/>
    <w:rsid w:val="00A928F1"/>
    <w:rsid w:val="00AB6E05"/>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B23200"/>
  <w15:chartTrackingRefBased/>
  <w15:docId w15:val="{20024201-AAA0-2D4B-821C-C75A40C8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H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B63"/>
    <w:pPr>
      <w:spacing w:after="120" w:line="276" w:lineRule="auto"/>
      <w:jc w:val="both"/>
    </w:pPr>
    <w:rPr>
      <w:kern w:val="0"/>
      <w:sz w:val="20"/>
      <w:szCs w:val="20"/>
      <w:lang w:val="zh-CN"/>
      <w14:ligatures w14:val="none"/>
    </w:rPr>
  </w:style>
  <w:style w:type="paragraph" w:styleId="Heading1">
    <w:name w:val="heading 1"/>
    <w:basedOn w:val="Normal"/>
    <w:next w:val="Normal"/>
    <w:link w:val="Heading1Char"/>
    <w:uiPriority w:val="9"/>
    <w:qFormat/>
    <w:rsid w:val="00475B63"/>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HK"/>
      <w14:ligatures w14:val="standardContextual"/>
    </w:rPr>
  </w:style>
  <w:style w:type="paragraph" w:styleId="Heading2">
    <w:name w:val="heading 2"/>
    <w:basedOn w:val="Normal"/>
    <w:next w:val="Normal"/>
    <w:link w:val="Heading2Char"/>
    <w:uiPriority w:val="9"/>
    <w:semiHidden/>
    <w:unhideWhenUsed/>
    <w:qFormat/>
    <w:rsid w:val="00475B63"/>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HK"/>
      <w14:ligatures w14:val="standardContextual"/>
    </w:rPr>
  </w:style>
  <w:style w:type="paragraph" w:styleId="Heading3">
    <w:name w:val="heading 3"/>
    <w:basedOn w:val="Normal"/>
    <w:next w:val="Normal"/>
    <w:link w:val="Heading3Char"/>
    <w:uiPriority w:val="9"/>
    <w:semiHidden/>
    <w:unhideWhenUsed/>
    <w:qFormat/>
    <w:rsid w:val="00475B63"/>
    <w:pPr>
      <w:keepNext/>
      <w:keepLines/>
      <w:spacing w:before="160" w:after="80" w:line="278" w:lineRule="auto"/>
      <w:jc w:val="left"/>
      <w:outlineLvl w:val="2"/>
    </w:pPr>
    <w:rPr>
      <w:rFonts w:eastAsiaTheme="majorEastAsia" w:cstheme="majorBidi"/>
      <w:color w:val="0F4761" w:themeColor="accent1" w:themeShade="BF"/>
      <w:kern w:val="2"/>
      <w:sz w:val="28"/>
      <w:szCs w:val="28"/>
      <w:lang w:val="en-HK"/>
      <w14:ligatures w14:val="standardContextual"/>
    </w:rPr>
  </w:style>
  <w:style w:type="paragraph" w:styleId="Heading4">
    <w:name w:val="heading 4"/>
    <w:basedOn w:val="Normal"/>
    <w:next w:val="Normal"/>
    <w:link w:val="Heading4Char"/>
    <w:uiPriority w:val="9"/>
    <w:semiHidden/>
    <w:unhideWhenUsed/>
    <w:qFormat/>
    <w:rsid w:val="00475B63"/>
    <w:pPr>
      <w:keepNext/>
      <w:keepLines/>
      <w:spacing w:before="80" w:after="40" w:line="278" w:lineRule="auto"/>
      <w:jc w:val="left"/>
      <w:outlineLvl w:val="3"/>
    </w:pPr>
    <w:rPr>
      <w:rFonts w:eastAsiaTheme="majorEastAsia" w:cstheme="majorBidi"/>
      <w:i/>
      <w:iCs/>
      <w:color w:val="0F4761" w:themeColor="accent1" w:themeShade="BF"/>
      <w:kern w:val="2"/>
      <w:sz w:val="24"/>
      <w:szCs w:val="24"/>
      <w:lang w:val="en-HK"/>
      <w14:ligatures w14:val="standardContextual"/>
    </w:rPr>
  </w:style>
  <w:style w:type="paragraph" w:styleId="Heading5">
    <w:name w:val="heading 5"/>
    <w:basedOn w:val="Normal"/>
    <w:next w:val="Normal"/>
    <w:link w:val="Heading5Char"/>
    <w:uiPriority w:val="9"/>
    <w:semiHidden/>
    <w:unhideWhenUsed/>
    <w:qFormat/>
    <w:rsid w:val="00475B63"/>
    <w:pPr>
      <w:keepNext/>
      <w:keepLines/>
      <w:spacing w:before="80" w:after="40" w:line="278" w:lineRule="auto"/>
      <w:jc w:val="left"/>
      <w:outlineLvl w:val="4"/>
    </w:pPr>
    <w:rPr>
      <w:rFonts w:eastAsiaTheme="majorEastAsia" w:cstheme="majorBidi"/>
      <w:color w:val="0F4761" w:themeColor="accent1" w:themeShade="BF"/>
      <w:kern w:val="2"/>
      <w:sz w:val="24"/>
      <w:szCs w:val="24"/>
      <w:lang w:val="en-HK"/>
      <w14:ligatures w14:val="standardContextual"/>
    </w:rPr>
  </w:style>
  <w:style w:type="paragraph" w:styleId="Heading6">
    <w:name w:val="heading 6"/>
    <w:basedOn w:val="Normal"/>
    <w:next w:val="Normal"/>
    <w:link w:val="Heading6Char"/>
    <w:uiPriority w:val="9"/>
    <w:semiHidden/>
    <w:unhideWhenUsed/>
    <w:qFormat/>
    <w:rsid w:val="00475B63"/>
    <w:pPr>
      <w:keepNext/>
      <w:keepLines/>
      <w:spacing w:before="40" w:after="0" w:line="278" w:lineRule="auto"/>
      <w:jc w:val="left"/>
      <w:outlineLvl w:val="5"/>
    </w:pPr>
    <w:rPr>
      <w:rFonts w:eastAsiaTheme="majorEastAsia" w:cstheme="majorBidi"/>
      <w:i/>
      <w:iCs/>
      <w:color w:val="595959" w:themeColor="text1" w:themeTint="A6"/>
      <w:kern w:val="2"/>
      <w:sz w:val="24"/>
      <w:szCs w:val="24"/>
      <w:lang w:val="en-HK"/>
      <w14:ligatures w14:val="standardContextual"/>
    </w:rPr>
  </w:style>
  <w:style w:type="paragraph" w:styleId="Heading7">
    <w:name w:val="heading 7"/>
    <w:basedOn w:val="Normal"/>
    <w:next w:val="Normal"/>
    <w:link w:val="Heading7Char"/>
    <w:uiPriority w:val="9"/>
    <w:semiHidden/>
    <w:unhideWhenUsed/>
    <w:qFormat/>
    <w:rsid w:val="00475B63"/>
    <w:pPr>
      <w:keepNext/>
      <w:keepLines/>
      <w:spacing w:before="40" w:after="0" w:line="278" w:lineRule="auto"/>
      <w:jc w:val="left"/>
      <w:outlineLvl w:val="6"/>
    </w:pPr>
    <w:rPr>
      <w:rFonts w:eastAsiaTheme="majorEastAsia" w:cstheme="majorBidi"/>
      <w:color w:val="595959" w:themeColor="text1" w:themeTint="A6"/>
      <w:kern w:val="2"/>
      <w:sz w:val="24"/>
      <w:szCs w:val="24"/>
      <w:lang w:val="en-HK"/>
      <w14:ligatures w14:val="standardContextual"/>
    </w:rPr>
  </w:style>
  <w:style w:type="paragraph" w:styleId="Heading8">
    <w:name w:val="heading 8"/>
    <w:basedOn w:val="Normal"/>
    <w:next w:val="Normal"/>
    <w:link w:val="Heading8Char"/>
    <w:uiPriority w:val="9"/>
    <w:semiHidden/>
    <w:unhideWhenUsed/>
    <w:qFormat/>
    <w:rsid w:val="00475B63"/>
    <w:pPr>
      <w:keepNext/>
      <w:keepLines/>
      <w:spacing w:after="0" w:line="278" w:lineRule="auto"/>
      <w:jc w:val="left"/>
      <w:outlineLvl w:val="7"/>
    </w:pPr>
    <w:rPr>
      <w:rFonts w:eastAsiaTheme="majorEastAsia" w:cstheme="majorBidi"/>
      <w:i/>
      <w:iCs/>
      <w:color w:val="272727" w:themeColor="text1" w:themeTint="D8"/>
      <w:kern w:val="2"/>
      <w:sz w:val="24"/>
      <w:szCs w:val="24"/>
      <w:lang w:val="en-HK"/>
      <w14:ligatures w14:val="standardContextual"/>
    </w:rPr>
  </w:style>
  <w:style w:type="paragraph" w:styleId="Heading9">
    <w:name w:val="heading 9"/>
    <w:basedOn w:val="Normal"/>
    <w:next w:val="Normal"/>
    <w:link w:val="Heading9Char"/>
    <w:uiPriority w:val="9"/>
    <w:semiHidden/>
    <w:unhideWhenUsed/>
    <w:qFormat/>
    <w:rsid w:val="00475B63"/>
    <w:pPr>
      <w:keepNext/>
      <w:keepLines/>
      <w:spacing w:after="0" w:line="278" w:lineRule="auto"/>
      <w:jc w:val="left"/>
      <w:outlineLvl w:val="8"/>
    </w:pPr>
    <w:rPr>
      <w:rFonts w:eastAsiaTheme="majorEastAsia" w:cstheme="majorBidi"/>
      <w:color w:val="272727" w:themeColor="text1" w:themeTint="D8"/>
      <w:kern w:val="2"/>
      <w:sz w:val="24"/>
      <w:szCs w:val="24"/>
      <w:lang w:val="en-HK"/>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B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B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B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B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B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B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B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B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B63"/>
    <w:rPr>
      <w:rFonts w:eastAsiaTheme="majorEastAsia" w:cstheme="majorBidi"/>
      <w:color w:val="272727" w:themeColor="text1" w:themeTint="D8"/>
    </w:rPr>
  </w:style>
  <w:style w:type="paragraph" w:styleId="Title">
    <w:name w:val="Title"/>
    <w:basedOn w:val="Normal"/>
    <w:next w:val="Normal"/>
    <w:link w:val="TitleChar"/>
    <w:uiPriority w:val="10"/>
    <w:qFormat/>
    <w:rsid w:val="00475B63"/>
    <w:pPr>
      <w:spacing w:after="80" w:line="240" w:lineRule="auto"/>
      <w:contextualSpacing/>
      <w:jc w:val="left"/>
    </w:pPr>
    <w:rPr>
      <w:rFonts w:asciiTheme="majorHAnsi" w:eastAsiaTheme="majorEastAsia" w:hAnsiTheme="majorHAnsi" w:cstheme="majorBidi"/>
      <w:spacing w:val="-10"/>
      <w:kern w:val="28"/>
      <w:sz w:val="56"/>
      <w:szCs w:val="56"/>
      <w:lang w:val="en-HK"/>
      <w14:ligatures w14:val="standardContextual"/>
    </w:rPr>
  </w:style>
  <w:style w:type="character" w:customStyle="1" w:styleId="TitleChar">
    <w:name w:val="Title Char"/>
    <w:basedOn w:val="DefaultParagraphFont"/>
    <w:link w:val="Title"/>
    <w:uiPriority w:val="10"/>
    <w:rsid w:val="00475B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B63"/>
    <w:pPr>
      <w:numPr>
        <w:ilvl w:val="1"/>
      </w:numPr>
      <w:spacing w:after="160" w:line="278" w:lineRule="auto"/>
      <w:jc w:val="left"/>
    </w:pPr>
    <w:rPr>
      <w:rFonts w:eastAsiaTheme="majorEastAsia" w:cstheme="majorBidi"/>
      <w:color w:val="595959" w:themeColor="text1" w:themeTint="A6"/>
      <w:spacing w:val="15"/>
      <w:kern w:val="2"/>
      <w:sz w:val="28"/>
      <w:szCs w:val="28"/>
      <w:lang w:val="en-HK"/>
      <w14:ligatures w14:val="standardContextual"/>
    </w:rPr>
  </w:style>
  <w:style w:type="character" w:customStyle="1" w:styleId="SubtitleChar">
    <w:name w:val="Subtitle Char"/>
    <w:basedOn w:val="DefaultParagraphFont"/>
    <w:link w:val="Subtitle"/>
    <w:uiPriority w:val="11"/>
    <w:rsid w:val="00475B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B63"/>
    <w:pPr>
      <w:spacing w:before="160" w:after="160" w:line="278" w:lineRule="auto"/>
      <w:jc w:val="center"/>
    </w:pPr>
    <w:rPr>
      <w:i/>
      <w:iCs/>
      <w:color w:val="404040" w:themeColor="text1" w:themeTint="BF"/>
      <w:kern w:val="2"/>
      <w:sz w:val="24"/>
      <w:szCs w:val="24"/>
      <w:lang w:val="en-HK"/>
      <w14:ligatures w14:val="standardContextual"/>
    </w:rPr>
  </w:style>
  <w:style w:type="character" w:customStyle="1" w:styleId="QuoteChar">
    <w:name w:val="Quote Char"/>
    <w:basedOn w:val="DefaultParagraphFont"/>
    <w:link w:val="Quote"/>
    <w:uiPriority w:val="29"/>
    <w:rsid w:val="00475B63"/>
    <w:rPr>
      <w:i/>
      <w:iCs/>
      <w:color w:val="404040" w:themeColor="text1" w:themeTint="BF"/>
    </w:rPr>
  </w:style>
  <w:style w:type="paragraph" w:styleId="ListParagraph">
    <w:name w:val="List Paragraph"/>
    <w:basedOn w:val="Normal"/>
    <w:uiPriority w:val="34"/>
    <w:qFormat/>
    <w:rsid w:val="00475B63"/>
    <w:pPr>
      <w:spacing w:after="160" w:line="278" w:lineRule="auto"/>
      <w:ind w:left="720"/>
      <w:contextualSpacing/>
      <w:jc w:val="left"/>
    </w:pPr>
    <w:rPr>
      <w:kern w:val="2"/>
      <w:sz w:val="24"/>
      <w:szCs w:val="24"/>
      <w:lang w:val="en-HK"/>
      <w14:ligatures w14:val="standardContextual"/>
    </w:rPr>
  </w:style>
  <w:style w:type="character" w:styleId="IntenseEmphasis">
    <w:name w:val="Intense Emphasis"/>
    <w:basedOn w:val="DefaultParagraphFont"/>
    <w:uiPriority w:val="21"/>
    <w:qFormat/>
    <w:rsid w:val="00475B63"/>
    <w:rPr>
      <w:i/>
      <w:iCs/>
      <w:color w:val="0F4761" w:themeColor="accent1" w:themeShade="BF"/>
    </w:rPr>
  </w:style>
  <w:style w:type="paragraph" w:styleId="IntenseQuote">
    <w:name w:val="Intense Quote"/>
    <w:basedOn w:val="Normal"/>
    <w:next w:val="Normal"/>
    <w:link w:val="IntenseQuoteChar"/>
    <w:uiPriority w:val="30"/>
    <w:qFormat/>
    <w:rsid w:val="00475B6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HK"/>
      <w14:ligatures w14:val="standardContextual"/>
    </w:rPr>
  </w:style>
  <w:style w:type="character" w:customStyle="1" w:styleId="IntenseQuoteChar">
    <w:name w:val="Intense Quote Char"/>
    <w:basedOn w:val="DefaultParagraphFont"/>
    <w:link w:val="IntenseQuote"/>
    <w:uiPriority w:val="30"/>
    <w:rsid w:val="00475B63"/>
    <w:rPr>
      <w:i/>
      <w:iCs/>
      <w:color w:val="0F4761" w:themeColor="accent1" w:themeShade="BF"/>
    </w:rPr>
  </w:style>
  <w:style w:type="character" w:styleId="IntenseReference">
    <w:name w:val="Intense Reference"/>
    <w:basedOn w:val="DefaultParagraphFont"/>
    <w:uiPriority w:val="32"/>
    <w:qFormat/>
    <w:rsid w:val="00475B63"/>
    <w:rPr>
      <w:b/>
      <w:bCs/>
      <w:smallCaps/>
      <w:color w:val="0F4761" w:themeColor="accent1" w:themeShade="BF"/>
      <w:spacing w:val="5"/>
    </w:rPr>
  </w:style>
  <w:style w:type="paragraph" w:styleId="NormalWeb">
    <w:name w:val="Normal (Web)"/>
    <w:basedOn w:val="Normal"/>
    <w:autoRedefine/>
    <w:uiPriority w:val="99"/>
    <w:unhideWhenUsed/>
    <w:qFormat/>
    <w:rsid w:val="00475B63"/>
    <w:pPr>
      <w:spacing w:before="100" w:beforeAutospacing="1" w:after="100" w:afterAutospacing="1" w:line="360" w:lineRule="auto"/>
    </w:pPr>
    <w:rPr>
      <w:rFonts w:ascii="Times New Roman" w:eastAsia="Times New Roman" w:hAnsi="Times New Roman" w:cs="Times New Roman"/>
      <w:sz w:val="24"/>
      <w:szCs w:val="24"/>
    </w:rPr>
  </w:style>
  <w:style w:type="character" w:styleId="Strong">
    <w:name w:val="Strong"/>
    <w:uiPriority w:val="22"/>
    <w:qFormat/>
    <w:rsid w:val="00475B63"/>
    <w:rPr>
      <w:b/>
      <w:color w:val="E97132" w:themeColor="accent2"/>
    </w:rPr>
  </w:style>
  <w:style w:type="character" w:styleId="Emphasis">
    <w:name w:val="Emphasis"/>
    <w:uiPriority w:val="20"/>
    <w:qFormat/>
    <w:rsid w:val="00475B63"/>
    <w:rPr>
      <w:b/>
      <w:i/>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6571</Characters>
  <Application>Microsoft Office Word</Application>
  <DocSecurity>0</DocSecurity>
  <Lines>54</Lines>
  <Paragraphs>15</Paragraphs>
  <ScaleCrop>false</ScaleCrop>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 Catherine Hong Huan</dc:creator>
  <cp:keywords/>
  <dc:description/>
  <cp:lastModifiedBy>HOR Catherine Hong Huan</cp:lastModifiedBy>
  <cp:revision>1</cp:revision>
  <dcterms:created xsi:type="dcterms:W3CDTF">2025-10-14T05:42:00Z</dcterms:created>
  <dcterms:modified xsi:type="dcterms:W3CDTF">2025-10-14T05:42:00Z</dcterms:modified>
</cp:coreProperties>
</file>