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1D0D" w:rsidRPr="00F3263B" w:rsidRDefault="00D01D0D" w:rsidP="00D01D0D">
      <w:pPr>
        <w:spacing w:line="480" w:lineRule="auto"/>
        <w:jc w:val="both"/>
        <w:rPr>
          <w:rStyle w:val="Strong"/>
          <w:rFonts w:ascii="Times New Roman" w:hAnsi="Times New Roman" w:cs="Times New Roman"/>
          <w:szCs w:val="24"/>
        </w:rPr>
      </w:pPr>
      <w:r w:rsidRPr="00F3263B">
        <w:rPr>
          <w:rStyle w:val="Strong"/>
          <w:rFonts w:ascii="Times New Roman" w:hAnsi="Times New Roman" w:cs="Times New Roman"/>
          <w:szCs w:val="24"/>
        </w:rPr>
        <w:t>Supplementary Methods</w:t>
      </w:r>
    </w:p>
    <w:p w:rsidR="00D01D0D" w:rsidRPr="00F3263B" w:rsidRDefault="00D01D0D" w:rsidP="00D01D0D">
      <w:pPr>
        <w:widowControl/>
        <w:spacing w:line="480" w:lineRule="auto"/>
        <w:jc w:val="both"/>
        <w:outlineLvl w:val="2"/>
        <w:rPr>
          <w:rFonts w:ascii="Times New Roman" w:eastAsia="PMingLiU" w:hAnsi="Times New Roman" w:cs="Times New Roman"/>
          <w:b/>
          <w:bCs/>
          <w:kern w:val="0"/>
          <w:szCs w:val="24"/>
          <w:lang w:bidi="ar-SA"/>
        </w:rPr>
      </w:pPr>
      <w:r w:rsidRPr="00F3263B">
        <w:rPr>
          <w:rFonts w:ascii="Times New Roman" w:eastAsia="PMingLiU" w:hAnsi="Times New Roman" w:cs="Times New Roman"/>
          <w:b/>
          <w:bCs/>
          <w:kern w:val="0"/>
          <w:szCs w:val="24"/>
          <w:lang w:bidi="ar-SA"/>
        </w:rPr>
        <w:t>Establishment of stable LDOC1-knockdown cell lines</w:t>
      </w:r>
    </w:p>
    <w:p w:rsidR="00D01D0D" w:rsidRPr="00F3263B" w:rsidRDefault="00D01D0D" w:rsidP="00D01D0D">
      <w:pPr>
        <w:pStyle w:val="Default"/>
        <w:spacing w:line="480" w:lineRule="auto"/>
        <w:jc w:val="both"/>
        <w:rPr>
          <w:rFonts w:eastAsia="PMingLiU"/>
        </w:rPr>
      </w:pPr>
      <w:r w:rsidRPr="00F3263B">
        <w:rPr>
          <w:rFonts w:eastAsia="PMingLiU"/>
        </w:rPr>
        <w:t>Lentiviral vectors (</w:t>
      </w:r>
      <w:r w:rsidRPr="00F3263B">
        <w:t>pLAS2w.Ppuro</w:t>
      </w:r>
      <w:r w:rsidRPr="00F3263B">
        <w:rPr>
          <w:rFonts w:eastAsia="PMingLiU"/>
        </w:rPr>
        <w:t xml:space="preserve">) carrying </w:t>
      </w:r>
      <w:proofErr w:type="spellStart"/>
      <w:r w:rsidRPr="00F3263B">
        <w:rPr>
          <w:rFonts w:eastAsia="PMingLiU"/>
        </w:rPr>
        <w:t>shRNAs</w:t>
      </w:r>
      <w:proofErr w:type="spellEnd"/>
      <w:r w:rsidRPr="00F3263B">
        <w:rPr>
          <w:rFonts w:eastAsia="PMingLiU"/>
        </w:rPr>
        <w:t xml:space="preserve"> targeting human LDOC1 were used to generate two independent knockdown sublines. The target sequences were A549-shLDOC1-1, 5′-GCCTTCCTCGATGAGATGAAA-3′ (TRCN0000118178), </w:t>
      </w:r>
      <w:bookmarkStart w:id="0" w:name="_GoBack"/>
      <w:bookmarkEnd w:id="0"/>
      <w:r w:rsidRPr="00F3263B">
        <w:rPr>
          <w:rFonts w:eastAsia="PMingLiU"/>
        </w:rPr>
        <w:t>and A549-shLDOC1-2, 5′-GCTCGTGAACGAGAACCGATT-3′ (TRCN0000118179). In parallel, control cell lines (A549-shCtrl-1 and A549-shCtrl-2) were established using lentiviruses encoding a scrambled shRNA sequence.</w:t>
      </w:r>
      <w:r w:rsidRPr="00F3263B">
        <w:rPr>
          <w:rFonts w:eastAsia="PMingLiU" w:hint="eastAsia"/>
        </w:rPr>
        <w:t xml:space="preserve"> </w:t>
      </w:r>
      <w:r w:rsidRPr="00F3263B">
        <w:rPr>
          <w:rFonts w:eastAsia="PMingLiU"/>
        </w:rPr>
        <w:t xml:space="preserve">The corresponding lentiviral particles were generated by the National RNAi Core Facility at Academia </w:t>
      </w:r>
      <w:proofErr w:type="spellStart"/>
      <w:r w:rsidRPr="00F3263B">
        <w:rPr>
          <w:rFonts w:eastAsia="PMingLiU"/>
        </w:rPr>
        <w:t>Sinica</w:t>
      </w:r>
      <w:proofErr w:type="spellEnd"/>
      <w:r w:rsidRPr="00F3263B">
        <w:rPr>
          <w:rFonts w:eastAsia="PMingLiU"/>
        </w:rPr>
        <w:t xml:space="preserve"> (Taipei, Taiwan) and used to transduce A549 cells at a multiplicity of infection (MOI) of approximately 2 in the presence of 8 µg/mL </w:t>
      </w:r>
      <w:proofErr w:type="spellStart"/>
      <w:r w:rsidRPr="00F3263B">
        <w:rPr>
          <w:rFonts w:eastAsia="PMingLiU"/>
        </w:rPr>
        <w:t>polybrene</w:t>
      </w:r>
      <w:proofErr w:type="spellEnd"/>
      <w:r w:rsidRPr="00F3263B">
        <w:rPr>
          <w:rFonts w:eastAsia="PMingLiU"/>
        </w:rPr>
        <w:t xml:space="preserve">. </w:t>
      </w:r>
      <w:r w:rsidRPr="00F3263B">
        <w:t xml:space="preserve">After 24 h, the medium was replaced, and transduced cells were selected with </w:t>
      </w:r>
      <w:proofErr w:type="spellStart"/>
      <w:r w:rsidRPr="00F3263B">
        <w:t>puromycin</w:t>
      </w:r>
      <w:proofErr w:type="spellEnd"/>
      <w:r w:rsidRPr="00F3263B">
        <w:t xml:space="preserve"> (5 µg/mL) for approximately one </w:t>
      </w:r>
      <w:proofErr w:type="gramStart"/>
      <w:r w:rsidRPr="00F3263B">
        <w:t>weeks</w:t>
      </w:r>
      <w:proofErr w:type="gramEnd"/>
      <w:r w:rsidRPr="00F3263B">
        <w:t xml:space="preserve"> until all non-infected cells had died. </w:t>
      </w:r>
      <w:r w:rsidRPr="00F3263B">
        <w:rPr>
          <w:rFonts w:eastAsia="PMingLiU"/>
        </w:rPr>
        <w:t xml:space="preserve">Following antibiotic selection, two independent stable clones were isolated for each construct and expanded, yielding A549-shLDOC1-1, A549-shLDOC1-2, A549-shCtrl-1, and A549-shCtrl-2. Knockdown efficiency was validated by quantitative RT-PCR and immunoblotting using anti-LDOC1 antibody (customized), with GAPDH or β-actin as loading controls. Only clones showing ≥ 40 % reduction in LDOC1 expression at both mRNA and protein levels were used for subsequent </w:t>
      </w:r>
      <w:r w:rsidRPr="00F3263B">
        <w:rPr>
          <w:rFonts w:eastAsia="PMingLiU"/>
        </w:rPr>
        <w:lastRenderedPageBreak/>
        <w:t>experiments. All cell lines were confirmed to be free of mycoplasma contamination.</w:t>
      </w:r>
    </w:p>
    <w:p w:rsidR="00D01D0D" w:rsidRPr="00F3263B" w:rsidRDefault="00D01D0D" w:rsidP="00D01D0D">
      <w:pPr>
        <w:spacing w:line="480" w:lineRule="auto"/>
      </w:pPr>
    </w:p>
    <w:p w:rsidR="00D01D0D" w:rsidRPr="00F3263B" w:rsidRDefault="00D01D0D" w:rsidP="00D01D0D">
      <w:pPr>
        <w:spacing w:line="480" w:lineRule="auto"/>
        <w:jc w:val="both"/>
        <w:rPr>
          <w:rFonts w:ascii="Times New Roman" w:hAnsi="Times New Roman" w:cs="Times New Roman"/>
        </w:rPr>
      </w:pPr>
      <w:r w:rsidRPr="00F3263B">
        <w:rPr>
          <w:rFonts w:ascii="Times New Roman" w:hAnsi="Times New Roman" w:cs="Times New Roman"/>
          <w:b/>
          <w:bCs/>
        </w:rPr>
        <w:t>Single- and double-immunofluorescence staining</w:t>
      </w:r>
      <w:r w:rsidRPr="00F3263B">
        <w:rPr>
          <w:rFonts w:ascii="Times New Roman" w:hAnsi="Times New Roman" w:cs="Times New Roman"/>
          <w:b/>
          <w:bCs/>
        </w:rPr>
        <w:br/>
      </w:r>
      <w:r w:rsidRPr="00F3263B">
        <w:rPr>
          <w:rFonts w:ascii="Times New Roman" w:hAnsi="Times New Roman" w:cs="Times New Roman"/>
        </w:rPr>
        <w:t xml:space="preserve">Cells on glass coverslips were fixed with 4% paraformaldehyde for 15 min at room temperature, </w:t>
      </w:r>
      <w:proofErr w:type="spellStart"/>
      <w:r w:rsidRPr="00F3263B">
        <w:rPr>
          <w:rFonts w:ascii="Times New Roman" w:hAnsi="Times New Roman" w:cs="Times New Roman"/>
        </w:rPr>
        <w:t>permeabilized</w:t>
      </w:r>
      <w:proofErr w:type="spellEnd"/>
      <w:r w:rsidRPr="00F3263B">
        <w:rPr>
          <w:rFonts w:ascii="Times New Roman" w:hAnsi="Times New Roman" w:cs="Times New Roman"/>
        </w:rPr>
        <w:t xml:space="preserve"> in PBS with 0.1% Triton X-100 for 10 min, and blocked in 3% BSA/PBS for 1 h. Primary antibodies were fluorescently labeled using the </w:t>
      </w:r>
      <w:proofErr w:type="spellStart"/>
      <w:r w:rsidRPr="00F3263B">
        <w:rPr>
          <w:rFonts w:ascii="Times New Roman" w:hAnsi="Times New Roman" w:cs="Times New Roman"/>
        </w:rPr>
        <w:t>FlexAble</w:t>
      </w:r>
      <w:proofErr w:type="spellEnd"/>
      <w:r w:rsidRPr="00F3263B">
        <w:rPr>
          <w:rFonts w:ascii="Times New Roman" w:hAnsi="Times New Roman" w:cs="Times New Roman"/>
        </w:rPr>
        <w:t xml:space="preserve"> Antibody Labeling Kit (according to the manufacturer’s instructions) and incubated overnight at 4 °C: anti-LDOC1 (1:500; red), anti-H2B (0.1 µg/mL; green), anti-H2Bub1 (1:2500; green), and—for single-label staining—anti-E-cadherin (1:2000). After PBS washes, nuclei were counterstained with DAPI, and coverslips were mounted in </w:t>
      </w:r>
      <w:proofErr w:type="spellStart"/>
      <w:r w:rsidRPr="00F3263B">
        <w:rPr>
          <w:rFonts w:ascii="Times New Roman" w:hAnsi="Times New Roman" w:cs="Times New Roman"/>
        </w:rPr>
        <w:t>EverBrite</w:t>
      </w:r>
      <w:proofErr w:type="spellEnd"/>
      <w:r w:rsidRPr="00F3263B">
        <w:rPr>
          <w:rFonts w:ascii="Times New Roman" w:hAnsi="Times New Roman" w:cs="Times New Roman"/>
        </w:rPr>
        <w:t>™ mounting medium. Images were acquired on a Leica STELLARIS 8 confocal microscope using identical laser and detector settings across samples.</w:t>
      </w:r>
    </w:p>
    <w:p w:rsidR="00D01D0D" w:rsidRPr="00F3263B" w:rsidRDefault="00D01D0D" w:rsidP="00D01D0D">
      <w:pPr>
        <w:spacing w:line="480" w:lineRule="auto"/>
        <w:jc w:val="both"/>
        <w:rPr>
          <w:rFonts w:ascii="Times New Roman" w:hAnsi="Times New Roman" w:cs="Times New Roman"/>
        </w:rPr>
      </w:pPr>
    </w:p>
    <w:p w:rsidR="00D01D0D" w:rsidRPr="00F3263B" w:rsidRDefault="00D01D0D" w:rsidP="00D01D0D">
      <w:pPr>
        <w:spacing w:line="480" w:lineRule="auto"/>
        <w:jc w:val="both"/>
        <w:rPr>
          <w:rFonts w:ascii="Times New Roman" w:hAnsi="Times New Roman" w:cs="Times New Roman"/>
          <w:b/>
          <w:bCs/>
        </w:rPr>
      </w:pPr>
      <w:r w:rsidRPr="00F3263B">
        <w:rPr>
          <w:rFonts w:ascii="Times New Roman" w:hAnsi="Times New Roman" w:cs="Times New Roman"/>
          <w:b/>
          <w:bCs/>
        </w:rPr>
        <w:t xml:space="preserve">Repeated H2Bub1 </w:t>
      </w:r>
      <w:proofErr w:type="spellStart"/>
      <w:r w:rsidRPr="00F3263B">
        <w:rPr>
          <w:rFonts w:ascii="Times New Roman" w:hAnsi="Times New Roman" w:cs="Times New Roman"/>
          <w:b/>
          <w:bCs/>
        </w:rPr>
        <w:t>ChIP-seq</w:t>
      </w:r>
      <w:proofErr w:type="spellEnd"/>
      <w:r w:rsidRPr="00F3263B">
        <w:rPr>
          <w:rFonts w:ascii="Times New Roman" w:hAnsi="Times New Roman" w:cs="Times New Roman"/>
          <w:b/>
          <w:bCs/>
        </w:rPr>
        <w:t xml:space="preserve"> Library Preparation and Sequencing</w:t>
      </w:r>
    </w:p>
    <w:p w:rsidR="00D01D0D" w:rsidRPr="00F3263B" w:rsidRDefault="00D01D0D" w:rsidP="00D01D0D">
      <w:pPr>
        <w:spacing w:line="480" w:lineRule="auto"/>
        <w:jc w:val="both"/>
        <w:rPr>
          <w:rFonts w:ascii="Times New Roman" w:hAnsi="Times New Roman" w:cs="Times New Roman"/>
        </w:rPr>
      </w:pPr>
      <w:r w:rsidRPr="00F3263B">
        <w:rPr>
          <w:rFonts w:ascii="Times New Roman" w:hAnsi="Times New Roman" w:cs="Times New Roman"/>
        </w:rPr>
        <w:t xml:space="preserve">The repeated H2Bub1 </w:t>
      </w:r>
      <w:proofErr w:type="spellStart"/>
      <w:r w:rsidRPr="00F3263B">
        <w:rPr>
          <w:rFonts w:ascii="Times New Roman" w:hAnsi="Times New Roman" w:cs="Times New Roman"/>
        </w:rPr>
        <w:t>ChIP-seq</w:t>
      </w:r>
      <w:proofErr w:type="spellEnd"/>
      <w:r w:rsidRPr="00F3263B">
        <w:rPr>
          <w:rFonts w:ascii="Times New Roman" w:hAnsi="Times New Roman" w:cs="Times New Roman"/>
        </w:rPr>
        <w:t xml:space="preserve"> library preparation and sequencing for A549-shCtrl-2 and A549-shLDOC1-2 cells were performed by the High Throughput Genomics Core at the Biodiversity Research Center, Academia </w:t>
      </w:r>
      <w:proofErr w:type="spellStart"/>
      <w:r w:rsidRPr="00F3263B">
        <w:rPr>
          <w:rFonts w:ascii="Times New Roman" w:hAnsi="Times New Roman" w:cs="Times New Roman"/>
        </w:rPr>
        <w:t>Sinica</w:t>
      </w:r>
      <w:proofErr w:type="spellEnd"/>
      <w:r w:rsidRPr="00F3263B">
        <w:rPr>
          <w:rFonts w:ascii="Times New Roman" w:hAnsi="Times New Roman" w:cs="Times New Roman"/>
        </w:rPr>
        <w:t xml:space="preserve">, using an Illumina </w:t>
      </w:r>
      <w:proofErr w:type="spellStart"/>
      <w:r w:rsidRPr="00F3263B">
        <w:rPr>
          <w:rFonts w:ascii="Times New Roman" w:hAnsi="Times New Roman" w:cs="Times New Roman"/>
        </w:rPr>
        <w:t>NextSeq</w:t>
      </w:r>
      <w:proofErr w:type="spellEnd"/>
      <w:r w:rsidRPr="00F3263B">
        <w:rPr>
          <w:rFonts w:ascii="Times New Roman" w:hAnsi="Times New Roman" w:cs="Times New Roman"/>
        </w:rPr>
        <w:t xml:space="preserve"> 2000 platform with a P3 flow cell (single-end 50-bp reads; four multiplexed libraries </w:t>
      </w:r>
      <w:r w:rsidRPr="00F3263B">
        <w:rPr>
          <w:rFonts w:ascii="Times New Roman" w:hAnsi="Times New Roman" w:cs="Times New Roman"/>
        </w:rPr>
        <w:lastRenderedPageBreak/>
        <w:t>per lane) according to the core facility’s standard protocols.</w:t>
      </w:r>
    </w:p>
    <w:p w:rsidR="00D01D0D" w:rsidRPr="00F3263B" w:rsidRDefault="00D01D0D" w:rsidP="00D01D0D">
      <w:pPr>
        <w:spacing w:line="480" w:lineRule="auto"/>
        <w:jc w:val="both"/>
        <w:rPr>
          <w:rFonts w:ascii="Times New Roman" w:hAnsi="Times New Roman" w:cs="Times New Roman"/>
        </w:rPr>
      </w:pPr>
    </w:p>
    <w:p w:rsidR="00D01D0D" w:rsidRPr="00F3263B" w:rsidRDefault="00D01D0D" w:rsidP="00D01D0D">
      <w:pPr>
        <w:spacing w:line="480" w:lineRule="auto"/>
        <w:jc w:val="both"/>
        <w:rPr>
          <w:rFonts w:ascii="Times New Roman" w:hAnsi="Times New Roman" w:cs="Times New Roman"/>
        </w:rPr>
      </w:pPr>
      <w:r w:rsidRPr="00F3263B">
        <w:rPr>
          <w:rFonts w:ascii="Times New Roman" w:hAnsi="Times New Roman" w:cs="Times New Roman"/>
          <w:b/>
          <w:bCs/>
        </w:rPr>
        <w:t>Generation of THAP12–GFP–expressing A549 cell pools</w:t>
      </w:r>
      <w:r w:rsidRPr="00F3263B">
        <w:rPr>
          <w:rFonts w:ascii="Times New Roman" w:hAnsi="Times New Roman" w:cs="Times New Roman"/>
          <w:b/>
          <w:bCs/>
        </w:rPr>
        <w:br/>
      </w:r>
      <w:r w:rsidRPr="00F3263B">
        <w:rPr>
          <w:rFonts w:ascii="Times New Roman" w:hAnsi="Times New Roman" w:cs="Times New Roman"/>
        </w:rPr>
        <w:t>Lentiviral particles encoding human THAP12 (PRKRIR; NM_004705) fused to monomeric GFP in the pLenti-C-mGFP-P2A-Puro backbone (</w:t>
      </w:r>
      <w:proofErr w:type="spellStart"/>
      <w:r w:rsidRPr="00F3263B">
        <w:rPr>
          <w:rFonts w:ascii="Times New Roman" w:hAnsi="Times New Roman" w:cs="Times New Roman"/>
        </w:rPr>
        <w:t>OriGene</w:t>
      </w:r>
      <w:proofErr w:type="spellEnd"/>
      <w:r w:rsidRPr="00F3263B">
        <w:rPr>
          <w:rFonts w:ascii="Times New Roman" w:hAnsi="Times New Roman" w:cs="Times New Roman"/>
        </w:rPr>
        <w:t xml:space="preserve">, RC210314L4V) were used to generate THAP12–GFP–expressing pools from A549-shCtrl and A549-shLDOC1 cells. Cells were seeded at ~40–50% confluence and infected with the THAP12–GFP lentivirus in complete growth medium containing </w:t>
      </w:r>
      <w:proofErr w:type="spellStart"/>
      <w:r w:rsidRPr="00F3263B">
        <w:rPr>
          <w:rFonts w:ascii="Times New Roman" w:hAnsi="Times New Roman" w:cs="Times New Roman"/>
        </w:rPr>
        <w:t>polybrene</w:t>
      </w:r>
      <w:proofErr w:type="spellEnd"/>
      <w:r w:rsidRPr="00F3263B">
        <w:rPr>
          <w:rFonts w:ascii="Times New Roman" w:hAnsi="Times New Roman" w:cs="Times New Roman"/>
        </w:rPr>
        <w:t xml:space="preserve">. After 24 h, the virus-containing medium was replaced with fresh medium, and cells were allowed to recover and expand without antibiotic selection because both A549-shCtrl and A549-shLDOC1 cells already harbor a </w:t>
      </w:r>
      <w:proofErr w:type="spellStart"/>
      <w:r w:rsidRPr="00F3263B">
        <w:rPr>
          <w:rFonts w:ascii="Times New Roman" w:hAnsi="Times New Roman" w:cs="Times New Roman"/>
        </w:rPr>
        <w:t>puromycin</w:t>
      </w:r>
      <w:proofErr w:type="spellEnd"/>
      <w:r w:rsidRPr="00F3263B">
        <w:rPr>
          <w:rFonts w:ascii="Times New Roman" w:hAnsi="Times New Roman" w:cs="Times New Roman"/>
        </w:rPr>
        <w:t xml:space="preserve"> resistance cassette. Infection and expression efficiency were monitored by fluorescence microscopy, and only cultures in which &gt;70% of cells exhibited clear nuclear GFP fluorescence were used as THAP12–GFP–expressing pools for subsequent experiments.</w:t>
      </w:r>
    </w:p>
    <w:p w:rsidR="00D01D0D" w:rsidRPr="00F3263B" w:rsidRDefault="00D01D0D" w:rsidP="00D01D0D">
      <w:pPr>
        <w:spacing w:line="480" w:lineRule="auto"/>
        <w:jc w:val="both"/>
        <w:rPr>
          <w:rFonts w:ascii="Times New Roman" w:hAnsi="Times New Roman" w:cs="Times New Roman"/>
        </w:rPr>
      </w:pPr>
    </w:p>
    <w:p w:rsidR="00D01D0D" w:rsidRPr="004A6FDC" w:rsidRDefault="00D01D0D" w:rsidP="00D01D0D">
      <w:pPr>
        <w:spacing w:line="480" w:lineRule="auto"/>
        <w:jc w:val="both"/>
        <w:rPr>
          <w:rFonts w:ascii="Times New Roman" w:hAnsi="Times New Roman" w:cs="Times New Roman"/>
        </w:rPr>
      </w:pPr>
      <w:proofErr w:type="spellStart"/>
      <w:r w:rsidRPr="00F3263B">
        <w:rPr>
          <w:rStyle w:val="Strong"/>
          <w:rFonts w:ascii="Times New Roman" w:hAnsi="Times New Roman" w:cs="Times New Roman"/>
        </w:rPr>
        <w:t>Transwell</w:t>
      </w:r>
      <w:proofErr w:type="spellEnd"/>
      <w:r w:rsidRPr="00F3263B">
        <w:rPr>
          <w:rStyle w:val="Strong"/>
          <w:rFonts w:ascii="Times New Roman" w:hAnsi="Times New Roman" w:cs="Times New Roman"/>
        </w:rPr>
        <w:t xml:space="preserve"> migration/invasion assay</w:t>
      </w:r>
      <w:r w:rsidRPr="00F3263B">
        <w:rPr>
          <w:rFonts w:ascii="Times New Roman" w:hAnsi="Times New Roman" w:cs="Times New Roman"/>
        </w:rPr>
        <w:br/>
      </w:r>
      <w:proofErr w:type="spellStart"/>
      <w:r w:rsidRPr="00F3263B">
        <w:rPr>
          <w:rFonts w:ascii="Times New Roman" w:hAnsi="Times New Roman" w:cs="Times New Roman"/>
        </w:rPr>
        <w:t>Transwell</w:t>
      </w:r>
      <w:proofErr w:type="spellEnd"/>
      <w:r w:rsidRPr="00F3263B">
        <w:rPr>
          <w:rFonts w:ascii="Times New Roman" w:hAnsi="Times New Roman" w:cs="Times New Roman"/>
        </w:rPr>
        <w:t xml:space="preserve"> inserts (8-µm pores, 24-well) were equilibrated before use. Cells were serum-starved for 16 h, </w:t>
      </w:r>
      <w:proofErr w:type="spellStart"/>
      <w:r w:rsidRPr="00F3263B">
        <w:rPr>
          <w:rFonts w:ascii="Times New Roman" w:hAnsi="Times New Roman" w:cs="Times New Roman"/>
        </w:rPr>
        <w:t>resuspended</w:t>
      </w:r>
      <w:proofErr w:type="spellEnd"/>
      <w:r w:rsidRPr="00F3263B">
        <w:rPr>
          <w:rFonts w:ascii="Times New Roman" w:hAnsi="Times New Roman" w:cs="Times New Roman"/>
        </w:rPr>
        <w:t xml:space="preserve"> in serum-free medium, and seeded at 8 × 10⁴ </w:t>
      </w:r>
      <w:r w:rsidRPr="00F3263B">
        <w:rPr>
          <w:rFonts w:ascii="Times New Roman" w:hAnsi="Times New Roman" w:cs="Times New Roman"/>
        </w:rPr>
        <w:lastRenderedPageBreak/>
        <w:t xml:space="preserve">cells in 150 µL into the upper chamber; 700 µL medium containing 10% FBS was added to the lower chamber as chemoattractant. After 24 h at 37 °C/5% CO₂, cells remaining on the upper surface were removed. Membranes were fixed in methanol (10 min), stained with 0.1% crystal violet (15 min), rinsed, air-dried, and migrated cells on the underside were imaged in five random fields at 200× and counted. Data are presented as mean ± SEM from ≥3 independent experiments and normalized to the control group. For invasion assays, the same procedure was used with </w:t>
      </w:r>
      <w:proofErr w:type="spellStart"/>
      <w:r w:rsidRPr="00F3263B">
        <w:rPr>
          <w:rFonts w:ascii="Times New Roman" w:hAnsi="Times New Roman" w:cs="Times New Roman"/>
        </w:rPr>
        <w:t>Matrigel</w:t>
      </w:r>
      <w:proofErr w:type="spellEnd"/>
      <w:r w:rsidRPr="00F3263B">
        <w:rPr>
          <w:rFonts w:ascii="Times New Roman" w:hAnsi="Times New Roman" w:cs="Times New Roman"/>
        </w:rPr>
        <w:t>-coated inserts.</w:t>
      </w:r>
    </w:p>
    <w:p w:rsidR="00D01D0D" w:rsidRPr="003E311D" w:rsidRDefault="00D01D0D" w:rsidP="00D01D0D">
      <w:pPr>
        <w:widowControl/>
      </w:pPr>
    </w:p>
    <w:p w:rsidR="00C166B9" w:rsidRDefault="00C166B9"/>
    <w:sectPr w:rsidR="00C166B9" w:rsidSect="008B4B31">
      <w:headerReference w:type="default" r:id="rId5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56989703"/>
      <w:docPartObj>
        <w:docPartGallery w:val="Page Numbers (Top of Page)"/>
        <w:docPartUnique/>
      </w:docPartObj>
    </w:sdtPr>
    <w:sdtEndPr/>
    <w:sdtContent>
      <w:p w:rsidR="008B4B31" w:rsidRDefault="00D01D0D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D01D0D">
          <w:rPr>
            <w:noProof/>
            <w:lang w:val="zh-TW"/>
          </w:rPr>
          <w:t>1</w:t>
        </w:r>
        <w:r>
          <w:fldChar w:fldCharType="end"/>
        </w:r>
      </w:p>
    </w:sdtContent>
  </w:sdt>
  <w:p w:rsidR="008B4B31" w:rsidRDefault="00D01D0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1D0D"/>
    <w:rsid w:val="00C166B9"/>
    <w:rsid w:val="00D01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1D0D"/>
    <w:pPr>
      <w:widowControl w:val="0"/>
      <w:spacing w:after="0" w:line="240" w:lineRule="auto"/>
    </w:pPr>
    <w:rPr>
      <w:rFonts w:eastAsiaTheme="minorEastAsia"/>
      <w:kern w:val="2"/>
      <w:sz w:val="24"/>
      <w:szCs w:val="28"/>
      <w:lang w:val="en-US" w:eastAsia="zh-TW" w:bidi="th-T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01D0D"/>
    <w:pPr>
      <w:tabs>
        <w:tab w:val="center" w:pos="4153"/>
        <w:tab w:val="right" w:pos="8306"/>
      </w:tabs>
      <w:snapToGrid w:val="0"/>
    </w:pPr>
    <w:rPr>
      <w:rFonts w:cs="Angsana New"/>
      <w:sz w:val="20"/>
      <w:szCs w:val="25"/>
    </w:rPr>
  </w:style>
  <w:style w:type="character" w:customStyle="1" w:styleId="HeaderChar">
    <w:name w:val="Header Char"/>
    <w:basedOn w:val="DefaultParagraphFont"/>
    <w:link w:val="Header"/>
    <w:uiPriority w:val="99"/>
    <w:rsid w:val="00D01D0D"/>
    <w:rPr>
      <w:rFonts w:eastAsiaTheme="minorEastAsia" w:cs="Angsana New"/>
      <w:kern w:val="2"/>
      <w:sz w:val="20"/>
      <w:szCs w:val="25"/>
      <w:lang w:val="en-US" w:eastAsia="zh-TW" w:bidi="th-TH"/>
    </w:rPr>
  </w:style>
  <w:style w:type="character" w:styleId="Strong">
    <w:name w:val="Strong"/>
    <w:basedOn w:val="DefaultParagraphFont"/>
    <w:uiPriority w:val="22"/>
    <w:qFormat/>
    <w:rsid w:val="00D01D0D"/>
    <w:rPr>
      <w:b/>
      <w:bCs/>
    </w:rPr>
  </w:style>
  <w:style w:type="paragraph" w:customStyle="1" w:styleId="Default">
    <w:name w:val="Default"/>
    <w:rsid w:val="00D01D0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en-US" w:eastAsia="zh-T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1D0D"/>
    <w:pPr>
      <w:widowControl w:val="0"/>
      <w:spacing w:after="0" w:line="240" w:lineRule="auto"/>
    </w:pPr>
    <w:rPr>
      <w:rFonts w:eastAsiaTheme="minorEastAsia"/>
      <w:kern w:val="2"/>
      <w:sz w:val="24"/>
      <w:szCs w:val="28"/>
      <w:lang w:val="en-US" w:eastAsia="zh-TW" w:bidi="th-T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01D0D"/>
    <w:pPr>
      <w:tabs>
        <w:tab w:val="center" w:pos="4153"/>
        <w:tab w:val="right" w:pos="8306"/>
      </w:tabs>
      <w:snapToGrid w:val="0"/>
    </w:pPr>
    <w:rPr>
      <w:rFonts w:cs="Angsana New"/>
      <w:sz w:val="20"/>
      <w:szCs w:val="25"/>
    </w:rPr>
  </w:style>
  <w:style w:type="character" w:customStyle="1" w:styleId="HeaderChar">
    <w:name w:val="Header Char"/>
    <w:basedOn w:val="DefaultParagraphFont"/>
    <w:link w:val="Header"/>
    <w:uiPriority w:val="99"/>
    <w:rsid w:val="00D01D0D"/>
    <w:rPr>
      <w:rFonts w:eastAsiaTheme="minorEastAsia" w:cs="Angsana New"/>
      <w:kern w:val="2"/>
      <w:sz w:val="20"/>
      <w:szCs w:val="25"/>
      <w:lang w:val="en-US" w:eastAsia="zh-TW" w:bidi="th-TH"/>
    </w:rPr>
  </w:style>
  <w:style w:type="character" w:styleId="Strong">
    <w:name w:val="Strong"/>
    <w:basedOn w:val="DefaultParagraphFont"/>
    <w:uiPriority w:val="22"/>
    <w:qFormat/>
    <w:rsid w:val="00D01D0D"/>
    <w:rPr>
      <w:b/>
      <w:bCs/>
    </w:rPr>
  </w:style>
  <w:style w:type="paragraph" w:customStyle="1" w:styleId="Default">
    <w:name w:val="Default"/>
    <w:rsid w:val="00D01D0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en-US"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650</Words>
  <Characters>3705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Daisy Cabanag Daitan</dc:creator>
  <cp:lastModifiedBy>Daisy Cabanag Daitan</cp:lastModifiedBy>
  <cp:revision>1</cp:revision>
  <dcterms:created xsi:type="dcterms:W3CDTF">2025-12-15T11:09:00Z</dcterms:created>
  <dcterms:modified xsi:type="dcterms:W3CDTF">2025-12-15T11:10:00Z</dcterms:modified>
</cp:coreProperties>
</file>