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>
      <w:pPr>
        <w:rPr>
          <w:rFonts w:ascii="Times New Roman" w:hAnsi="Times New Roman" w:cs="Times New Roman"/>
        </w:rPr>
      </w:pPr>
    </w:p>
    <w:p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Supplementary Tables</w:t>
      </w:r>
    </w:p>
    <w:p/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9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9209" w:type="dxa"/>
            <w:gridSpan w:val="2"/>
            <w:tcBorders>
              <w:bottom w:val="single" w:color="auto" w:sz="4" w:space="0"/>
            </w:tcBorders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Table S1.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MDT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riteria for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re-treatment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esectability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ssessment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2263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Assessment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ategory</w:t>
            </w:r>
          </w:p>
        </w:tc>
        <w:tc>
          <w:tcPr>
            <w:tcW w:w="6946" w:type="dxa"/>
            <w:tcBorders>
              <w:top w:val="single" w:color="auto" w:sz="4" w:space="0"/>
              <w:bottom w:val="single" w:color="auto" w:sz="4" w:space="0"/>
            </w:tcBorders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MDT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riteria for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esectability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2263" w:type="dxa"/>
            <w:vMerge w:val="restart"/>
            <w:tcBorders>
              <w:top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 stage (adjacent organ invasion)</w:t>
            </w:r>
          </w:p>
        </w:tc>
        <w:tc>
          <w:tcPr>
            <w:tcW w:w="6946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≤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cT4a,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cT4b with limited local invasion and technically amenable to R0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resection via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en-bloc resection.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2263" w:type="dxa"/>
            <w:vMerge w:val="continue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No radiological evidence of major vessel invasion or encasement (e.g., celiac axis, common hepatic artery, proximal splenic artery, portal vein).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2263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status</w:t>
            </w:r>
          </w:p>
        </w:tc>
        <w:tc>
          <w:tcPr>
            <w:tcW w:w="6946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Any cN status is allowed, except for fixed/matted lymph nodes or nodes invading unresectable vascular structures.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2263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Distant metastasis</w:t>
            </w:r>
          </w:p>
        </w:tc>
        <w:tc>
          <w:tcPr>
            <w:tcW w:w="6946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No distant metastasis (M0).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2263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Performance status</w:t>
            </w:r>
          </w:p>
        </w:tc>
        <w:tc>
          <w:tcPr>
            <w:tcW w:w="6946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ECOG performance status score ≤1.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2263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Major organ function</w:t>
            </w:r>
          </w:p>
        </w:tc>
        <w:tc>
          <w:tcPr>
            <w:tcW w:w="6946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Adequate cardiac, pulmonary, hepatic, and renal function to tolerate surgery.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34" w:hRule="atLeast"/>
        </w:trPr>
        <w:tc>
          <w:tcPr>
            <w:tcW w:w="226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Nutritional status</w:t>
            </w:r>
          </w:p>
        </w:tc>
        <w:tc>
          <w:tcPr>
            <w:tcW w:w="694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• Absence of severe malnutrition, or nutritional deficiency that can be improved to a level tolerable for surgery through nutritional support.</w:t>
            </w:r>
          </w:p>
        </w:tc>
      </w:tr>
    </w:tbl>
    <w:p>
      <w:r>
        <w:br w:type="page"/>
      </w:r>
      <w:bookmarkStart w:id="1" w:name="_GoBack"/>
      <w:bookmarkEnd w:id="1"/>
    </w:p>
    <w:p/>
    <w:tbl>
      <w:tblPr>
        <w:tblStyle w:val="3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022"/>
        <w:gridCol w:w="58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  <w:gridSpan w:val="3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b/>
                <w:bCs/>
                <w:kern w:val="0"/>
                <w:sz w:val="21"/>
                <w:szCs w:val="21"/>
                <w:lang w:val="en-US" w:bidi="ar"/>
                <w14:ligatures w14:val="none"/>
              </w:rPr>
            </w:pPr>
            <w:r>
              <w:rPr>
                <w:rFonts w:hint="eastAsia" w:ascii="Times New Roman Regular" w:hAnsi="Times New Roman Regular" w:eastAsia="DengXian" w:cs="Times New Roman Regular"/>
                <w:b/>
                <w:bCs/>
                <w:kern w:val="0"/>
                <w:sz w:val="21"/>
                <w:szCs w:val="21"/>
                <w:lang w:val="en-US" w:bidi="ar"/>
                <w14:ligatures w14:val="none"/>
              </w:rPr>
              <w:t>Table S2. qPCR primers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Gene</w:t>
            </w:r>
            <w:r>
              <w:rPr>
                <w:rFonts w:hint="eastAsia"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name</w:t>
            </w:r>
          </w:p>
        </w:tc>
        <w:tc>
          <w:tcPr>
            <w:tcW w:w="691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Primer sequence (5’ to 3’)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restart"/>
            <w:tcBorders>
              <w:top w:val="single" w:color="auto" w:sz="4" w:space="0"/>
            </w:tcBorders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  <w:t>IGF</w:t>
            </w:r>
            <w:r>
              <w:rPr>
                <w:rFonts w:hint="eastAsia"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  <w:t>N1</w:t>
            </w:r>
          </w:p>
        </w:tc>
        <w:tc>
          <w:tcPr>
            <w:tcW w:w="1022" w:type="dxa"/>
            <w:tcBorders>
              <w:top w:val="single" w:color="auto" w:sz="4" w:space="0"/>
            </w:tcBorders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Forward</w:t>
            </w:r>
          </w:p>
        </w:tc>
        <w:tc>
          <w:tcPr>
            <w:tcW w:w="5895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GACACGGATCTGTACCGCTG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continue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Reverse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CCAACTTCGATGACAGTGAGTC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restart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  <w:t>PHLDA1</w:t>
            </w: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Forward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GAAGATGGCCCATTCAAAAGCG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continue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Reverse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GAGGAGGCTAACACGCAGG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restart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  <w:t>SH2D5</w:t>
            </w: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Forward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TGTGGTTTGGTGGCTGCCTTG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continue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Reverse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CGACGGTTCTGCGTGGACTGAC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restart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  <w:t>GYLTL1B</w:t>
            </w: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Forward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TCCCCAACAAGCACTACTCC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continue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Reverse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CAGAGGCGAAGGTGACATCC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restart"/>
            <w:tcBorders>
              <w:bottom w:val="single" w:color="auto" w:sz="4" w:space="0"/>
            </w:tcBorders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i/>
                <w:iCs/>
                <w:kern w:val="0"/>
                <w:sz w:val="21"/>
                <w:szCs w:val="21"/>
                <w:lang w:val="en-US"/>
                <w14:ligatures w14:val="none"/>
              </w:rPr>
              <w:t>GAPDH</w:t>
            </w:r>
          </w:p>
        </w:tc>
        <w:tc>
          <w:tcPr>
            <w:tcW w:w="1022" w:type="dxa"/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Forward</w:t>
            </w:r>
          </w:p>
        </w:tc>
        <w:tc>
          <w:tcPr>
            <w:tcW w:w="5895" w:type="dxa"/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GGAGCGAGATCCCTCCAAAAT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05" w:type="dxa"/>
            <w:vMerge w:val="continue"/>
            <w:tcBorders>
              <w:bottom w:val="single" w:color="auto" w:sz="4" w:space="0"/>
            </w:tcBorders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</w:p>
        </w:tc>
        <w:tc>
          <w:tcPr>
            <w:tcW w:w="1022" w:type="dxa"/>
            <w:tcBorders>
              <w:bottom w:val="single" w:color="auto" w:sz="4" w:space="0"/>
            </w:tcBorders>
          </w:tcPr>
          <w:p>
            <w:pPr>
              <w:widowControl w:val="0"/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  <w:t>Reverse</w:t>
            </w:r>
          </w:p>
        </w:tc>
        <w:tc>
          <w:tcPr>
            <w:tcW w:w="5895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/>
                <w14:ligatures w14:val="none"/>
              </w:rPr>
            </w:pPr>
            <w:r>
              <w:rPr>
                <w:rFonts w:ascii="Times New Roman Regular" w:hAnsi="Times New Roman Regular" w:eastAsia="DengXian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>GGCTGTTGTCATACTTCTCATGG</w:t>
            </w:r>
            <w:r>
              <w:rPr>
                <w:rFonts w:ascii="Times New Roman Regular" w:hAnsi="Times New Roman Regular" w:eastAsia="宋体" w:cs="Times New Roman Regular"/>
                <w:kern w:val="0"/>
                <w:sz w:val="21"/>
                <w:szCs w:val="21"/>
                <w:lang w:val="en-US" w:bidi="ar"/>
                <w14:ligatures w14:val="none"/>
              </w:rPr>
              <w:t xml:space="preserve"> </w:t>
            </w:r>
          </w:p>
        </w:tc>
      </w:tr>
    </w:tbl>
    <w:p>
      <w:r>
        <w:br w:type="page"/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0"/>
        <w:gridCol w:w="1420"/>
        <w:gridCol w:w="180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9080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Table S3. Baseline characteristics of patients according to treatment response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Response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(N=11)</w:t>
            </w: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response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(N=11)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diagnosis</w:t>
            </w:r>
          </w:p>
        </w:tc>
        <w:tc>
          <w:tcPr>
            <w:tcW w:w="142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(54.5%)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years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(45.5%)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(54.5%)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(45.5%)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(45.5%)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(54.5%)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 history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(81.8%)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Drinking history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(72.7%)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(27.3%)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Cancer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IVA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site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(27.3%)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(72.7%)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Histological grade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oorly differentiated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(72.7%)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Medium-low differentiated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Moderately/ Medium-high differentiated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Borrmann classification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Ⅱ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Ⅲ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(81.8%)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(72.7%)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Ⅳ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Lauren’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classification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Intestinal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(45.5%)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Diffuse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(54.5%)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(45.4%)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CA199 (U/mL)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(63.6%)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(27.3%)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CEA (ng/mL)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(81.8%)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(90.9%)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CA125 (U/mL)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(72.7%)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(72.7%)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(27.3%)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(9.1%)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PD-L1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22C3,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CPS)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(45.5%)</w:t>
            </w:r>
          </w:p>
        </w:tc>
        <w:tc>
          <w:tcPr>
            <w:tcW w:w="180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(45.5%)</w:t>
            </w:r>
          </w:p>
        </w:tc>
        <w:tc>
          <w:tcPr>
            <w:tcW w:w="1080" w:type="dxa"/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478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Unknown</w:t>
            </w:r>
          </w:p>
        </w:tc>
        <w:tc>
          <w:tcPr>
            <w:tcW w:w="14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(36.4%)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(18.2%)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9080" w:type="dxa"/>
            <w:gridSpan w:val="4"/>
            <w:tcBorders>
              <w:top w:val="single" w:color="auto" w:sz="4" w:space="0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CA, cancer antigen; CEA, carcinoembryonic antigen; CPS, combined positive score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Note: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Response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group included patients with TRG 1a-1b, whereas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Non-response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group consisted of those with TRG≥2, radiologically confirmed progression, or stable disease accompanied by significant tumor enlargement.</w:t>
            </w:r>
          </w:p>
        </w:tc>
      </w:tr>
    </w:tbl>
    <w:p/>
    <w:p>
      <w:r>
        <w:br w:type="page"/>
      </w:r>
    </w:p>
    <w:p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color w:val="auto"/>
          <w:sz w:val="28"/>
          <w:szCs w:val="28"/>
        </w:rPr>
        <w:t>Figures</w:t>
      </w:r>
    </w:p>
    <w:p/>
    <w:p>
      <w:r>
        <w:rPr>
          <w:lang w:val="en-US" w:eastAsia="en-US"/>
        </w:rPr>
        <w:drawing>
          <wp:inline distT="0" distB="0" distL="0" distR="0">
            <wp:extent cx="5890260" cy="2122805"/>
            <wp:effectExtent l="0" t="0" r="0" b="0"/>
            <wp:docPr id="1396508729" name="Picture 1" descr="A screenshot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08729" name="Picture 1" descr="A screenshot of a diagram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212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</w:pPr>
    </w:p>
    <w:p>
      <w:pPr>
        <w:pStyle w:val="4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S1. Overview of survival data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Kaplan</w:t>
      </w:r>
      <w:r>
        <w:rPr>
          <w:rFonts w:hint="eastAsia"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Meier curves depict event-free survival (EFS) and overall survival (OS) outcomes in dMMR/MSI-H patients from the study cohort.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OLE_LINK1"/>
      <w:r>
        <w:rPr>
          <w:rFonts w:ascii="Times New Roman" w:hAnsi="Times New Roman" w:cs="Times New Roman"/>
          <w:lang w:val="en-US" w:eastAsia="en-US"/>
        </w:rPr>
        <w:drawing>
          <wp:inline distT="0" distB="0" distL="0" distR="0">
            <wp:extent cx="5943600" cy="2299335"/>
            <wp:effectExtent l="0" t="0" r="0" b="5715"/>
            <wp:docPr id="2002189485" name="Picture 1" descr="A comparison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89485" name="Picture 1" descr="A comparison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Quantitative real-time PCR validation of target gene expression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Relative mRNA expression levels of </w:t>
      </w:r>
      <w:r>
        <w:rPr>
          <w:rFonts w:hint="eastAsia" w:ascii="Times New Roman" w:hAnsi="Times New Roman" w:cs="Times New Roman"/>
          <w:i/>
          <w:iCs/>
        </w:rPr>
        <w:t>GYLTL1B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  <w:i/>
          <w:iCs/>
        </w:rPr>
        <w:t>PHLDA1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hint="eastAsia" w:ascii="Times New Roman" w:hAnsi="Times New Roman" w:cs="Times New Roman"/>
          <w:i/>
          <w:iCs/>
        </w:rPr>
        <w:t>IGFN</w:t>
      </w:r>
      <w:r>
        <w:rPr>
          <w:rFonts w:hint="eastAsia" w:ascii="Times New Roman" w:hAnsi="Times New Roman" w:cs="Times New Roman"/>
        </w:rPr>
        <w:t xml:space="preserve">, and </w:t>
      </w:r>
      <w:r>
        <w:rPr>
          <w:rFonts w:hint="eastAsia" w:ascii="Times New Roman" w:hAnsi="Times New Roman" w:cs="Times New Roman"/>
          <w:i/>
          <w:iCs/>
        </w:rPr>
        <w:t>SH2D5</w:t>
      </w:r>
      <w:r>
        <w:rPr>
          <w:rFonts w:hint="eastAsia" w:ascii="Times New Roman" w:hAnsi="Times New Roman" w:cs="Times New Roman"/>
        </w:rPr>
        <w:t xml:space="preserve"> in baseline tumor samples from responders and non-responders quantified by qPCR. Expression levels were normalized to </w:t>
      </w:r>
      <w:r>
        <w:rPr>
          <w:rFonts w:hint="eastAsia" w:ascii="Times New Roman" w:hAnsi="Times New Roman" w:cs="Times New Roman"/>
          <w:i/>
          <w:iCs/>
        </w:rPr>
        <w:t>GAPDH</w:t>
      </w:r>
      <w:r>
        <w:rPr>
          <w:rFonts w:hint="eastAsia" w:ascii="Times New Roman" w:hAnsi="Times New Roman" w:cs="Times New Roman"/>
        </w:rPr>
        <w:t xml:space="preserve"> and calculated using the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vertAlign w:val="superscript"/>
        </w:rPr>
        <w:t>-ΔΔCt</w:t>
      </w:r>
      <w:r>
        <w:rPr>
          <w:rFonts w:hint="eastAsia" w:ascii="Times New Roman" w:hAnsi="Times New Roman" w:cs="Times New Roman"/>
        </w:rPr>
        <w:t xml:space="preserve"> method. </w:t>
      </w:r>
    </w:p>
    <w:bookmarkEnd w:id="0"/>
    <w:p>
      <w:pPr>
        <w:rPr>
          <w:rFonts w:ascii="Times New Roman" w:hAnsi="Times New Roman" w:cs="Times New Roman"/>
        </w:rPr>
      </w:pP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 w:eastAsia="en-US"/>
        </w:rPr>
        <w:drawing>
          <wp:inline distT="0" distB="0" distL="0" distR="0">
            <wp:extent cx="5923280" cy="5412740"/>
            <wp:effectExtent l="0" t="0" r="1270" b="0"/>
            <wp:docPr id="691240701" name="Picture 1" descr="A collage of graphs and diagr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40701" name="Picture 1" descr="A collage of graphs and diagram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788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S3.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Gene expression analysis of baseline tumors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Box plots comparing normalized expression levels of immune checkpoint molecules (</w:t>
      </w:r>
      <w:r>
        <w:rPr>
          <w:rFonts w:hint="eastAsia" w:ascii="Times New Roman" w:hAnsi="Times New Roman" w:cs="Times New Roman"/>
          <w:b/>
          <w:bCs/>
        </w:rPr>
        <w:t>A</w:t>
      </w:r>
      <w:r>
        <w:rPr>
          <w:rFonts w:hint="eastAsia" w:ascii="Times New Roman" w:hAnsi="Times New Roman" w:cs="Times New Roman"/>
        </w:rPr>
        <w:t>), CXCL family genes (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hint="eastAsia" w:ascii="Times New Roman" w:hAnsi="Times New Roman" w:cs="Times New Roman"/>
        </w:rPr>
        <w:t>), HLA family genes (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hint="eastAsia"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interferon</w:t>
      </w:r>
      <w:r>
        <w:rPr>
          <w:rFonts w:hint="eastAsia" w:ascii="Times New Roman" w:hAnsi="Times New Roman" w:cs="Times New Roman"/>
        </w:rPr>
        <w:t>-gamma-related genes (</w:t>
      </w:r>
      <w:r>
        <w:rPr>
          <w:rFonts w:hint="eastAsia" w:ascii="Times New Roman" w:hAnsi="Times New Roman" w:cs="Times New Roman"/>
          <w:b/>
          <w:bCs/>
        </w:rPr>
        <w:t>D</w:t>
      </w:r>
      <w:r>
        <w:rPr>
          <w:rFonts w:hint="eastAsia" w:ascii="Times New Roman" w:hAnsi="Times New Roman" w:cs="Times New Roman"/>
        </w:rPr>
        <w:t>), and TME scores (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hint="eastAsia" w:ascii="Times New Roman" w:hAnsi="Times New Roman" w:cs="Times New Roman"/>
        </w:rPr>
        <w:t xml:space="preserve">) between responders and non-responders.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 w:eastAsia="en-US"/>
        </w:rPr>
        <w:drawing>
          <wp:inline distT="0" distB="0" distL="0" distR="0">
            <wp:extent cx="5873115" cy="4030980"/>
            <wp:effectExtent l="0" t="0" r="0" b="7620"/>
            <wp:docPr id="1150614683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14683" name="Picture 2" descr="A screenshot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S4.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Immune cell proportions assessed by multiplexed immunohistochemistry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Box plots comparing immune cell proportions in the parenchyma (</w:t>
      </w:r>
      <w:r>
        <w:rPr>
          <w:rFonts w:hint="eastAsia" w:ascii="Times New Roman" w:hAnsi="Times New Roman" w:cs="Times New Roman"/>
          <w:b/>
          <w:bCs/>
        </w:rPr>
        <w:t>A</w:t>
      </w:r>
      <w:r>
        <w:rPr>
          <w:rFonts w:hint="eastAsia" w:ascii="Times New Roman" w:hAnsi="Times New Roman" w:cs="Times New Roman"/>
        </w:rPr>
        <w:t>), mesenchyma (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hint="eastAsia" w:ascii="Times New Roman" w:hAnsi="Times New Roman" w:cs="Times New Roman"/>
        </w:rPr>
        <w:t>), and total tumor region (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hint="eastAsia" w:ascii="Times New Roman" w:hAnsi="Times New Roman" w:cs="Times New Roman"/>
        </w:rPr>
        <w:t>) of baseline tumors between responder and non-responders.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 w:eastAsia="en-US"/>
        </w:rPr>
        <w:drawing>
          <wp:inline distT="0" distB="0" distL="0" distR="0">
            <wp:extent cx="5777230" cy="1609090"/>
            <wp:effectExtent l="0" t="0" r="0" b="0"/>
            <wp:docPr id="643545768" name="Picture 3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45768" name="Picture 3" descr="A diagram of a graph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48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S5.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Immune cell proportions assessed by quanTIseq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Box plots comparing T cell infiltrations between pre-treatment and post-treatment samples in responders (</w:t>
      </w:r>
      <w:r>
        <w:rPr>
          <w:rFonts w:hint="eastAsia" w:ascii="Times New Roman" w:hAnsi="Times New Roman" w:cs="Times New Roman"/>
          <w:b/>
          <w:bCs/>
        </w:rPr>
        <w:t>A</w:t>
      </w:r>
      <w:r>
        <w:rPr>
          <w:rFonts w:hint="eastAsia" w:ascii="Times New Roman" w:hAnsi="Times New Roman" w:cs="Times New Roman"/>
        </w:rPr>
        <w:t>) and non-responders (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hint="eastAsia" w:ascii="Times New Roman" w:hAnsi="Times New Roman" w:cs="Times New Roman"/>
        </w:rPr>
        <w:t xml:space="preserve">).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 w:eastAsia="en-US"/>
        </w:rPr>
        <w:drawing>
          <wp:inline distT="0" distB="0" distL="0" distR="0">
            <wp:extent cx="5943600" cy="5631180"/>
            <wp:effectExtent l="0" t="0" r="0" b="7620"/>
            <wp:docPr id="884974938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74938" name="Picture 2" descr="A screenshot of a comput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Figure S6.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</w:rPr>
        <w:t>Survival analysis</w:t>
      </w:r>
    </w:p>
    <w:p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b/>
          <w:bCs/>
        </w:rPr>
        <w:t>A, B</w:t>
      </w:r>
      <w:r>
        <w:rPr>
          <w:rFonts w:hint="eastAsia" w:ascii="Times New Roman" w:hAnsi="Times New Roman" w:cs="Times New Roman"/>
        </w:rPr>
        <w:t>) Forest plots showing results of univariate Cox regression analyses assessing the association between baseline gene alterations and event-free survival (EFS) or overall survival (OS). (</w:t>
      </w:r>
      <w:r>
        <w:rPr>
          <w:rFonts w:hint="eastAsia" w:ascii="Times New Roman" w:hAnsi="Times New Roman" w:cs="Times New Roman"/>
          <w:b/>
          <w:bCs/>
        </w:rPr>
        <w:t>C, D</w:t>
      </w:r>
      <w:r>
        <w:rPr>
          <w:rFonts w:hint="eastAsia" w:ascii="Times New Roman" w:hAnsi="Times New Roman" w:cs="Times New Roman"/>
        </w:rPr>
        <w:t>) Univariate Cox regression analyses evaluating the association between altered signaling pathways and survival outcomes. (</w:t>
      </w:r>
      <w:r>
        <w:rPr>
          <w:rFonts w:hint="eastAsia" w:ascii="Times New Roman" w:hAnsi="Times New Roman" w:cs="Times New Roman"/>
          <w:b/>
          <w:bCs/>
        </w:rPr>
        <w:t>E-H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Kaplan</w:t>
      </w:r>
      <w:r>
        <w:rPr>
          <w:rFonts w:hint="eastAsia"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Meier curves depict</w:t>
      </w:r>
      <w:r>
        <w:rPr>
          <w:rFonts w:hint="eastAsia" w:ascii="Times New Roman" w:hAnsi="Times New Roman" w:cs="Times New Roman"/>
        </w:rPr>
        <w:t xml:space="preserve"> EFS and OS based on the transcriptional levels of upregulated genes in MPR patients, using the median as the cutoff. 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ptos">
    <w:altName w:val="苹方-简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苹方-简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9954630"/>
      <w:docPartObj>
        <w:docPartGallery w:val="AutoText"/>
      </w:docPartObj>
    </w:sdtPr>
    <w:sdtContent>
      <w:p>
        <w:pPr>
          <w:pStyle w:val="1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OwsDAyMbU0NDM2NTBT0lEKTi0uzszPAykwtKwFABjvnvotAAAA"/>
  </w:docVars>
  <w:rsids>
    <w:rsidRoot w:val="004A02B4"/>
    <w:rsid w:val="00011320"/>
    <w:rsid w:val="00035E33"/>
    <w:rsid w:val="00044336"/>
    <w:rsid w:val="000A4FFA"/>
    <w:rsid w:val="000A6C63"/>
    <w:rsid w:val="000A747C"/>
    <w:rsid w:val="000D599F"/>
    <w:rsid w:val="000E6D1B"/>
    <w:rsid w:val="0014546B"/>
    <w:rsid w:val="00146A8A"/>
    <w:rsid w:val="00176C99"/>
    <w:rsid w:val="001962B6"/>
    <w:rsid w:val="001C1717"/>
    <w:rsid w:val="00281E9D"/>
    <w:rsid w:val="002C1BA8"/>
    <w:rsid w:val="002D0C4F"/>
    <w:rsid w:val="002E3177"/>
    <w:rsid w:val="002E4FC2"/>
    <w:rsid w:val="00313DC2"/>
    <w:rsid w:val="003149B5"/>
    <w:rsid w:val="00337693"/>
    <w:rsid w:val="003A599E"/>
    <w:rsid w:val="003B27B1"/>
    <w:rsid w:val="003C4C97"/>
    <w:rsid w:val="003F2BEC"/>
    <w:rsid w:val="003F4583"/>
    <w:rsid w:val="00416E7F"/>
    <w:rsid w:val="00431650"/>
    <w:rsid w:val="00455642"/>
    <w:rsid w:val="0049448F"/>
    <w:rsid w:val="004A02B4"/>
    <w:rsid w:val="004B24A2"/>
    <w:rsid w:val="004B5DAA"/>
    <w:rsid w:val="004F2502"/>
    <w:rsid w:val="00512BFA"/>
    <w:rsid w:val="005250F1"/>
    <w:rsid w:val="0053506F"/>
    <w:rsid w:val="00535506"/>
    <w:rsid w:val="0054513F"/>
    <w:rsid w:val="00550ADA"/>
    <w:rsid w:val="00563F34"/>
    <w:rsid w:val="00577074"/>
    <w:rsid w:val="00583C18"/>
    <w:rsid w:val="005A15C2"/>
    <w:rsid w:val="005B2F18"/>
    <w:rsid w:val="005C5544"/>
    <w:rsid w:val="00620AD5"/>
    <w:rsid w:val="00635848"/>
    <w:rsid w:val="006575F8"/>
    <w:rsid w:val="006F172F"/>
    <w:rsid w:val="0070400B"/>
    <w:rsid w:val="0072274E"/>
    <w:rsid w:val="00781A32"/>
    <w:rsid w:val="007B6C82"/>
    <w:rsid w:val="007D47D1"/>
    <w:rsid w:val="007E2D57"/>
    <w:rsid w:val="007F14CB"/>
    <w:rsid w:val="007F2B0F"/>
    <w:rsid w:val="007F7761"/>
    <w:rsid w:val="00816817"/>
    <w:rsid w:val="008173C3"/>
    <w:rsid w:val="00835818"/>
    <w:rsid w:val="0083715E"/>
    <w:rsid w:val="008627C1"/>
    <w:rsid w:val="008971B6"/>
    <w:rsid w:val="008B7F99"/>
    <w:rsid w:val="008C582D"/>
    <w:rsid w:val="00907803"/>
    <w:rsid w:val="00956DEC"/>
    <w:rsid w:val="009908CD"/>
    <w:rsid w:val="009A29E2"/>
    <w:rsid w:val="009B22AF"/>
    <w:rsid w:val="009E73DC"/>
    <w:rsid w:val="009F4651"/>
    <w:rsid w:val="00A116B4"/>
    <w:rsid w:val="00A14D1C"/>
    <w:rsid w:val="00A40F3F"/>
    <w:rsid w:val="00A41F5E"/>
    <w:rsid w:val="00A850F2"/>
    <w:rsid w:val="00AA0660"/>
    <w:rsid w:val="00AE6D5A"/>
    <w:rsid w:val="00AE7C26"/>
    <w:rsid w:val="00B25D72"/>
    <w:rsid w:val="00B41FFA"/>
    <w:rsid w:val="00BC2AAB"/>
    <w:rsid w:val="00BE52CB"/>
    <w:rsid w:val="00BF4FE2"/>
    <w:rsid w:val="00C1770E"/>
    <w:rsid w:val="00C6749D"/>
    <w:rsid w:val="00CE0987"/>
    <w:rsid w:val="00D00FFB"/>
    <w:rsid w:val="00D127FC"/>
    <w:rsid w:val="00D32EAB"/>
    <w:rsid w:val="00D64E53"/>
    <w:rsid w:val="00D8469C"/>
    <w:rsid w:val="00DA1C90"/>
    <w:rsid w:val="00DA615B"/>
    <w:rsid w:val="00DD18E8"/>
    <w:rsid w:val="00DD52B6"/>
    <w:rsid w:val="00DE69A9"/>
    <w:rsid w:val="00DF3243"/>
    <w:rsid w:val="00E6085E"/>
    <w:rsid w:val="00E65A7F"/>
    <w:rsid w:val="00E725FD"/>
    <w:rsid w:val="00E739AC"/>
    <w:rsid w:val="00E90131"/>
    <w:rsid w:val="00E9632C"/>
    <w:rsid w:val="00ED6C4A"/>
    <w:rsid w:val="00EE0A86"/>
    <w:rsid w:val="00F1799D"/>
    <w:rsid w:val="00F17E7D"/>
    <w:rsid w:val="00FA10E6"/>
    <w:rsid w:val="00FF39A1"/>
    <w:rsid w:val="00FF6104"/>
    <w:rsid w:val="6FDB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CA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3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Heading 1 Char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7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7"/>
    <w:link w:val="4"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7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7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7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7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7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7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7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Header Char"/>
    <w:basedOn w:val="17"/>
    <w:link w:val="12"/>
    <w:qFormat/>
    <w:uiPriority w:val="99"/>
  </w:style>
  <w:style w:type="character" w:customStyle="1" w:styleId="37">
    <w:name w:val="Footer Char"/>
    <w:basedOn w:val="17"/>
    <w:link w:val="11"/>
    <w:qFormat/>
    <w:uiPriority w:val="99"/>
  </w:style>
  <w:style w:type="table" w:customStyle="1" w:styleId="38">
    <w:name w:val="Table Grid1"/>
    <w:basedOn w:val="15"/>
    <w:qFormat/>
    <w:uiPriority w:val="39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6.tiff"/><Relationship Id="rId11" Type="http://schemas.openxmlformats.org/officeDocument/2006/relationships/image" Target="media/image5.tiff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2025-03-20T04:04:00Z</dcterms:created>
  <dc:creator>Song Wang</dc:creator>
  <cp:lastModifiedBy>XM Huang</cp:lastModifiedBy>
  <dcterms:modified xsi:type="dcterms:W3CDTF">2025-12-24T13:34:26Z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9976C3BDFD6E8E9D627B4B69EA843402_42</vt:lpwstr>
  </property>
</Properties>
</file>