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8580" w14:textId="77777777" w:rsidR="00BC3192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42241242"/>
      <w:bookmarkStart w:id="1" w:name="_Hlk146429644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Supplementary Material </w:t>
      </w:r>
      <w:bookmarkEnd w:id="0"/>
      <w:bookmarkEnd w:id="1"/>
    </w:p>
    <w:p w14:paraId="34413407" w14:textId="3C3A99C5" w:rsidR="00BC3192" w:rsidRDefault="00000000">
      <w:pPr>
        <w:spacing w:afterLines="100" w:after="240" w:line="360" w:lineRule="auto"/>
        <w:rPr>
          <w:rFonts w:eastAsia="宋体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RT</w:t>
      </w:r>
      <w:r w:rsidR="001A5684">
        <w:rPr>
          <w:b/>
          <w:bCs/>
        </w:rPr>
        <w:t>–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ICI therapy induces a distal immunometabolic axis that shapes systemic macrophage polarization and enhances local T cell immunity</w:t>
      </w:r>
    </w:p>
    <w:p w14:paraId="4475B0AF" w14:textId="2633FEED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Yizhi Ge</w:t>
      </w:r>
      <w:r w:rsidRPr="004D6FD0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4D6FD0">
        <w:rPr>
          <w:rFonts w:ascii="Times New Roman" w:hAnsi="Times New Roman" w:cs="Times New Roman" w:hint="eastAsia"/>
          <w:sz w:val="24"/>
          <w:szCs w:val="24"/>
          <w:vertAlign w:val="superscript"/>
        </w:rPr>
        <w:t>,1</w:t>
      </w:r>
      <w:r>
        <w:rPr>
          <w:rFonts w:ascii="Times New Roman" w:hAnsi="Times New Roman" w:cs="Times New Roman" w:hint="eastAsia"/>
          <w:sz w:val="24"/>
          <w:szCs w:val="24"/>
        </w:rPr>
        <w:t>, Haitao Liu</w:t>
      </w:r>
      <w:r w:rsidRPr="004D6FD0">
        <w:rPr>
          <w:rFonts w:ascii="Times New Roman" w:hAnsi="Times New Roman" w:cs="Times New Roman" w:hint="eastAsia"/>
          <w:sz w:val="24"/>
          <w:szCs w:val="24"/>
          <w:vertAlign w:val="superscript"/>
        </w:rPr>
        <w:t>†</w:t>
      </w:r>
      <w:r w:rsidRPr="004D6FD0">
        <w:rPr>
          <w:rFonts w:ascii="Times New Roman" w:hAnsi="Times New Roman" w:cs="Times New Roman" w:hint="eastAsia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 w:hint="eastAsia"/>
          <w:sz w:val="24"/>
          <w:szCs w:val="24"/>
        </w:rPr>
        <w:t>, Jiayi Shen</w:t>
      </w:r>
      <w:r w:rsidRPr="004D6FD0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, Hongming Xu</w:t>
      </w:r>
      <w:r w:rsidRPr="0065325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, Yong Feng</w:t>
      </w:r>
      <w:r w:rsidRPr="00653255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>,1, Dan Zong</w:t>
      </w:r>
      <w:r w:rsidRPr="00653255">
        <w:rPr>
          <w:rFonts w:ascii="Times New Roman" w:hAnsi="Times New Roman" w:cs="Times New Roman" w:hint="eastAsia"/>
          <w:sz w:val="24"/>
          <w:szCs w:val="24"/>
          <w:vertAlign w:val="superscript"/>
        </w:rPr>
        <w:t>*,1</w:t>
      </w:r>
      <w:r>
        <w:rPr>
          <w:rFonts w:ascii="Times New Roman" w:hAnsi="Times New Roman" w:cs="Times New Roman" w:hint="eastAsia"/>
          <w:sz w:val="24"/>
          <w:szCs w:val="24"/>
        </w:rPr>
        <w:t>, Lijun Wang</w:t>
      </w:r>
      <w:r w:rsidRPr="00653255">
        <w:rPr>
          <w:rFonts w:ascii="Times New Roman" w:hAnsi="Times New Roman" w:cs="Times New Roman" w:hint="eastAsia"/>
          <w:sz w:val="24"/>
          <w:szCs w:val="24"/>
          <w:vertAlign w:val="superscript"/>
        </w:rPr>
        <w:t>*,1</w:t>
      </w:r>
    </w:p>
    <w:p w14:paraId="7207FB22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 Department of Radiation Oncology, Jiangsu Cancer Hospital &amp; Jiangsu Institute of Cancer Research &amp; The Affiliated Cancer Hospital of Nanjing Medical University, Nanjing, Jiangsu, 210009, China;</w:t>
      </w:r>
    </w:p>
    <w:p w14:paraId="373A2982" w14:textId="630F08CF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 School of Life Sciences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 w:hint="eastAsia"/>
          <w:sz w:val="24"/>
          <w:szCs w:val="24"/>
        </w:rPr>
        <w:t>Fudan University, Shanghai, 200438, China</w:t>
      </w:r>
      <w:r w:rsidR="004D437E">
        <w:rPr>
          <w:rFonts w:ascii="Times New Roman" w:hAnsi="Times New Roman" w:cs="Times New Roman" w:hint="eastAsia"/>
          <w:sz w:val="24"/>
          <w:szCs w:val="24"/>
        </w:rPr>
        <w:t>;</w:t>
      </w:r>
    </w:p>
    <w:p w14:paraId="4D573844" w14:textId="52D1D2CD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 The Affiliated Cancer Hospital of Nanjing Medical University, Jiangsu Cancer Hospital, Jiangsu Institute of Cancer Research, Nanjing, China</w:t>
      </w:r>
      <w:r w:rsidR="004D437E">
        <w:rPr>
          <w:rFonts w:ascii="Times New Roman" w:hAnsi="Times New Roman" w:cs="Times New Roman" w:hint="eastAsia"/>
          <w:sz w:val="24"/>
          <w:szCs w:val="24"/>
        </w:rPr>
        <w:t>;</w:t>
      </w:r>
    </w:p>
    <w:p w14:paraId="261672F4" w14:textId="513F9993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 Department of Oncology, Huai'an 82 Hospital, Huai</w:t>
      </w:r>
      <w:r w:rsidR="004D437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an, China</w:t>
      </w:r>
      <w:r w:rsidR="004D437E">
        <w:rPr>
          <w:rFonts w:ascii="Times New Roman" w:hAnsi="Times New Roman" w:cs="Times New Roman" w:hint="eastAsia"/>
          <w:sz w:val="24"/>
          <w:szCs w:val="24"/>
        </w:rPr>
        <w:t>.</w:t>
      </w:r>
    </w:p>
    <w:p w14:paraId="4644C3D8" w14:textId="77777777" w:rsidR="00BC3192" w:rsidRDefault="00BC3192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571A2111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†</w:t>
      </w:r>
      <w:r>
        <w:rPr>
          <w:rFonts w:ascii="Times New Roman" w:hAnsi="Times New Roman" w:cs="Times New Roman" w:hint="eastAsia"/>
          <w:sz w:val="24"/>
          <w:szCs w:val="24"/>
        </w:rPr>
        <w:t xml:space="preserve"> These authors contributed equally to this work.</w:t>
      </w:r>
    </w:p>
    <w:p w14:paraId="20735CB9" w14:textId="77777777" w:rsidR="00BC3192" w:rsidRDefault="00BC3192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04B8ECFE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 Corresponding authors:</w:t>
      </w:r>
    </w:p>
    <w:p w14:paraId="45688033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Lijun Wang, Phone: 86-25-83283560, E-mail: htzlyy@163.com.</w:t>
      </w:r>
    </w:p>
    <w:p w14:paraId="550AF9A5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Dan Zong, Phone: 86-25-83283560, E-mail: zongdan910@sina. com.</w:t>
      </w:r>
    </w:p>
    <w:p w14:paraId="211815F8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Yong Feng, Phone: 86-25-83283560, yuxindu@njmu.edu.cn.</w:t>
      </w:r>
    </w:p>
    <w:p w14:paraId="340F9B91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mail address: 42 Baiziting Road, Xuanwu District, Nanjing, Jiangsu, 210009, China.</w:t>
      </w:r>
    </w:p>
    <w:p w14:paraId="55CFE6A9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Keywords: Single-Cell; Spatial Transcriptomic; Colon Cancer; Liver Metastasis</w:t>
      </w:r>
    </w:p>
    <w:p w14:paraId="23D0CB32" w14:textId="77777777" w:rsidR="00BC3192" w:rsidRDefault="00000000">
      <w:pPr>
        <w:widowControl w:val="0"/>
        <w:spacing w:beforeLines="100"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2781D989" wp14:editId="3B8333E9">
            <wp:extent cx="5466080" cy="4702175"/>
            <wp:effectExtent l="0" t="0" r="0" b="0"/>
            <wp:docPr id="1" name="图片 1" descr="附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_01"/>
                    <pic:cNvPicPr>
                      <a:picLocks noChangeAspect="1"/>
                    </pic:cNvPicPr>
                  </pic:nvPicPr>
                  <pic:blipFill>
                    <a:blip r:embed="rId7"/>
                    <a:srcRect b="40422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02ED" w14:textId="77777777" w:rsidR="00BC3192" w:rsidRDefault="00000000">
      <w:pPr>
        <w:spacing w:afterLines="100" w:after="240" w:line="360" w:lineRule="auto"/>
        <w:rPr>
          <w:rFonts w:ascii="Times New Roman" w:eastAsia="等线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Supplementary Figure 1 | Cell type annotation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UMAP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and h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eatmap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show marker genes for major cell types: T cells (CD3E, CD3D), epithelial cells (KRT8, KRT18), myeloid cells (CSF1R, LYZ), fibroblasts (DCN, COL3A1), B cells (CD79A, MZB1), endothelial cells (VWF, PECAM1), erythrocytes (HBA1, HBA2), mast cells (CPA3, TPSAB1). </w:t>
      </w:r>
    </w:p>
    <w:p w14:paraId="2D4CF5B2" w14:textId="77777777" w:rsidR="00BC3192" w:rsidRDefault="00000000">
      <w:pPr>
        <w:widowControl w:val="0"/>
        <w:spacing w:beforeLines="100" w:before="240" w:line="360" w:lineRule="auto"/>
        <w:rPr>
          <w:rFonts w:ascii="Times New Roman" w:eastAsia="等线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b/>
          <w:bCs/>
          <w:noProof/>
          <w:kern w:val="2"/>
          <w:sz w:val="24"/>
          <w:szCs w:val="24"/>
          <w14:ligatures w14:val="standardContextual"/>
        </w:rPr>
        <w:lastRenderedPageBreak/>
        <w:drawing>
          <wp:inline distT="0" distB="0" distL="114300" distR="114300" wp14:anchorId="336B5500" wp14:editId="37A8B54C">
            <wp:extent cx="5466080" cy="6737985"/>
            <wp:effectExtent l="0" t="0" r="0" b="0"/>
            <wp:docPr id="2" name="图片 2" descr="附图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_02"/>
                    <pic:cNvPicPr>
                      <a:picLocks noChangeAspect="1"/>
                    </pic:cNvPicPr>
                  </pic:nvPicPr>
                  <pic:blipFill>
                    <a:blip r:embed="rId8"/>
                    <a:srcRect b="14627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673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A7EF5" w14:textId="77777777" w:rsidR="00BC3192" w:rsidRDefault="00000000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Supplementary Figure 2 | Tumor subpopulation characterization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UMAP shows expression of tumor subpopulation markers (SLC35F1, SLC2A1, UBE2C, FTX, SMOC2, FABP1, APOA2). 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Relative abundance of tumor subpopulations pre- and post-treatment. 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Dot plot showing enrichment of metabolic pathways before and after treatment.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UMAP shows expression of APOA2, APOA1, APOC3, APOC1 in tumor cells.</w:t>
      </w:r>
    </w:p>
    <w:p w14:paraId="02658048" w14:textId="77777777" w:rsidR="00BC3192" w:rsidRDefault="00BC3192">
      <w:pPr>
        <w:widowControl w:val="0"/>
        <w:spacing w:beforeLines="100" w:before="240" w:line="360" w:lineRule="auto"/>
        <w:rPr>
          <w:rFonts w:ascii="Times New Roman" w:eastAsia="等线" w:hAnsi="Times New Roman" w:cs="Times New Roman"/>
          <w:kern w:val="2"/>
          <w:sz w:val="24"/>
          <w:szCs w:val="24"/>
        </w:rPr>
      </w:pPr>
    </w:p>
    <w:p w14:paraId="0AF706A0" w14:textId="77777777" w:rsidR="00BC3192" w:rsidRDefault="00000000">
      <w:pPr>
        <w:widowControl w:val="0"/>
        <w:spacing w:beforeLines="100" w:before="240" w:line="360" w:lineRule="auto"/>
        <w:rPr>
          <w:rFonts w:ascii="Times New Roman" w:eastAsia="等线" w:hAnsi="Times New Roman" w:cs="Times New Roman"/>
          <w:kern w:val="2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kern w:val="2"/>
          <w:sz w:val="24"/>
          <w:szCs w:val="24"/>
        </w:rPr>
        <w:lastRenderedPageBreak/>
        <w:drawing>
          <wp:inline distT="0" distB="0" distL="114300" distR="114300" wp14:anchorId="5E3FE559" wp14:editId="544E5EC6">
            <wp:extent cx="5708015" cy="8241030"/>
            <wp:effectExtent l="0" t="0" r="6985" b="7620"/>
            <wp:docPr id="6" name="图片 6" descr="Figures-revised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-revised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5F202" w14:textId="77777777" w:rsidR="00BC3192" w:rsidRDefault="00000000">
      <w:pPr>
        <w:rPr>
          <w:rFonts w:ascii="Times New Roman" w:eastAsia="等线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kern w:val="2"/>
          <w:sz w:val="24"/>
          <w:szCs w:val="24"/>
          <w14:ligatures w14:val="standardContextual"/>
        </w:rPr>
        <w:br w:type="page"/>
      </w:r>
    </w:p>
    <w:p w14:paraId="61E204F1" w14:textId="2FBAFE2D" w:rsidR="00BC3192" w:rsidRDefault="00000000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lastRenderedPageBreak/>
        <w:t>Supplementary Figure 3 | CNV and spatial analysis of tumor cells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InferCNV heatmaps compare tumor subpopulations to mast cells, confirming higher CNV in APOA2⁺ cells. 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Hematoxylin and eosin (H&amp;E) staining of tissue sections used for spatial transcriptomics before and after treatment.</w:t>
      </w:r>
    </w:p>
    <w:p w14:paraId="36E47462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75519D7A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57135545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1BBB0CF6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71ED0B7C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2DDE973F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4F5D27D3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43CD9E9F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424B12DA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551F0DE9" w14:textId="77777777" w:rsidR="00BC3192" w:rsidRDefault="00BC3192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23657FE2" w14:textId="77777777" w:rsidR="00BC3192" w:rsidRDefault="00000000">
      <w:pPr>
        <w:spacing w:afterLines="100" w:after="240" w:line="360" w:lineRule="auto"/>
        <w:rPr>
          <w:rFonts w:ascii="Times New Roman" w:eastAsia="等线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b/>
          <w:bCs/>
          <w:noProof/>
          <w:kern w:val="2"/>
          <w:sz w:val="24"/>
          <w:szCs w:val="24"/>
          <w14:ligatures w14:val="standardContextual"/>
        </w:rPr>
        <w:lastRenderedPageBreak/>
        <w:drawing>
          <wp:inline distT="0" distB="0" distL="114300" distR="114300" wp14:anchorId="5D96AACB" wp14:editId="782317EB">
            <wp:extent cx="5466080" cy="6458585"/>
            <wp:effectExtent l="0" t="0" r="0" b="0"/>
            <wp:docPr id="4" name="图片 4" descr="附图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附图_04"/>
                    <pic:cNvPicPr>
                      <a:picLocks noChangeAspect="1"/>
                    </pic:cNvPicPr>
                  </pic:nvPicPr>
                  <pic:blipFill>
                    <a:blip r:embed="rId10"/>
                    <a:srcRect b="18167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645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CB96" w14:textId="4D89DCBC" w:rsidR="00BC3192" w:rsidRDefault="00000000">
      <w:pPr>
        <w:spacing w:afterLines="100" w:after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Supplementary Figure 4 | Systemic metabolic profiling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Serum biochemical parameters (including amylase) pre-, on-, and post-treatment support transient HDL elevation and homeostatic feedback.</w:t>
      </w:r>
    </w:p>
    <w:p w14:paraId="6279DBBC" w14:textId="3CE5FBBA" w:rsidR="00BC3192" w:rsidRDefault="00000000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sz w:val="24"/>
        </w:rPr>
        <w:lastRenderedPageBreak/>
        <w:drawing>
          <wp:inline distT="0" distB="0" distL="114300" distR="114300" wp14:anchorId="75597AF8" wp14:editId="04CF6BD1">
            <wp:extent cx="5516880" cy="7967980"/>
            <wp:effectExtent l="0" t="0" r="7620" b="13970"/>
            <wp:docPr id="12" name="图片 12" descr="高低剂量pd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高低剂量pd1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96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Supplementary Figure 5 | T and NK cell characterization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</w:rPr>
        <w:t>-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</w:rPr>
        <w:t>) UMAP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and h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eatmap show expression of T/NK markers: CCR7 (naïve T cells), GZMK/GZMB (effector T cells), FOXP3 (Tregs), FCGR3A/XCL1 (NK cells), CXCL13 (Th cells), EGR1/HSPA1A </w:t>
      </w:r>
      <w:r>
        <w:rPr>
          <w:rFonts w:ascii="Times New Roman" w:eastAsia="宋体" w:hAnsi="Times New Roman" w:cs="Times New Roman"/>
          <w:color w:val="000000"/>
          <w:sz w:val="24"/>
        </w:rPr>
        <w:lastRenderedPageBreak/>
        <w:t>(activated T cells), CD4/CD8A (T cell subsets). (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C</w:t>
      </w:r>
      <w:r>
        <w:rPr>
          <w:rFonts w:ascii="Times New Roman" w:eastAsia="宋体" w:hAnsi="Times New Roman" w:cs="Times New Roman"/>
          <w:color w:val="000000"/>
          <w:sz w:val="24"/>
        </w:rPr>
        <w:t>) Relative abundance of T/NK subsets confirms IT_T expansion.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>D</w:t>
      </w:r>
      <w:r>
        <w:rPr>
          <w:rFonts w:ascii="Times New Roman" w:eastAsia="宋体" w:hAnsi="Times New Roman" w:cs="Times New Roman"/>
          <w:color w:val="000000"/>
          <w:sz w:val="24"/>
        </w:rPr>
        <w:t>)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Pseudotime trajectory analysis shows that pre-treatment T cell subsets fail to form a coherent developmental trajectory.  </w:t>
      </w:r>
      <w:r>
        <w:rPr>
          <w:rFonts w:ascii="Times New Roman" w:eastAsia="宋体" w:hAnsi="Times New Roman" w:cs="Times New Roman"/>
          <w:color w:val="000000"/>
          <w:sz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>E-H</w:t>
      </w:r>
      <w:r>
        <w:rPr>
          <w:rFonts w:ascii="Times New Roman" w:eastAsia="宋体" w:hAnsi="Times New Roman" w:cs="Times New Roman"/>
          <w:color w:val="000000"/>
          <w:sz w:val="24"/>
        </w:rPr>
        <w:t>)</w:t>
      </w:r>
      <w:r w:rsidR="00F250B6"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</w:rPr>
        <w:t>Violin plots depict the expression levels of multiple T cell exhaustion genes across patients pre- and post-treatment.</w:t>
      </w:r>
    </w:p>
    <w:p w14:paraId="77EF9582" w14:textId="77777777" w:rsidR="00BC3192" w:rsidRDefault="00BC3192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</w:rPr>
      </w:pPr>
    </w:p>
    <w:p w14:paraId="3D4790BE" w14:textId="37D98B1F" w:rsidR="00BC3192" w:rsidRDefault="00000000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 w:hint="eastAsia"/>
          <w:noProof/>
          <w:color w:val="000000"/>
          <w:sz w:val="24"/>
        </w:rPr>
        <w:lastRenderedPageBreak/>
        <w:drawing>
          <wp:inline distT="0" distB="0" distL="114300" distR="114300" wp14:anchorId="2467DDCF" wp14:editId="3FB52079">
            <wp:extent cx="5501005" cy="7472680"/>
            <wp:effectExtent l="0" t="0" r="4445" b="13970"/>
            <wp:docPr id="7" name="图片 7" descr="附图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附图_06"/>
                    <pic:cNvPicPr>
                      <a:picLocks noChangeAspect="1"/>
                    </pic:cNvPicPr>
                  </pic:nvPicPr>
                  <pic:blipFill>
                    <a:blip r:embed="rId12"/>
                    <a:srcRect r="4066" b="9743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74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Supplementary Figure 6 | Myeloid cell characterization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</w:rPr>
        <w:t>) UMAP shows expression of myeloid markers: CETP (CETP⁺ macrophages), CXCL10 (CXCL10⁺ macrophages), SPP1 (SPP1⁺ macrophages), APOC1 (APOC1⁺ macrophages), XCR1 (cDC1), CD1C (cDC2), LAMP3 (cDC3). (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</w:rPr>
        <w:t>) Spatial expression of CETP and ARG1 (M2 marker) post-treatment. (</w:t>
      </w:r>
      <w:r>
        <w:rPr>
          <w:rFonts w:ascii="Times New Roman" w:eastAsia="宋体" w:hAnsi="Times New Roman" w:cs="Times New Roman"/>
          <w:b/>
          <w:bCs/>
          <w:color w:val="000000"/>
          <w:sz w:val="24"/>
        </w:rPr>
        <w:t>C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) Correlation of NR1H3 (LXRα) with downstream target genes in myeloid </w:t>
      </w:r>
      <w:r>
        <w:rPr>
          <w:rFonts w:ascii="Times New Roman" w:eastAsia="宋体" w:hAnsi="Times New Roman" w:cs="Times New Roman"/>
          <w:color w:val="000000"/>
          <w:sz w:val="24"/>
        </w:rPr>
        <w:lastRenderedPageBreak/>
        <w:t>cells.</w:t>
      </w:r>
    </w:p>
    <w:p w14:paraId="7D888DE1" w14:textId="77777777" w:rsidR="00BC3192" w:rsidRDefault="00000000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114300" distR="114300" wp14:anchorId="22AB865E" wp14:editId="294E97C5">
            <wp:extent cx="5446395" cy="7865110"/>
            <wp:effectExtent l="0" t="0" r="1905" b="2540"/>
            <wp:docPr id="13" name="图片 13" descr="高低剂量pd1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高低剂量pd1_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Supplementary Figure 7 | Cell-cell communication dynamics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Quantification of intercellular interaction strength pre- and post-treatment. 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Network analysis identifies IT_T and GZMB_Teff as key signaling hubs. 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Differential interaction strength of CCL and CXCL pathways, with IT_T as major CCL ligand sources.</w:t>
      </w:r>
    </w:p>
    <w:p w14:paraId="7AB7EE2A" w14:textId="16CE73D4" w:rsidR="00BC3192" w:rsidRDefault="00000000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114300" distR="114300" wp14:anchorId="47212F51" wp14:editId="5F210C97">
            <wp:extent cx="5376545" cy="7764145"/>
            <wp:effectExtent l="0" t="0" r="14605" b="8255"/>
            <wp:docPr id="10" name="图片 10" descr="新附图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新附图_0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8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| Cell-cell communication dynamics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Differential interaction strength of CCL and CXCL pathways, with IT_T as major CCL ligand sources.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B-C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Spatial transcriptomics revealed co-localization of GZMB⁺ effector T cells (GZMB_Teff), inflammatory–toxic T cells (IT_T), and tumor cells, as well as co-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>localization of CXCL10–CXCR3 ligand–receptor pairs.</w:t>
      </w:r>
    </w:p>
    <w:p w14:paraId="7D38C427" w14:textId="1CDFB001" w:rsidR="00BC3192" w:rsidRDefault="00000000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114300" distR="114300" wp14:anchorId="11ECF8B7" wp14:editId="4B0E419F">
            <wp:extent cx="5537835" cy="3089275"/>
            <wp:effectExtent l="0" t="0" r="5715" b="15875"/>
            <wp:docPr id="11" name="图片 11" descr="新附图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新附图_09"/>
                    <pic:cNvPicPr>
                      <a:picLocks noChangeAspect="1"/>
                    </pic:cNvPicPr>
                  </pic:nvPicPr>
                  <pic:blipFill>
                    <a:blip r:embed="rId15"/>
                    <a:srcRect t="9708" b="51664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9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| Cell-cell communication dynamics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Differential interaction strength of CCL and CXCL pathways, with IT_T as major CCL ligand sources.</w:t>
      </w:r>
    </w:p>
    <w:p w14:paraId="05CA18F6" w14:textId="77777777" w:rsidR="00BC3192" w:rsidRDefault="00000000" w:rsidP="00017931">
      <w:pPr>
        <w:widowControl w:val="0"/>
        <w:spacing w:beforeLines="100" w:before="24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114300" distR="114300" wp14:anchorId="7CF852FD" wp14:editId="5D94B922">
            <wp:extent cx="5405755" cy="5096510"/>
            <wp:effectExtent l="0" t="0" r="4445" b="8890"/>
            <wp:docPr id="9" name="图片 9" descr="附图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附图_08"/>
                    <pic:cNvPicPr>
                      <a:picLocks noChangeAspect="1"/>
                    </pic:cNvPicPr>
                  </pic:nvPicPr>
                  <pic:blipFill>
                    <a:blip r:embed="rId16"/>
                    <a:srcRect t="7080" r="1104" b="28345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10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| Spatial transcriptomics deconvolution</w:t>
      </w: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) RCTD-based deconvolution of spatial transcriptomics data from pre- and post-treatment samples identified two distinct types of spot-level cell annotations.</w:t>
      </w:r>
    </w:p>
    <w:tbl>
      <w:tblPr>
        <w:tblStyle w:val="af8"/>
        <w:tblpPr w:leftFromText="180" w:rightFromText="180" w:horzAnchor="margin" w:tblpY="699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2551"/>
      </w:tblGrid>
      <w:tr w:rsidR="00BC3192" w:rsidRPr="00EE29DF" w14:paraId="0B71BD6A" w14:textId="77777777"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</w:tcPr>
          <w:p w14:paraId="352C5488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lastRenderedPageBreak/>
              <w:t>Characteristics</w:t>
            </w:r>
          </w:p>
        </w:tc>
        <w:tc>
          <w:tcPr>
            <w:tcW w:w="694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00B3C3F8" w14:textId="77777777" w:rsidR="00BC3192" w:rsidRPr="00EE29DF" w:rsidRDefault="00000000">
            <w:pPr>
              <w:widowControl w:val="0"/>
              <w:spacing w:line="240" w:lineRule="auto"/>
              <w:jc w:val="center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No. of patients</w:t>
            </w:r>
          </w:p>
        </w:tc>
      </w:tr>
      <w:tr w:rsidR="00BC3192" w:rsidRPr="00EE29DF" w14:paraId="706B3BA6" w14:textId="77777777">
        <w:tc>
          <w:tcPr>
            <w:tcW w:w="2127" w:type="dxa"/>
            <w:tcBorders>
              <w:top w:val="single" w:sz="6" w:space="0" w:color="auto"/>
            </w:tcBorders>
          </w:tcPr>
          <w:p w14:paraId="257C4774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Gender</w:t>
            </w:r>
          </w:p>
        </w:tc>
        <w:tc>
          <w:tcPr>
            <w:tcW w:w="4394" w:type="dxa"/>
            <w:tcBorders>
              <w:top w:val="single" w:sz="6" w:space="0" w:color="auto"/>
            </w:tcBorders>
          </w:tcPr>
          <w:p w14:paraId="2BCDF81C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Male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17B40688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13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(72.2%)</w:t>
            </w:r>
          </w:p>
        </w:tc>
      </w:tr>
      <w:tr w:rsidR="00BC3192" w:rsidRPr="00EE29DF" w14:paraId="4490DD0B" w14:textId="77777777">
        <w:tc>
          <w:tcPr>
            <w:tcW w:w="2127" w:type="dxa"/>
          </w:tcPr>
          <w:p w14:paraId="5CDC4640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097FFFE9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Female</w:t>
            </w:r>
          </w:p>
        </w:tc>
        <w:tc>
          <w:tcPr>
            <w:tcW w:w="2551" w:type="dxa"/>
          </w:tcPr>
          <w:p w14:paraId="0E894E63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5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(27.8%)</w:t>
            </w:r>
          </w:p>
        </w:tc>
      </w:tr>
      <w:tr w:rsidR="00BC3192" w:rsidRPr="00EE29DF" w14:paraId="4F064525" w14:textId="77777777">
        <w:tc>
          <w:tcPr>
            <w:tcW w:w="2127" w:type="dxa"/>
          </w:tcPr>
          <w:p w14:paraId="047CC7DD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Age Median (Range)</w:t>
            </w:r>
          </w:p>
        </w:tc>
        <w:tc>
          <w:tcPr>
            <w:tcW w:w="4394" w:type="dxa"/>
          </w:tcPr>
          <w:p w14:paraId="420C2D18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</w:p>
        </w:tc>
        <w:tc>
          <w:tcPr>
            <w:tcW w:w="2551" w:type="dxa"/>
          </w:tcPr>
          <w:p w14:paraId="682ADA51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61(42-71)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 xml:space="preserve"> years</w:t>
            </w:r>
          </w:p>
        </w:tc>
      </w:tr>
      <w:tr w:rsidR="00BC3192" w:rsidRPr="00EE29DF" w14:paraId="1B5AE8F6" w14:textId="77777777">
        <w:tc>
          <w:tcPr>
            <w:tcW w:w="2127" w:type="dxa"/>
          </w:tcPr>
          <w:p w14:paraId="3E976F9D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Ethnicity</w:t>
            </w:r>
          </w:p>
        </w:tc>
        <w:tc>
          <w:tcPr>
            <w:tcW w:w="4394" w:type="dxa"/>
          </w:tcPr>
          <w:p w14:paraId="52A1A55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Asian</w:t>
            </w:r>
          </w:p>
        </w:tc>
        <w:tc>
          <w:tcPr>
            <w:tcW w:w="2551" w:type="dxa"/>
          </w:tcPr>
          <w:p w14:paraId="1E50C323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18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(100%)</w:t>
            </w:r>
          </w:p>
        </w:tc>
      </w:tr>
      <w:tr w:rsidR="00BC3192" w:rsidRPr="00EE29DF" w14:paraId="4D69FB28" w14:textId="77777777">
        <w:tc>
          <w:tcPr>
            <w:tcW w:w="2127" w:type="dxa"/>
          </w:tcPr>
          <w:p w14:paraId="09A7F7A4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 xml:space="preserve">Primary Tumor </w:t>
            </w:r>
          </w:p>
        </w:tc>
        <w:tc>
          <w:tcPr>
            <w:tcW w:w="4394" w:type="dxa"/>
          </w:tcPr>
          <w:p w14:paraId="0BD412FE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Colon</w:t>
            </w:r>
          </w:p>
        </w:tc>
        <w:tc>
          <w:tcPr>
            <w:tcW w:w="2551" w:type="dxa"/>
          </w:tcPr>
          <w:p w14:paraId="61E94787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14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(77.8%)</w:t>
            </w:r>
          </w:p>
        </w:tc>
      </w:tr>
      <w:tr w:rsidR="00BC3192" w:rsidRPr="00EE29DF" w14:paraId="76CD1E63" w14:textId="77777777">
        <w:tc>
          <w:tcPr>
            <w:tcW w:w="2127" w:type="dxa"/>
          </w:tcPr>
          <w:p w14:paraId="75D503B2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07FBBF8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Rectum</w:t>
            </w:r>
          </w:p>
        </w:tc>
        <w:tc>
          <w:tcPr>
            <w:tcW w:w="2551" w:type="dxa"/>
          </w:tcPr>
          <w:p w14:paraId="5FEF34E5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4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(22.2%)</w:t>
            </w:r>
          </w:p>
        </w:tc>
      </w:tr>
      <w:tr w:rsidR="00BC3192" w:rsidRPr="00EE29DF" w14:paraId="00DCACC5" w14:textId="77777777">
        <w:tc>
          <w:tcPr>
            <w:tcW w:w="2127" w:type="dxa"/>
          </w:tcPr>
          <w:p w14:paraId="3613BD11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Metastatic Location</w:t>
            </w:r>
          </w:p>
        </w:tc>
        <w:tc>
          <w:tcPr>
            <w:tcW w:w="4394" w:type="dxa"/>
          </w:tcPr>
          <w:p w14:paraId="2E490DD1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Liver</w:t>
            </w:r>
          </w:p>
        </w:tc>
        <w:tc>
          <w:tcPr>
            <w:tcW w:w="2551" w:type="dxa"/>
          </w:tcPr>
          <w:p w14:paraId="43A3E032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20</w:t>
            </w:r>
          </w:p>
        </w:tc>
      </w:tr>
      <w:tr w:rsidR="00BC3192" w:rsidRPr="00EE29DF" w14:paraId="5AA9F950" w14:textId="77777777">
        <w:tc>
          <w:tcPr>
            <w:tcW w:w="2127" w:type="dxa"/>
          </w:tcPr>
          <w:p w14:paraId="2CDCA36F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2776B710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Lung</w:t>
            </w:r>
          </w:p>
        </w:tc>
        <w:tc>
          <w:tcPr>
            <w:tcW w:w="2551" w:type="dxa"/>
          </w:tcPr>
          <w:p w14:paraId="1059A8B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</w:t>
            </w:r>
          </w:p>
        </w:tc>
      </w:tr>
      <w:tr w:rsidR="00BC3192" w:rsidRPr="00EE29DF" w14:paraId="37339893" w14:textId="77777777">
        <w:tc>
          <w:tcPr>
            <w:tcW w:w="2127" w:type="dxa"/>
          </w:tcPr>
          <w:p w14:paraId="45CE542E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17805044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bladder</w:t>
            </w:r>
          </w:p>
        </w:tc>
        <w:tc>
          <w:tcPr>
            <w:tcW w:w="2551" w:type="dxa"/>
          </w:tcPr>
          <w:p w14:paraId="3093F53B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</w:t>
            </w:r>
          </w:p>
        </w:tc>
      </w:tr>
      <w:tr w:rsidR="00BC3192" w:rsidRPr="00EE29DF" w14:paraId="1882745C" w14:textId="77777777">
        <w:tc>
          <w:tcPr>
            <w:tcW w:w="2127" w:type="dxa"/>
          </w:tcPr>
          <w:p w14:paraId="5171057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Prior Interventions</w:t>
            </w:r>
          </w:p>
        </w:tc>
        <w:tc>
          <w:tcPr>
            <w:tcW w:w="4394" w:type="dxa"/>
          </w:tcPr>
          <w:p w14:paraId="77EB535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Prior Systemic Therapy</w:t>
            </w:r>
          </w:p>
        </w:tc>
        <w:tc>
          <w:tcPr>
            <w:tcW w:w="2551" w:type="dxa"/>
          </w:tcPr>
          <w:p w14:paraId="19E8F16C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18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(100%)</w:t>
            </w:r>
          </w:p>
        </w:tc>
      </w:tr>
      <w:tr w:rsidR="00BC3192" w:rsidRPr="00EE29DF" w14:paraId="1A77E550" w14:textId="77777777">
        <w:tc>
          <w:tcPr>
            <w:tcW w:w="2127" w:type="dxa"/>
          </w:tcPr>
          <w:p w14:paraId="5FB6A2C5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7C8F45FD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Prior Surgery (for primary/metastases)</w:t>
            </w:r>
          </w:p>
        </w:tc>
        <w:tc>
          <w:tcPr>
            <w:tcW w:w="2551" w:type="dxa"/>
          </w:tcPr>
          <w:p w14:paraId="1F7D06BB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14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(77.8%)</w:t>
            </w:r>
          </w:p>
        </w:tc>
      </w:tr>
      <w:tr w:rsidR="00BC3192" w:rsidRPr="00EE29DF" w14:paraId="3A5BEC17" w14:textId="77777777">
        <w:tc>
          <w:tcPr>
            <w:tcW w:w="2127" w:type="dxa"/>
          </w:tcPr>
          <w:p w14:paraId="04A4FC71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48752E60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Prior Radiation Therapy (non-study)</w:t>
            </w:r>
          </w:p>
        </w:tc>
        <w:tc>
          <w:tcPr>
            <w:tcW w:w="2551" w:type="dxa"/>
          </w:tcPr>
          <w:p w14:paraId="528102F9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(5.6%)</w:t>
            </w:r>
          </w:p>
        </w:tc>
      </w:tr>
      <w:tr w:rsidR="00BC3192" w:rsidRPr="00EE29DF" w14:paraId="3F0EA2FE" w14:textId="77777777">
        <w:tc>
          <w:tcPr>
            <w:tcW w:w="2127" w:type="dxa"/>
          </w:tcPr>
          <w:p w14:paraId="737CFBD4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Study Treatment </w:t>
            </w:r>
          </w:p>
        </w:tc>
        <w:tc>
          <w:tcPr>
            <w:tcW w:w="4394" w:type="dxa"/>
          </w:tcPr>
          <w:p w14:paraId="1CD5ED2D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 xml:space="preserve">Radiation Therapy Median Dose 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per Fraction</w:t>
            </w:r>
          </w:p>
        </w:tc>
        <w:tc>
          <w:tcPr>
            <w:tcW w:w="2551" w:type="dxa"/>
          </w:tcPr>
          <w:p w14:paraId="55F8A63F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8(6–10)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 xml:space="preserve"> Gy</w:t>
            </w: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 xml:space="preserve"> per fraction</w:t>
            </w:r>
          </w:p>
        </w:tc>
      </w:tr>
      <w:tr w:rsidR="00BC3192" w:rsidRPr="00EE29DF" w14:paraId="6B051619" w14:textId="77777777">
        <w:tc>
          <w:tcPr>
            <w:tcW w:w="2127" w:type="dxa"/>
          </w:tcPr>
          <w:p w14:paraId="2F8FB787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378073EF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 xml:space="preserve">Immune Checkpoint Inhibitor 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C</w:t>
            </w: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ycle</w:t>
            </w:r>
          </w:p>
        </w:tc>
        <w:tc>
          <w:tcPr>
            <w:tcW w:w="2551" w:type="dxa"/>
          </w:tcPr>
          <w:p w14:paraId="55EC7303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2.2(1-4)</w:t>
            </w:r>
          </w:p>
        </w:tc>
      </w:tr>
      <w:tr w:rsidR="00BC3192" w:rsidRPr="00EE29DF" w14:paraId="7DBD2597" w14:textId="77777777">
        <w:tc>
          <w:tcPr>
            <w:tcW w:w="2127" w:type="dxa"/>
          </w:tcPr>
          <w:p w14:paraId="3D2DBF62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  <w:t>Clinical Outcomes</w:t>
            </w:r>
          </w:p>
        </w:tc>
        <w:tc>
          <w:tcPr>
            <w:tcW w:w="4394" w:type="dxa"/>
          </w:tcPr>
          <w:p w14:paraId="1F13E7A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Partial Response</w:t>
            </w:r>
          </w:p>
        </w:tc>
        <w:tc>
          <w:tcPr>
            <w:tcW w:w="2551" w:type="dxa"/>
          </w:tcPr>
          <w:p w14:paraId="59AA8500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(5.6%)</w:t>
            </w:r>
          </w:p>
        </w:tc>
      </w:tr>
      <w:tr w:rsidR="00BC3192" w:rsidRPr="00EE29DF" w14:paraId="0265E566" w14:textId="77777777">
        <w:tc>
          <w:tcPr>
            <w:tcW w:w="2127" w:type="dxa"/>
          </w:tcPr>
          <w:p w14:paraId="5C5814D4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3A23F656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Stable Disease</w:t>
            </w:r>
          </w:p>
        </w:tc>
        <w:tc>
          <w:tcPr>
            <w:tcW w:w="2551" w:type="dxa"/>
          </w:tcPr>
          <w:p w14:paraId="10AE1B9C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4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(22.2%)</w:t>
            </w:r>
          </w:p>
        </w:tc>
      </w:tr>
      <w:tr w:rsidR="00BC3192" w:rsidRPr="00EE29DF" w14:paraId="65F2C016" w14:textId="77777777">
        <w:tc>
          <w:tcPr>
            <w:tcW w:w="2127" w:type="dxa"/>
          </w:tcPr>
          <w:p w14:paraId="1A1E3699" w14:textId="77777777" w:rsidR="00BC3192" w:rsidRPr="00EE29DF" w:rsidRDefault="00BC3192">
            <w:pPr>
              <w:widowControl w:val="0"/>
              <w:spacing w:line="240" w:lineRule="auto"/>
              <w:rPr>
                <w:rFonts w:eastAsia="等线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4394" w:type="dxa"/>
          </w:tcPr>
          <w:p w14:paraId="14215C6F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Progressive Disease</w:t>
            </w:r>
          </w:p>
        </w:tc>
        <w:tc>
          <w:tcPr>
            <w:tcW w:w="2551" w:type="dxa"/>
          </w:tcPr>
          <w:p w14:paraId="5EE3D86D" w14:textId="77777777" w:rsidR="00BC3192" w:rsidRPr="00EE29DF" w:rsidRDefault="00000000">
            <w:pPr>
              <w:widowControl w:val="0"/>
              <w:spacing w:line="240" w:lineRule="auto"/>
              <w:rPr>
                <w:rFonts w:eastAsia="等线"/>
                <w:sz w:val="24"/>
                <w:szCs w:val="24"/>
                <w14:ligatures w14:val="standardContextual"/>
              </w:rPr>
            </w:pPr>
            <w:r w:rsidRPr="00EE29DF">
              <w:rPr>
                <w:rFonts w:eastAsia="等线"/>
                <w:sz w:val="24"/>
                <w:szCs w:val="24"/>
                <w14:ligatures w14:val="standardContextual"/>
              </w:rPr>
              <w:t>13</w:t>
            </w:r>
            <w:r w:rsidRPr="00EE29DF">
              <w:rPr>
                <w:rFonts w:eastAsia="等线" w:hint="eastAsia"/>
                <w:sz w:val="24"/>
                <w:szCs w:val="24"/>
                <w14:ligatures w14:val="standardContextual"/>
              </w:rPr>
              <w:t>(72.2%)</w:t>
            </w:r>
          </w:p>
        </w:tc>
      </w:tr>
    </w:tbl>
    <w:p w14:paraId="2CBFFAD0" w14:textId="77777777" w:rsidR="00BC3192" w:rsidRPr="00EE29DF" w:rsidRDefault="00000000">
      <w:pPr>
        <w:widowControl w:val="0"/>
        <w:spacing w:line="240" w:lineRule="auto"/>
        <w:rPr>
          <w:rFonts w:ascii="Times New Roman" w:eastAsia="等线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EE29DF">
        <w:rPr>
          <w:rFonts w:ascii="Times New Roman" w:eastAsia="等线" w:hAnsi="Times New Roman" w:cs="Times New Roman" w:hint="eastAsia"/>
          <w:b/>
          <w:bCs/>
          <w:kern w:val="2"/>
          <w:sz w:val="24"/>
          <w:szCs w:val="24"/>
          <w14:ligatures w14:val="standardContextual"/>
        </w:rPr>
        <w:t xml:space="preserve">Supplementary Table </w:t>
      </w:r>
    </w:p>
    <w:p w14:paraId="5C05C9D7" w14:textId="77777777" w:rsidR="00BC3192" w:rsidRPr="00EE29DF" w:rsidRDefault="00000000">
      <w:pPr>
        <w:widowControl w:val="0"/>
        <w:spacing w:line="240" w:lineRule="auto"/>
        <w:jc w:val="center"/>
        <w:rPr>
          <w:rFonts w:ascii="等线" w:eastAsia="等线" w:hAnsi="等线" w:cs="Times New Roman" w:hint="eastAsia"/>
          <w:b/>
          <w:bCs/>
          <w:kern w:val="2"/>
          <w:sz w:val="24"/>
          <w:szCs w:val="24"/>
          <w14:ligatures w14:val="standardContextual"/>
        </w:rPr>
      </w:pPr>
      <w:r w:rsidRPr="00EE29DF">
        <w:rPr>
          <w:rFonts w:ascii="Times New Roman" w:eastAsia="等线" w:hAnsi="Times New Roman" w:cs="Times New Roman" w:hint="eastAsia"/>
          <w:b/>
          <w:bCs/>
          <w:kern w:val="2"/>
          <w:sz w:val="24"/>
          <w:szCs w:val="24"/>
          <w14:ligatures w14:val="standardContextual"/>
        </w:rPr>
        <w:t>Patient characteristics</w:t>
      </w:r>
    </w:p>
    <w:p w14:paraId="651D137F" w14:textId="77777777" w:rsidR="00BC3192" w:rsidRDefault="00BC3192">
      <w:pPr>
        <w:widowControl w:val="0"/>
        <w:spacing w:beforeLines="100" w:before="240" w:afterLines="4500" w:after="1080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sectPr w:rsidR="00BC3192">
      <w:pgSz w:w="11910" w:h="16840"/>
      <w:pgMar w:top="1440" w:right="1620" w:bottom="1180" w:left="1680" w:header="571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006F6" w14:textId="77777777" w:rsidR="00F07825" w:rsidRDefault="00F07825">
      <w:pPr>
        <w:spacing w:line="240" w:lineRule="auto"/>
      </w:pPr>
      <w:r>
        <w:separator/>
      </w:r>
    </w:p>
  </w:endnote>
  <w:endnote w:type="continuationSeparator" w:id="0">
    <w:p w14:paraId="269DFF40" w14:textId="77777777" w:rsidR="00F07825" w:rsidRDefault="00F07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  <w:sig w:usb0="00000000" w:usb1="00000000" w:usb2="14600000" w:usb3="00000000" w:csb0="000001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New York"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Lucida Grande">
    <w:altName w:val="Segoe UI"/>
    <w:charset w:val="00"/>
    <w:family w:val="swiss"/>
    <w:pitch w:val="default"/>
    <w:sig w:usb0="00000000" w:usb1="00000000" w:usb2="00000000" w:usb3="00000000" w:csb0="000001B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8E1A" w14:textId="77777777" w:rsidR="00F07825" w:rsidRDefault="00F07825">
      <w:r>
        <w:separator/>
      </w:r>
    </w:p>
  </w:footnote>
  <w:footnote w:type="continuationSeparator" w:id="0">
    <w:p w14:paraId="09F58544" w14:textId="77777777" w:rsidR="00F07825" w:rsidRDefault="00F07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75"/>
    <w:rsid w:val="00000EFD"/>
    <w:rsid w:val="00002ADC"/>
    <w:rsid w:val="0000402C"/>
    <w:rsid w:val="00005838"/>
    <w:rsid w:val="0000593F"/>
    <w:rsid w:val="000060C7"/>
    <w:rsid w:val="00006122"/>
    <w:rsid w:val="000123AD"/>
    <w:rsid w:val="00012973"/>
    <w:rsid w:val="00013ABF"/>
    <w:rsid w:val="00015AE0"/>
    <w:rsid w:val="00016BC2"/>
    <w:rsid w:val="00017931"/>
    <w:rsid w:val="00017BE0"/>
    <w:rsid w:val="00017EBF"/>
    <w:rsid w:val="00022156"/>
    <w:rsid w:val="000225EC"/>
    <w:rsid w:val="00022608"/>
    <w:rsid w:val="00025F80"/>
    <w:rsid w:val="00027336"/>
    <w:rsid w:val="00027520"/>
    <w:rsid w:val="00030592"/>
    <w:rsid w:val="00030C37"/>
    <w:rsid w:val="00030DC8"/>
    <w:rsid w:val="00032289"/>
    <w:rsid w:val="000332AF"/>
    <w:rsid w:val="000342B3"/>
    <w:rsid w:val="000368DF"/>
    <w:rsid w:val="00036FC7"/>
    <w:rsid w:val="00037C65"/>
    <w:rsid w:val="000402F8"/>
    <w:rsid w:val="000451BC"/>
    <w:rsid w:val="00051367"/>
    <w:rsid w:val="000535C1"/>
    <w:rsid w:val="000554F0"/>
    <w:rsid w:val="00057C67"/>
    <w:rsid w:val="00061F0C"/>
    <w:rsid w:val="00065BD6"/>
    <w:rsid w:val="00066768"/>
    <w:rsid w:val="00067052"/>
    <w:rsid w:val="00070346"/>
    <w:rsid w:val="00071B00"/>
    <w:rsid w:val="00072A89"/>
    <w:rsid w:val="00072C48"/>
    <w:rsid w:val="00073377"/>
    <w:rsid w:val="000745F8"/>
    <w:rsid w:val="0007768F"/>
    <w:rsid w:val="00077C5C"/>
    <w:rsid w:val="00092B2E"/>
    <w:rsid w:val="00094654"/>
    <w:rsid w:val="00094758"/>
    <w:rsid w:val="00094C31"/>
    <w:rsid w:val="00095735"/>
    <w:rsid w:val="000A1A3D"/>
    <w:rsid w:val="000A41F9"/>
    <w:rsid w:val="000A5BE6"/>
    <w:rsid w:val="000A7793"/>
    <w:rsid w:val="000B0870"/>
    <w:rsid w:val="000B13CF"/>
    <w:rsid w:val="000B2CFB"/>
    <w:rsid w:val="000B307F"/>
    <w:rsid w:val="000B3CFB"/>
    <w:rsid w:val="000B4982"/>
    <w:rsid w:val="000B4B45"/>
    <w:rsid w:val="000B6574"/>
    <w:rsid w:val="000C067A"/>
    <w:rsid w:val="000C1A63"/>
    <w:rsid w:val="000C28C5"/>
    <w:rsid w:val="000C3B45"/>
    <w:rsid w:val="000C4EF9"/>
    <w:rsid w:val="000C6B08"/>
    <w:rsid w:val="000C7DB8"/>
    <w:rsid w:val="000D204B"/>
    <w:rsid w:val="000D2D31"/>
    <w:rsid w:val="000E1BF7"/>
    <w:rsid w:val="000E2C1A"/>
    <w:rsid w:val="000E2EC4"/>
    <w:rsid w:val="000E57AE"/>
    <w:rsid w:val="000E58A5"/>
    <w:rsid w:val="000E63F4"/>
    <w:rsid w:val="000E6951"/>
    <w:rsid w:val="000E6BA2"/>
    <w:rsid w:val="000E7A80"/>
    <w:rsid w:val="000F2185"/>
    <w:rsid w:val="000F247B"/>
    <w:rsid w:val="000F26C9"/>
    <w:rsid w:val="000F2FE5"/>
    <w:rsid w:val="0010494F"/>
    <w:rsid w:val="00105E6B"/>
    <w:rsid w:val="001066FC"/>
    <w:rsid w:val="001075EE"/>
    <w:rsid w:val="00107A10"/>
    <w:rsid w:val="0011063B"/>
    <w:rsid w:val="001108BB"/>
    <w:rsid w:val="00110D70"/>
    <w:rsid w:val="00111496"/>
    <w:rsid w:val="00120745"/>
    <w:rsid w:val="00121B94"/>
    <w:rsid w:val="00123324"/>
    <w:rsid w:val="00126179"/>
    <w:rsid w:val="00126E0F"/>
    <w:rsid w:val="00132873"/>
    <w:rsid w:val="00135D93"/>
    <w:rsid w:val="00143EAA"/>
    <w:rsid w:val="00144C97"/>
    <w:rsid w:val="00146462"/>
    <w:rsid w:val="00147B75"/>
    <w:rsid w:val="00147E87"/>
    <w:rsid w:val="001535A4"/>
    <w:rsid w:val="001538E8"/>
    <w:rsid w:val="00154302"/>
    <w:rsid w:val="001556E0"/>
    <w:rsid w:val="00161049"/>
    <w:rsid w:val="00161231"/>
    <w:rsid w:val="0016130D"/>
    <w:rsid w:val="00161970"/>
    <w:rsid w:val="00161BD5"/>
    <w:rsid w:val="001660F1"/>
    <w:rsid w:val="0016719F"/>
    <w:rsid w:val="0016737F"/>
    <w:rsid w:val="00174F26"/>
    <w:rsid w:val="001756FD"/>
    <w:rsid w:val="00175BED"/>
    <w:rsid w:val="00177AC0"/>
    <w:rsid w:val="0018286F"/>
    <w:rsid w:val="001841AD"/>
    <w:rsid w:val="00184415"/>
    <w:rsid w:val="00184433"/>
    <w:rsid w:val="0018739C"/>
    <w:rsid w:val="00191C45"/>
    <w:rsid w:val="0019222C"/>
    <w:rsid w:val="00193CEA"/>
    <w:rsid w:val="00194009"/>
    <w:rsid w:val="0019655E"/>
    <w:rsid w:val="001A094A"/>
    <w:rsid w:val="001A2BF4"/>
    <w:rsid w:val="001A2FC8"/>
    <w:rsid w:val="001A39FB"/>
    <w:rsid w:val="001A5684"/>
    <w:rsid w:val="001A63C5"/>
    <w:rsid w:val="001B0C37"/>
    <w:rsid w:val="001B1DBE"/>
    <w:rsid w:val="001C254E"/>
    <w:rsid w:val="001C2AEE"/>
    <w:rsid w:val="001C4BF8"/>
    <w:rsid w:val="001C6555"/>
    <w:rsid w:val="001D3AC0"/>
    <w:rsid w:val="001D4118"/>
    <w:rsid w:val="001D4988"/>
    <w:rsid w:val="001D5955"/>
    <w:rsid w:val="001D5F09"/>
    <w:rsid w:val="001D7B26"/>
    <w:rsid w:val="001E0466"/>
    <w:rsid w:val="001E0BA8"/>
    <w:rsid w:val="001E14E7"/>
    <w:rsid w:val="001E25D7"/>
    <w:rsid w:val="001E3430"/>
    <w:rsid w:val="001E47E2"/>
    <w:rsid w:val="001E5B46"/>
    <w:rsid w:val="001E6F6C"/>
    <w:rsid w:val="001E7C81"/>
    <w:rsid w:val="001F23B5"/>
    <w:rsid w:val="001F2ABC"/>
    <w:rsid w:val="001F3FE8"/>
    <w:rsid w:val="001F5485"/>
    <w:rsid w:val="0020249D"/>
    <w:rsid w:val="002031FD"/>
    <w:rsid w:val="00205861"/>
    <w:rsid w:val="00206625"/>
    <w:rsid w:val="00206D02"/>
    <w:rsid w:val="00207322"/>
    <w:rsid w:val="00211AA6"/>
    <w:rsid w:val="002234F3"/>
    <w:rsid w:val="00224334"/>
    <w:rsid w:val="00226762"/>
    <w:rsid w:val="00230D30"/>
    <w:rsid w:val="0023431B"/>
    <w:rsid w:val="00234EB3"/>
    <w:rsid w:val="00237EA4"/>
    <w:rsid w:val="00242A36"/>
    <w:rsid w:val="0024597B"/>
    <w:rsid w:val="0024696C"/>
    <w:rsid w:val="00247486"/>
    <w:rsid w:val="00250468"/>
    <w:rsid w:val="0025180E"/>
    <w:rsid w:val="00252021"/>
    <w:rsid w:val="002521C3"/>
    <w:rsid w:val="002538B4"/>
    <w:rsid w:val="002547FA"/>
    <w:rsid w:val="00260344"/>
    <w:rsid w:val="00261DDD"/>
    <w:rsid w:val="0026751C"/>
    <w:rsid w:val="0027407B"/>
    <w:rsid w:val="0027435B"/>
    <w:rsid w:val="0027513E"/>
    <w:rsid w:val="002770A3"/>
    <w:rsid w:val="0028129E"/>
    <w:rsid w:val="0028245E"/>
    <w:rsid w:val="00287BBB"/>
    <w:rsid w:val="00291093"/>
    <w:rsid w:val="00291E25"/>
    <w:rsid w:val="0029208B"/>
    <w:rsid w:val="002960FB"/>
    <w:rsid w:val="002970AF"/>
    <w:rsid w:val="00297BDF"/>
    <w:rsid w:val="002A483A"/>
    <w:rsid w:val="002A49A6"/>
    <w:rsid w:val="002A5526"/>
    <w:rsid w:val="002A57C5"/>
    <w:rsid w:val="002A735C"/>
    <w:rsid w:val="002A7769"/>
    <w:rsid w:val="002B2D0F"/>
    <w:rsid w:val="002C09D4"/>
    <w:rsid w:val="002C1769"/>
    <w:rsid w:val="002C286A"/>
    <w:rsid w:val="002C38BB"/>
    <w:rsid w:val="002C3C84"/>
    <w:rsid w:val="002C5EAA"/>
    <w:rsid w:val="002D1125"/>
    <w:rsid w:val="002D288E"/>
    <w:rsid w:val="002D340F"/>
    <w:rsid w:val="002D4087"/>
    <w:rsid w:val="002D5818"/>
    <w:rsid w:val="002E1AAF"/>
    <w:rsid w:val="002E6415"/>
    <w:rsid w:val="002E7E09"/>
    <w:rsid w:val="002F3309"/>
    <w:rsid w:val="002F50E1"/>
    <w:rsid w:val="002F5A48"/>
    <w:rsid w:val="002F77DD"/>
    <w:rsid w:val="00301B6A"/>
    <w:rsid w:val="0030615E"/>
    <w:rsid w:val="003110D6"/>
    <w:rsid w:val="00312413"/>
    <w:rsid w:val="0031419F"/>
    <w:rsid w:val="003215DF"/>
    <w:rsid w:val="00323A80"/>
    <w:rsid w:val="00325FA1"/>
    <w:rsid w:val="003317D7"/>
    <w:rsid w:val="00332274"/>
    <w:rsid w:val="00332EE2"/>
    <w:rsid w:val="00333CB6"/>
    <w:rsid w:val="00335CBA"/>
    <w:rsid w:val="00336A7E"/>
    <w:rsid w:val="00336DD9"/>
    <w:rsid w:val="00336F21"/>
    <w:rsid w:val="00346D35"/>
    <w:rsid w:val="00352DF5"/>
    <w:rsid w:val="00354E7E"/>
    <w:rsid w:val="003554E6"/>
    <w:rsid w:val="0035578B"/>
    <w:rsid w:val="00355DBB"/>
    <w:rsid w:val="0036105C"/>
    <w:rsid w:val="00363649"/>
    <w:rsid w:val="003644EF"/>
    <w:rsid w:val="00366AC1"/>
    <w:rsid w:val="00367A7C"/>
    <w:rsid w:val="00370E3E"/>
    <w:rsid w:val="00374D19"/>
    <w:rsid w:val="003761A5"/>
    <w:rsid w:val="00377C89"/>
    <w:rsid w:val="00380783"/>
    <w:rsid w:val="00380C4B"/>
    <w:rsid w:val="00383714"/>
    <w:rsid w:val="00383C1D"/>
    <w:rsid w:val="00385EF4"/>
    <w:rsid w:val="00392D49"/>
    <w:rsid w:val="003934B1"/>
    <w:rsid w:val="00393654"/>
    <w:rsid w:val="00393A98"/>
    <w:rsid w:val="00393EE0"/>
    <w:rsid w:val="003A02D8"/>
    <w:rsid w:val="003A10DD"/>
    <w:rsid w:val="003A298E"/>
    <w:rsid w:val="003A2D4E"/>
    <w:rsid w:val="003A32D7"/>
    <w:rsid w:val="003A73B9"/>
    <w:rsid w:val="003B00D9"/>
    <w:rsid w:val="003B0536"/>
    <w:rsid w:val="003B0619"/>
    <w:rsid w:val="003B3510"/>
    <w:rsid w:val="003B40F7"/>
    <w:rsid w:val="003B65B8"/>
    <w:rsid w:val="003C0B71"/>
    <w:rsid w:val="003C7DF1"/>
    <w:rsid w:val="003D038E"/>
    <w:rsid w:val="003D06E5"/>
    <w:rsid w:val="003D0F6C"/>
    <w:rsid w:val="003D2E7F"/>
    <w:rsid w:val="003D3D60"/>
    <w:rsid w:val="003D6442"/>
    <w:rsid w:val="003E2D86"/>
    <w:rsid w:val="003E2F9E"/>
    <w:rsid w:val="003E356A"/>
    <w:rsid w:val="003E4964"/>
    <w:rsid w:val="003E627B"/>
    <w:rsid w:val="003E688C"/>
    <w:rsid w:val="003F0365"/>
    <w:rsid w:val="003F042E"/>
    <w:rsid w:val="003F0E80"/>
    <w:rsid w:val="003F1744"/>
    <w:rsid w:val="003F1F9D"/>
    <w:rsid w:val="003F48FB"/>
    <w:rsid w:val="003F59F3"/>
    <w:rsid w:val="003F7120"/>
    <w:rsid w:val="003F7961"/>
    <w:rsid w:val="00400134"/>
    <w:rsid w:val="004065BF"/>
    <w:rsid w:val="00407561"/>
    <w:rsid w:val="00412AB5"/>
    <w:rsid w:val="004132EC"/>
    <w:rsid w:val="00416F40"/>
    <w:rsid w:val="00416FDA"/>
    <w:rsid w:val="00417511"/>
    <w:rsid w:val="00420330"/>
    <w:rsid w:val="00422FC1"/>
    <w:rsid w:val="00426D60"/>
    <w:rsid w:val="004305BA"/>
    <w:rsid w:val="00430FBA"/>
    <w:rsid w:val="00431EF4"/>
    <w:rsid w:val="00434BD8"/>
    <w:rsid w:val="00440001"/>
    <w:rsid w:val="00441A8E"/>
    <w:rsid w:val="00441E0D"/>
    <w:rsid w:val="0044233B"/>
    <w:rsid w:val="00442D84"/>
    <w:rsid w:val="00443DAD"/>
    <w:rsid w:val="00447F3E"/>
    <w:rsid w:val="00453379"/>
    <w:rsid w:val="004537D5"/>
    <w:rsid w:val="00454F3D"/>
    <w:rsid w:val="00457121"/>
    <w:rsid w:val="00461E87"/>
    <w:rsid w:val="00462143"/>
    <w:rsid w:val="00464A6C"/>
    <w:rsid w:val="0047257F"/>
    <w:rsid w:val="0047383C"/>
    <w:rsid w:val="0048037F"/>
    <w:rsid w:val="00481119"/>
    <w:rsid w:val="00481E08"/>
    <w:rsid w:val="004826C6"/>
    <w:rsid w:val="00486E1B"/>
    <w:rsid w:val="00487A5B"/>
    <w:rsid w:val="00493014"/>
    <w:rsid w:val="00496204"/>
    <w:rsid w:val="004A1C73"/>
    <w:rsid w:val="004A21BC"/>
    <w:rsid w:val="004A4DFE"/>
    <w:rsid w:val="004A50F9"/>
    <w:rsid w:val="004A6A79"/>
    <w:rsid w:val="004B23E9"/>
    <w:rsid w:val="004B7493"/>
    <w:rsid w:val="004C31F5"/>
    <w:rsid w:val="004C716A"/>
    <w:rsid w:val="004D0C3A"/>
    <w:rsid w:val="004D0CDE"/>
    <w:rsid w:val="004D36D7"/>
    <w:rsid w:val="004D3B24"/>
    <w:rsid w:val="004D437E"/>
    <w:rsid w:val="004D6FD0"/>
    <w:rsid w:val="004E1B23"/>
    <w:rsid w:val="004E4C6F"/>
    <w:rsid w:val="004E585C"/>
    <w:rsid w:val="004E611A"/>
    <w:rsid w:val="004E6E2F"/>
    <w:rsid w:val="004F0FB0"/>
    <w:rsid w:val="004F3137"/>
    <w:rsid w:val="004F5BE6"/>
    <w:rsid w:val="004F601D"/>
    <w:rsid w:val="004F77EE"/>
    <w:rsid w:val="005019AC"/>
    <w:rsid w:val="00506CA1"/>
    <w:rsid w:val="005077A2"/>
    <w:rsid w:val="00507D4E"/>
    <w:rsid w:val="005116E1"/>
    <w:rsid w:val="0051221B"/>
    <w:rsid w:val="00512876"/>
    <w:rsid w:val="00512E03"/>
    <w:rsid w:val="00513109"/>
    <w:rsid w:val="0051395C"/>
    <w:rsid w:val="00513A60"/>
    <w:rsid w:val="00516B5F"/>
    <w:rsid w:val="0052176C"/>
    <w:rsid w:val="0052338A"/>
    <w:rsid w:val="00524609"/>
    <w:rsid w:val="00525360"/>
    <w:rsid w:val="00525C82"/>
    <w:rsid w:val="00527DD2"/>
    <w:rsid w:val="00534056"/>
    <w:rsid w:val="0053473B"/>
    <w:rsid w:val="00534A29"/>
    <w:rsid w:val="005354FF"/>
    <w:rsid w:val="00537764"/>
    <w:rsid w:val="00537DCD"/>
    <w:rsid w:val="00540680"/>
    <w:rsid w:val="00542399"/>
    <w:rsid w:val="00546DEB"/>
    <w:rsid w:val="0055068C"/>
    <w:rsid w:val="005513BC"/>
    <w:rsid w:val="00551826"/>
    <w:rsid w:val="00551F40"/>
    <w:rsid w:val="005540B2"/>
    <w:rsid w:val="00554192"/>
    <w:rsid w:val="00555ED0"/>
    <w:rsid w:val="00560451"/>
    <w:rsid w:val="00561332"/>
    <w:rsid w:val="00562B65"/>
    <w:rsid w:val="00563DA5"/>
    <w:rsid w:val="00563ECB"/>
    <w:rsid w:val="00564D69"/>
    <w:rsid w:val="005700A1"/>
    <w:rsid w:val="005702E8"/>
    <w:rsid w:val="005725FD"/>
    <w:rsid w:val="005727A0"/>
    <w:rsid w:val="00573C02"/>
    <w:rsid w:val="00575184"/>
    <w:rsid w:val="00577B60"/>
    <w:rsid w:val="00582FA2"/>
    <w:rsid w:val="00587D0C"/>
    <w:rsid w:val="00587DA3"/>
    <w:rsid w:val="0059089C"/>
    <w:rsid w:val="00591B8F"/>
    <w:rsid w:val="005922A8"/>
    <w:rsid w:val="005931E1"/>
    <w:rsid w:val="00595D84"/>
    <w:rsid w:val="005964A3"/>
    <w:rsid w:val="00596B2D"/>
    <w:rsid w:val="00596DA9"/>
    <w:rsid w:val="005977AE"/>
    <w:rsid w:val="005A33D9"/>
    <w:rsid w:val="005A4AA5"/>
    <w:rsid w:val="005A4B8C"/>
    <w:rsid w:val="005B06A2"/>
    <w:rsid w:val="005B2DDD"/>
    <w:rsid w:val="005B3D28"/>
    <w:rsid w:val="005B76C7"/>
    <w:rsid w:val="005C3038"/>
    <w:rsid w:val="005C43A1"/>
    <w:rsid w:val="005C4465"/>
    <w:rsid w:val="005D0032"/>
    <w:rsid w:val="005D07C2"/>
    <w:rsid w:val="005D59EF"/>
    <w:rsid w:val="005E1CA2"/>
    <w:rsid w:val="005E29C9"/>
    <w:rsid w:val="005E3CBD"/>
    <w:rsid w:val="005E44D3"/>
    <w:rsid w:val="005E4D0C"/>
    <w:rsid w:val="005E57AF"/>
    <w:rsid w:val="005F0FED"/>
    <w:rsid w:val="005F14BE"/>
    <w:rsid w:val="005F720A"/>
    <w:rsid w:val="00601DC7"/>
    <w:rsid w:val="00602472"/>
    <w:rsid w:val="00604EFC"/>
    <w:rsid w:val="00607485"/>
    <w:rsid w:val="00611445"/>
    <w:rsid w:val="00611BB3"/>
    <w:rsid w:val="0061262E"/>
    <w:rsid w:val="00613C0B"/>
    <w:rsid w:val="00613D3C"/>
    <w:rsid w:val="00615C43"/>
    <w:rsid w:val="00617435"/>
    <w:rsid w:val="00617496"/>
    <w:rsid w:val="00617BFC"/>
    <w:rsid w:val="00627158"/>
    <w:rsid w:val="00630BBC"/>
    <w:rsid w:val="006325CA"/>
    <w:rsid w:val="00632A95"/>
    <w:rsid w:val="00632EEF"/>
    <w:rsid w:val="00634097"/>
    <w:rsid w:val="00634793"/>
    <w:rsid w:val="006372EF"/>
    <w:rsid w:val="00640493"/>
    <w:rsid w:val="0064491D"/>
    <w:rsid w:val="00645DEC"/>
    <w:rsid w:val="006461B2"/>
    <w:rsid w:val="00650095"/>
    <w:rsid w:val="0065025F"/>
    <w:rsid w:val="00650677"/>
    <w:rsid w:val="00653255"/>
    <w:rsid w:val="00655B66"/>
    <w:rsid w:val="0066004F"/>
    <w:rsid w:val="00661854"/>
    <w:rsid w:val="00662C31"/>
    <w:rsid w:val="00663CCA"/>
    <w:rsid w:val="00664D38"/>
    <w:rsid w:val="00665DB6"/>
    <w:rsid w:val="00672517"/>
    <w:rsid w:val="0067549E"/>
    <w:rsid w:val="00676012"/>
    <w:rsid w:val="00677937"/>
    <w:rsid w:val="00680E14"/>
    <w:rsid w:val="0068113F"/>
    <w:rsid w:val="0068237F"/>
    <w:rsid w:val="006823FA"/>
    <w:rsid w:val="006829B6"/>
    <w:rsid w:val="00684339"/>
    <w:rsid w:val="0068453A"/>
    <w:rsid w:val="00692368"/>
    <w:rsid w:val="00692DC7"/>
    <w:rsid w:val="00693587"/>
    <w:rsid w:val="006952E8"/>
    <w:rsid w:val="006A1F95"/>
    <w:rsid w:val="006A2857"/>
    <w:rsid w:val="006B2167"/>
    <w:rsid w:val="006B3744"/>
    <w:rsid w:val="006B6B16"/>
    <w:rsid w:val="006C0984"/>
    <w:rsid w:val="006C1FEB"/>
    <w:rsid w:val="006C5D73"/>
    <w:rsid w:val="006C6EDF"/>
    <w:rsid w:val="006D0B6C"/>
    <w:rsid w:val="006D1312"/>
    <w:rsid w:val="006D4AA6"/>
    <w:rsid w:val="006D4C04"/>
    <w:rsid w:val="006D5F87"/>
    <w:rsid w:val="006D6644"/>
    <w:rsid w:val="006E51B1"/>
    <w:rsid w:val="006F0135"/>
    <w:rsid w:val="006F2290"/>
    <w:rsid w:val="006F404B"/>
    <w:rsid w:val="006F6B44"/>
    <w:rsid w:val="0070142E"/>
    <w:rsid w:val="00704E77"/>
    <w:rsid w:val="00706EA7"/>
    <w:rsid w:val="00710672"/>
    <w:rsid w:val="007112D0"/>
    <w:rsid w:val="00716787"/>
    <w:rsid w:val="007227D8"/>
    <w:rsid w:val="00724E38"/>
    <w:rsid w:val="007262BA"/>
    <w:rsid w:val="00727927"/>
    <w:rsid w:val="00730469"/>
    <w:rsid w:val="00730CA8"/>
    <w:rsid w:val="00732A24"/>
    <w:rsid w:val="007366AE"/>
    <w:rsid w:val="00740DA6"/>
    <w:rsid w:val="00744C48"/>
    <w:rsid w:val="00747ED1"/>
    <w:rsid w:val="00750790"/>
    <w:rsid w:val="00754762"/>
    <w:rsid w:val="0075773C"/>
    <w:rsid w:val="007577D2"/>
    <w:rsid w:val="00760264"/>
    <w:rsid w:val="00765375"/>
    <w:rsid w:val="00766960"/>
    <w:rsid w:val="007741A8"/>
    <w:rsid w:val="00774F06"/>
    <w:rsid w:val="00775A19"/>
    <w:rsid w:val="00775BE5"/>
    <w:rsid w:val="00777147"/>
    <w:rsid w:val="0077722C"/>
    <w:rsid w:val="007824D3"/>
    <w:rsid w:val="00784E2D"/>
    <w:rsid w:val="007874A3"/>
    <w:rsid w:val="00787878"/>
    <w:rsid w:val="00792B80"/>
    <w:rsid w:val="00792C89"/>
    <w:rsid w:val="00793F38"/>
    <w:rsid w:val="007947A1"/>
    <w:rsid w:val="007A3509"/>
    <w:rsid w:val="007A44E4"/>
    <w:rsid w:val="007A532E"/>
    <w:rsid w:val="007A746C"/>
    <w:rsid w:val="007B0799"/>
    <w:rsid w:val="007B38DB"/>
    <w:rsid w:val="007C0674"/>
    <w:rsid w:val="007C14F1"/>
    <w:rsid w:val="007C2AC5"/>
    <w:rsid w:val="007D1237"/>
    <w:rsid w:val="007D1280"/>
    <w:rsid w:val="007D29DD"/>
    <w:rsid w:val="007D2C1A"/>
    <w:rsid w:val="007D2E33"/>
    <w:rsid w:val="007D5E1A"/>
    <w:rsid w:val="007E07DB"/>
    <w:rsid w:val="007E2191"/>
    <w:rsid w:val="007E2588"/>
    <w:rsid w:val="007E2D30"/>
    <w:rsid w:val="007E7C45"/>
    <w:rsid w:val="007F0A70"/>
    <w:rsid w:val="007F110E"/>
    <w:rsid w:val="007F135F"/>
    <w:rsid w:val="007F143A"/>
    <w:rsid w:val="007F14EA"/>
    <w:rsid w:val="007F49FC"/>
    <w:rsid w:val="007F5A1E"/>
    <w:rsid w:val="007F7B4D"/>
    <w:rsid w:val="008018B6"/>
    <w:rsid w:val="00801BE2"/>
    <w:rsid w:val="00802040"/>
    <w:rsid w:val="008044FB"/>
    <w:rsid w:val="00806F20"/>
    <w:rsid w:val="0081027C"/>
    <w:rsid w:val="0081183E"/>
    <w:rsid w:val="00813ABE"/>
    <w:rsid w:val="00814B2E"/>
    <w:rsid w:val="008154AA"/>
    <w:rsid w:val="008177B0"/>
    <w:rsid w:val="00826108"/>
    <w:rsid w:val="0082760B"/>
    <w:rsid w:val="0083304F"/>
    <w:rsid w:val="00834E22"/>
    <w:rsid w:val="008362B9"/>
    <w:rsid w:val="0084044E"/>
    <w:rsid w:val="008417AA"/>
    <w:rsid w:val="00844885"/>
    <w:rsid w:val="008449C3"/>
    <w:rsid w:val="008503F4"/>
    <w:rsid w:val="00851622"/>
    <w:rsid w:val="008518DF"/>
    <w:rsid w:val="0085467C"/>
    <w:rsid w:val="00855F95"/>
    <w:rsid w:val="00856A47"/>
    <w:rsid w:val="00856F94"/>
    <w:rsid w:val="00860AD4"/>
    <w:rsid w:val="008636BB"/>
    <w:rsid w:val="008636DE"/>
    <w:rsid w:val="00863723"/>
    <w:rsid w:val="008656FB"/>
    <w:rsid w:val="00865700"/>
    <w:rsid w:val="00866D8F"/>
    <w:rsid w:val="00872F7A"/>
    <w:rsid w:val="00875102"/>
    <w:rsid w:val="00876F9C"/>
    <w:rsid w:val="0087766F"/>
    <w:rsid w:val="008778FF"/>
    <w:rsid w:val="00877B36"/>
    <w:rsid w:val="008815A8"/>
    <w:rsid w:val="00883784"/>
    <w:rsid w:val="0088448C"/>
    <w:rsid w:val="00884B8C"/>
    <w:rsid w:val="00885381"/>
    <w:rsid w:val="00886841"/>
    <w:rsid w:val="00887DA4"/>
    <w:rsid w:val="00892519"/>
    <w:rsid w:val="00893090"/>
    <w:rsid w:val="0089568D"/>
    <w:rsid w:val="00896430"/>
    <w:rsid w:val="00897799"/>
    <w:rsid w:val="008A08DB"/>
    <w:rsid w:val="008A21F9"/>
    <w:rsid w:val="008A4584"/>
    <w:rsid w:val="008A48D2"/>
    <w:rsid w:val="008A5A0D"/>
    <w:rsid w:val="008A609C"/>
    <w:rsid w:val="008A68FD"/>
    <w:rsid w:val="008B1492"/>
    <w:rsid w:val="008B2335"/>
    <w:rsid w:val="008B23A7"/>
    <w:rsid w:val="008B2429"/>
    <w:rsid w:val="008B33E6"/>
    <w:rsid w:val="008B3E38"/>
    <w:rsid w:val="008B63E6"/>
    <w:rsid w:val="008C1E36"/>
    <w:rsid w:val="008C1EFD"/>
    <w:rsid w:val="008C21B0"/>
    <w:rsid w:val="008C27B8"/>
    <w:rsid w:val="008C5575"/>
    <w:rsid w:val="008D04D8"/>
    <w:rsid w:val="008D1EA1"/>
    <w:rsid w:val="008D2048"/>
    <w:rsid w:val="008D35F0"/>
    <w:rsid w:val="008D439B"/>
    <w:rsid w:val="008D4FC3"/>
    <w:rsid w:val="008E3CA6"/>
    <w:rsid w:val="008E4AE0"/>
    <w:rsid w:val="008E5D96"/>
    <w:rsid w:val="008F09D6"/>
    <w:rsid w:val="008F19CF"/>
    <w:rsid w:val="008F203D"/>
    <w:rsid w:val="008F229E"/>
    <w:rsid w:val="008F42C3"/>
    <w:rsid w:val="008F7665"/>
    <w:rsid w:val="008F7F9D"/>
    <w:rsid w:val="00900445"/>
    <w:rsid w:val="009009F1"/>
    <w:rsid w:val="009022B1"/>
    <w:rsid w:val="00902D66"/>
    <w:rsid w:val="00905C5B"/>
    <w:rsid w:val="0091075E"/>
    <w:rsid w:val="00910F06"/>
    <w:rsid w:val="0091103B"/>
    <w:rsid w:val="0091380A"/>
    <w:rsid w:val="00917750"/>
    <w:rsid w:val="009200E9"/>
    <w:rsid w:val="00921095"/>
    <w:rsid w:val="00922769"/>
    <w:rsid w:val="00926051"/>
    <w:rsid w:val="00926EFE"/>
    <w:rsid w:val="0093035F"/>
    <w:rsid w:val="009325C8"/>
    <w:rsid w:val="009364A4"/>
    <w:rsid w:val="00936970"/>
    <w:rsid w:val="00937A9C"/>
    <w:rsid w:val="00940CB0"/>
    <w:rsid w:val="009454F2"/>
    <w:rsid w:val="00946630"/>
    <w:rsid w:val="009517CB"/>
    <w:rsid w:val="00951F70"/>
    <w:rsid w:val="00952220"/>
    <w:rsid w:val="00952B61"/>
    <w:rsid w:val="00955D25"/>
    <w:rsid w:val="00956266"/>
    <w:rsid w:val="00960198"/>
    <w:rsid w:val="009649F5"/>
    <w:rsid w:val="009651CC"/>
    <w:rsid w:val="009653DB"/>
    <w:rsid w:val="00966870"/>
    <w:rsid w:val="00966FBD"/>
    <w:rsid w:val="00967355"/>
    <w:rsid w:val="00972112"/>
    <w:rsid w:val="00974DB7"/>
    <w:rsid w:val="009751C8"/>
    <w:rsid w:val="00976717"/>
    <w:rsid w:val="00982724"/>
    <w:rsid w:val="00983C17"/>
    <w:rsid w:val="00984355"/>
    <w:rsid w:val="00984635"/>
    <w:rsid w:val="00984D7F"/>
    <w:rsid w:val="00991B94"/>
    <w:rsid w:val="00991D2D"/>
    <w:rsid w:val="00992ED0"/>
    <w:rsid w:val="009952A9"/>
    <w:rsid w:val="00996FA8"/>
    <w:rsid w:val="009971DB"/>
    <w:rsid w:val="00997644"/>
    <w:rsid w:val="009A0172"/>
    <w:rsid w:val="009A0BF1"/>
    <w:rsid w:val="009A189B"/>
    <w:rsid w:val="009A246C"/>
    <w:rsid w:val="009A6D41"/>
    <w:rsid w:val="009B0D0B"/>
    <w:rsid w:val="009B1E02"/>
    <w:rsid w:val="009B25F7"/>
    <w:rsid w:val="009B32EB"/>
    <w:rsid w:val="009B3C7B"/>
    <w:rsid w:val="009B4A58"/>
    <w:rsid w:val="009B6770"/>
    <w:rsid w:val="009B79F0"/>
    <w:rsid w:val="009B7F5D"/>
    <w:rsid w:val="009C03A8"/>
    <w:rsid w:val="009C0FA3"/>
    <w:rsid w:val="009C1870"/>
    <w:rsid w:val="009C19A4"/>
    <w:rsid w:val="009C2D1B"/>
    <w:rsid w:val="009C4C25"/>
    <w:rsid w:val="009D0CC8"/>
    <w:rsid w:val="009D3CD2"/>
    <w:rsid w:val="009D4D22"/>
    <w:rsid w:val="009D5989"/>
    <w:rsid w:val="009E0C57"/>
    <w:rsid w:val="009E12C1"/>
    <w:rsid w:val="009E456A"/>
    <w:rsid w:val="009E58AD"/>
    <w:rsid w:val="009E5C6C"/>
    <w:rsid w:val="009F1DE2"/>
    <w:rsid w:val="009F2813"/>
    <w:rsid w:val="009F289E"/>
    <w:rsid w:val="009F387E"/>
    <w:rsid w:val="009F63C7"/>
    <w:rsid w:val="00A02665"/>
    <w:rsid w:val="00A02FFE"/>
    <w:rsid w:val="00A034D2"/>
    <w:rsid w:val="00A035CF"/>
    <w:rsid w:val="00A04357"/>
    <w:rsid w:val="00A051A4"/>
    <w:rsid w:val="00A062CC"/>
    <w:rsid w:val="00A103A6"/>
    <w:rsid w:val="00A11DEA"/>
    <w:rsid w:val="00A12A1B"/>
    <w:rsid w:val="00A130F4"/>
    <w:rsid w:val="00A14114"/>
    <w:rsid w:val="00A148EB"/>
    <w:rsid w:val="00A14F27"/>
    <w:rsid w:val="00A16018"/>
    <w:rsid w:val="00A16B12"/>
    <w:rsid w:val="00A21AF2"/>
    <w:rsid w:val="00A25384"/>
    <w:rsid w:val="00A35B1F"/>
    <w:rsid w:val="00A35F87"/>
    <w:rsid w:val="00A404E8"/>
    <w:rsid w:val="00A4125D"/>
    <w:rsid w:val="00A425AF"/>
    <w:rsid w:val="00A43307"/>
    <w:rsid w:val="00A473A4"/>
    <w:rsid w:val="00A51337"/>
    <w:rsid w:val="00A51443"/>
    <w:rsid w:val="00A51C1A"/>
    <w:rsid w:val="00A569A7"/>
    <w:rsid w:val="00A642D9"/>
    <w:rsid w:val="00A652CD"/>
    <w:rsid w:val="00A67647"/>
    <w:rsid w:val="00A70230"/>
    <w:rsid w:val="00A703CC"/>
    <w:rsid w:val="00A70505"/>
    <w:rsid w:val="00A7072F"/>
    <w:rsid w:val="00A721EB"/>
    <w:rsid w:val="00A725F1"/>
    <w:rsid w:val="00A72AD3"/>
    <w:rsid w:val="00A73249"/>
    <w:rsid w:val="00A73F31"/>
    <w:rsid w:val="00A74B5A"/>
    <w:rsid w:val="00A75484"/>
    <w:rsid w:val="00A75C8D"/>
    <w:rsid w:val="00A75F98"/>
    <w:rsid w:val="00A80377"/>
    <w:rsid w:val="00A80B22"/>
    <w:rsid w:val="00A82A87"/>
    <w:rsid w:val="00A85457"/>
    <w:rsid w:val="00A87BCC"/>
    <w:rsid w:val="00A91A30"/>
    <w:rsid w:val="00A96466"/>
    <w:rsid w:val="00A97D3F"/>
    <w:rsid w:val="00AA71D3"/>
    <w:rsid w:val="00AB3033"/>
    <w:rsid w:val="00AB533D"/>
    <w:rsid w:val="00AB5CCA"/>
    <w:rsid w:val="00AB6BF7"/>
    <w:rsid w:val="00AB7E1D"/>
    <w:rsid w:val="00AC22BC"/>
    <w:rsid w:val="00AC260F"/>
    <w:rsid w:val="00AC4F24"/>
    <w:rsid w:val="00AC657B"/>
    <w:rsid w:val="00AC7280"/>
    <w:rsid w:val="00AD3BFD"/>
    <w:rsid w:val="00AD571A"/>
    <w:rsid w:val="00AD5AD1"/>
    <w:rsid w:val="00AD7934"/>
    <w:rsid w:val="00AD7B98"/>
    <w:rsid w:val="00AE0423"/>
    <w:rsid w:val="00AE0C93"/>
    <w:rsid w:val="00AE155B"/>
    <w:rsid w:val="00AE1910"/>
    <w:rsid w:val="00AE2D41"/>
    <w:rsid w:val="00AE3186"/>
    <w:rsid w:val="00AE4A53"/>
    <w:rsid w:val="00AF03C3"/>
    <w:rsid w:val="00AF11CC"/>
    <w:rsid w:val="00AF188A"/>
    <w:rsid w:val="00AF1CA8"/>
    <w:rsid w:val="00AF2A6E"/>
    <w:rsid w:val="00AF359F"/>
    <w:rsid w:val="00AF39CB"/>
    <w:rsid w:val="00AF424A"/>
    <w:rsid w:val="00AF4712"/>
    <w:rsid w:val="00AF48E1"/>
    <w:rsid w:val="00AF4D12"/>
    <w:rsid w:val="00AF687B"/>
    <w:rsid w:val="00AF72FB"/>
    <w:rsid w:val="00AF7E5E"/>
    <w:rsid w:val="00B00478"/>
    <w:rsid w:val="00B00923"/>
    <w:rsid w:val="00B03B0E"/>
    <w:rsid w:val="00B05384"/>
    <w:rsid w:val="00B0686E"/>
    <w:rsid w:val="00B078F0"/>
    <w:rsid w:val="00B132CD"/>
    <w:rsid w:val="00B15BDF"/>
    <w:rsid w:val="00B16CF9"/>
    <w:rsid w:val="00B177DD"/>
    <w:rsid w:val="00B2068A"/>
    <w:rsid w:val="00B2351F"/>
    <w:rsid w:val="00B2789E"/>
    <w:rsid w:val="00B31466"/>
    <w:rsid w:val="00B33857"/>
    <w:rsid w:val="00B33B63"/>
    <w:rsid w:val="00B35C93"/>
    <w:rsid w:val="00B37997"/>
    <w:rsid w:val="00B40902"/>
    <w:rsid w:val="00B41491"/>
    <w:rsid w:val="00B41C73"/>
    <w:rsid w:val="00B431DF"/>
    <w:rsid w:val="00B45DAE"/>
    <w:rsid w:val="00B47B4A"/>
    <w:rsid w:val="00B50C0C"/>
    <w:rsid w:val="00B5243F"/>
    <w:rsid w:val="00B54A03"/>
    <w:rsid w:val="00B570F3"/>
    <w:rsid w:val="00B579EE"/>
    <w:rsid w:val="00B60C3E"/>
    <w:rsid w:val="00B61D52"/>
    <w:rsid w:val="00B61D97"/>
    <w:rsid w:val="00B65BC3"/>
    <w:rsid w:val="00B735B1"/>
    <w:rsid w:val="00B743E5"/>
    <w:rsid w:val="00B74584"/>
    <w:rsid w:val="00B82396"/>
    <w:rsid w:val="00B82B55"/>
    <w:rsid w:val="00B84F10"/>
    <w:rsid w:val="00B84FC5"/>
    <w:rsid w:val="00B85548"/>
    <w:rsid w:val="00B8649E"/>
    <w:rsid w:val="00B86D77"/>
    <w:rsid w:val="00B953B2"/>
    <w:rsid w:val="00B9579A"/>
    <w:rsid w:val="00B97961"/>
    <w:rsid w:val="00BA269D"/>
    <w:rsid w:val="00BA3373"/>
    <w:rsid w:val="00BA39EC"/>
    <w:rsid w:val="00BA3A2F"/>
    <w:rsid w:val="00BA5187"/>
    <w:rsid w:val="00BB16CE"/>
    <w:rsid w:val="00BB21FD"/>
    <w:rsid w:val="00BB4E01"/>
    <w:rsid w:val="00BB6621"/>
    <w:rsid w:val="00BB71A2"/>
    <w:rsid w:val="00BB7C91"/>
    <w:rsid w:val="00BC0142"/>
    <w:rsid w:val="00BC2167"/>
    <w:rsid w:val="00BC2322"/>
    <w:rsid w:val="00BC3192"/>
    <w:rsid w:val="00BC3FB3"/>
    <w:rsid w:val="00BC6B64"/>
    <w:rsid w:val="00BD0363"/>
    <w:rsid w:val="00BD1E83"/>
    <w:rsid w:val="00BD21F5"/>
    <w:rsid w:val="00BD255A"/>
    <w:rsid w:val="00BD3820"/>
    <w:rsid w:val="00BD4317"/>
    <w:rsid w:val="00BD4473"/>
    <w:rsid w:val="00BD4ADC"/>
    <w:rsid w:val="00BD62E2"/>
    <w:rsid w:val="00BE0842"/>
    <w:rsid w:val="00BE183E"/>
    <w:rsid w:val="00BE247F"/>
    <w:rsid w:val="00BE2E18"/>
    <w:rsid w:val="00BE3F2D"/>
    <w:rsid w:val="00BF1261"/>
    <w:rsid w:val="00BF236B"/>
    <w:rsid w:val="00BF427E"/>
    <w:rsid w:val="00BF4E76"/>
    <w:rsid w:val="00BF50B5"/>
    <w:rsid w:val="00BF5198"/>
    <w:rsid w:val="00BF5F09"/>
    <w:rsid w:val="00BF7A67"/>
    <w:rsid w:val="00C00059"/>
    <w:rsid w:val="00C005A9"/>
    <w:rsid w:val="00C04C75"/>
    <w:rsid w:val="00C04E3F"/>
    <w:rsid w:val="00C05F08"/>
    <w:rsid w:val="00C05F99"/>
    <w:rsid w:val="00C06881"/>
    <w:rsid w:val="00C06FD2"/>
    <w:rsid w:val="00C11C0F"/>
    <w:rsid w:val="00C150D1"/>
    <w:rsid w:val="00C16DC9"/>
    <w:rsid w:val="00C215E2"/>
    <w:rsid w:val="00C21798"/>
    <w:rsid w:val="00C22530"/>
    <w:rsid w:val="00C22764"/>
    <w:rsid w:val="00C24255"/>
    <w:rsid w:val="00C249FF"/>
    <w:rsid w:val="00C3287C"/>
    <w:rsid w:val="00C36368"/>
    <w:rsid w:val="00C37184"/>
    <w:rsid w:val="00C40133"/>
    <w:rsid w:val="00C44389"/>
    <w:rsid w:val="00C4682F"/>
    <w:rsid w:val="00C471D4"/>
    <w:rsid w:val="00C51324"/>
    <w:rsid w:val="00C5395C"/>
    <w:rsid w:val="00C53F39"/>
    <w:rsid w:val="00C547B5"/>
    <w:rsid w:val="00C55CF7"/>
    <w:rsid w:val="00C57648"/>
    <w:rsid w:val="00C60654"/>
    <w:rsid w:val="00C62468"/>
    <w:rsid w:val="00C6443D"/>
    <w:rsid w:val="00C665B0"/>
    <w:rsid w:val="00C674FB"/>
    <w:rsid w:val="00C72170"/>
    <w:rsid w:val="00C7308A"/>
    <w:rsid w:val="00C73F2B"/>
    <w:rsid w:val="00C74A2A"/>
    <w:rsid w:val="00C8306E"/>
    <w:rsid w:val="00C84CE5"/>
    <w:rsid w:val="00C85501"/>
    <w:rsid w:val="00C86B7B"/>
    <w:rsid w:val="00C87340"/>
    <w:rsid w:val="00C90972"/>
    <w:rsid w:val="00C945B1"/>
    <w:rsid w:val="00C979D4"/>
    <w:rsid w:val="00C97E10"/>
    <w:rsid w:val="00CA2B61"/>
    <w:rsid w:val="00CA2C60"/>
    <w:rsid w:val="00CA2C90"/>
    <w:rsid w:val="00CA4C09"/>
    <w:rsid w:val="00CA4D91"/>
    <w:rsid w:val="00CA4EA8"/>
    <w:rsid w:val="00CA65CE"/>
    <w:rsid w:val="00CB2E1D"/>
    <w:rsid w:val="00CB3599"/>
    <w:rsid w:val="00CB47C2"/>
    <w:rsid w:val="00CB48F9"/>
    <w:rsid w:val="00CB6053"/>
    <w:rsid w:val="00CB6B4A"/>
    <w:rsid w:val="00CB72CE"/>
    <w:rsid w:val="00CC1285"/>
    <w:rsid w:val="00CC2E38"/>
    <w:rsid w:val="00CC43E9"/>
    <w:rsid w:val="00CC774D"/>
    <w:rsid w:val="00CC77F2"/>
    <w:rsid w:val="00CC7E34"/>
    <w:rsid w:val="00CD3218"/>
    <w:rsid w:val="00CD366F"/>
    <w:rsid w:val="00CD5514"/>
    <w:rsid w:val="00CD5FF4"/>
    <w:rsid w:val="00CD6AC2"/>
    <w:rsid w:val="00CF0500"/>
    <w:rsid w:val="00CF053A"/>
    <w:rsid w:val="00CF12AB"/>
    <w:rsid w:val="00CF1FE5"/>
    <w:rsid w:val="00CF5BEE"/>
    <w:rsid w:val="00CF740F"/>
    <w:rsid w:val="00D0192F"/>
    <w:rsid w:val="00D01B7C"/>
    <w:rsid w:val="00D045F6"/>
    <w:rsid w:val="00D04E34"/>
    <w:rsid w:val="00D05358"/>
    <w:rsid w:val="00D06BD7"/>
    <w:rsid w:val="00D06FF1"/>
    <w:rsid w:val="00D11022"/>
    <w:rsid w:val="00D11B30"/>
    <w:rsid w:val="00D12A4F"/>
    <w:rsid w:val="00D1372A"/>
    <w:rsid w:val="00D13CD0"/>
    <w:rsid w:val="00D14612"/>
    <w:rsid w:val="00D14DAD"/>
    <w:rsid w:val="00D20AE6"/>
    <w:rsid w:val="00D21374"/>
    <w:rsid w:val="00D234A3"/>
    <w:rsid w:val="00D237E4"/>
    <w:rsid w:val="00D238F9"/>
    <w:rsid w:val="00D24152"/>
    <w:rsid w:val="00D25F9F"/>
    <w:rsid w:val="00D26CF1"/>
    <w:rsid w:val="00D30058"/>
    <w:rsid w:val="00D31713"/>
    <w:rsid w:val="00D32D92"/>
    <w:rsid w:val="00D34559"/>
    <w:rsid w:val="00D36BAC"/>
    <w:rsid w:val="00D3793D"/>
    <w:rsid w:val="00D37C05"/>
    <w:rsid w:val="00D37D82"/>
    <w:rsid w:val="00D4113D"/>
    <w:rsid w:val="00D41E80"/>
    <w:rsid w:val="00D445D4"/>
    <w:rsid w:val="00D446E4"/>
    <w:rsid w:val="00D45321"/>
    <w:rsid w:val="00D476E4"/>
    <w:rsid w:val="00D50EDF"/>
    <w:rsid w:val="00D51078"/>
    <w:rsid w:val="00D54242"/>
    <w:rsid w:val="00D567C6"/>
    <w:rsid w:val="00D568B2"/>
    <w:rsid w:val="00D60E8D"/>
    <w:rsid w:val="00D62573"/>
    <w:rsid w:val="00D62EB9"/>
    <w:rsid w:val="00D63251"/>
    <w:rsid w:val="00D70AD3"/>
    <w:rsid w:val="00D71483"/>
    <w:rsid w:val="00D71645"/>
    <w:rsid w:val="00D7243C"/>
    <w:rsid w:val="00D75A4C"/>
    <w:rsid w:val="00D76572"/>
    <w:rsid w:val="00D76608"/>
    <w:rsid w:val="00D76E20"/>
    <w:rsid w:val="00D802BF"/>
    <w:rsid w:val="00D811C6"/>
    <w:rsid w:val="00D84F48"/>
    <w:rsid w:val="00D8634F"/>
    <w:rsid w:val="00D8780C"/>
    <w:rsid w:val="00D879E3"/>
    <w:rsid w:val="00D90E3A"/>
    <w:rsid w:val="00D91EEB"/>
    <w:rsid w:val="00D92048"/>
    <w:rsid w:val="00D92490"/>
    <w:rsid w:val="00D92E69"/>
    <w:rsid w:val="00D96D3D"/>
    <w:rsid w:val="00DA025A"/>
    <w:rsid w:val="00DA0904"/>
    <w:rsid w:val="00DA24A4"/>
    <w:rsid w:val="00DA490E"/>
    <w:rsid w:val="00DA6BC0"/>
    <w:rsid w:val="00DB04B0"/>
    <w:rsid w:val="00DB309C"/>
    <w:rsid w:val="00DB38EE"/>
    <w:rsid w:val="00DB3FAB"/>
    <w:rsid w:val="00DC2C26"/>
    <w:rsid w:val="00DC3BF3"/>
    <w:rsid w:val="00DC4CB9"/>
    <w:rsid w:val="00DD2C33"/>
    <w:rsid w:val="00DD2F1F"/>
    <w:rsid w:val="00DD4B4C"/>
    <w:rsid w:val="00DD6DD1"/>
    <w:rsid w:val="00DD7306"/>
    <w:rsid w:val="00DE09F2"/>
    <w:rsid w:val="00DE1508"/>
    <w:rsid w:val="00DE284B"/>
    <w:rsid w:val="00DE3CE7"/>
    <w:rsid w:val="00DE3F42"/>
    <w:rsid w:val="00DF219D"/>
    <w:rsid w:val="00DF2C56"/>
    <w:rsid w:val="00DF32BA"/>
    <w:rsid w:val="00DF390A"/>
    <w:rsid w:val="00DF3CC6"/>
    <w:rsid w:val="00E00BF0"/>
    <w:rsid w:val="00E00D2A"/>
    <w:rsid w:val="00E047EF"/>
    <w:rsid w:val="00E04B25"/>
    <w:rsid w:val="00E06F65"/>
    <w:rsid w:val="00E07EC1"/>
    <w:rsid w:val="00E15259"/>
    <w:rsid w:val="00E15F22"/>
    <w:rsid w:val="00E1696C"/>
    <w:rsid w:val="00E16F8F"/>
    <w:rsid w:val="00E23158"/>
    <w:rsid w:val="00E23D9E"/>
    <w:rsid w:val="00E23F60"/>
    <w:rsid w:val="00E24ACA"/>
    <w:rsid w:val="00E26139"/>
    <w:rsid w:val="00E261D3"/>
    <w:rsid w:val="00E33978"/>
    <w:rsid w:val="00E348AA"/>
    <w:rsid w:val="00E34C4B"/>
    <w:rsid w:val="00E37A1C"/>
    <w:rsid w:val="00E37B83"/>
    <w:rsid w:val="00E4477E"/>
    <w:rsid w:val="00E45645"/>
    <w:rsid w:val="00E457F5"/>
    <w:rsid w:val="00E46DAE"/>
    <w:rsid w:val="00E51882"/>
    <w:rsid w:val="00E52617"/>
    <w:rsid w:val="00E54BE1"/>
    <w:rsid w:val="00E607B7"/>
    <w:rsid w:val="00E6188E"/>
    <w:rsid w:val="00E61DF5"/>
    <w:rsid w:val="00E65087"/>
    <w:rsid w:val="00E651EF"/>
    <w:rsid w:val="00E6712B"/>
    <w:rsid w:val="00E6722F"/>
    <w:rsid w:val="00E729F7"/>
    <w:rsid w:val="00E73C3D"/>
    <w:rsid w:val="00E74B4A"/>
    <w:rsid w:val="00E74CE9"/>
    <w:rsid w:val="00E80FDA"/>
    <w:rsid w:val="00E851D8"/>
    <w:rsid w:val="00E8526F"/>
    <w:rsid w:val="00E85C74"/>
    <w:rsid w:val="00E86862"/>
    <w:rsid w:val="00E86CF2"/>
    <w:rsid w:val="00E94663"/>
    <w:rsid w:val="00E94873"/>
    <w:rsid w:val="00E9791B"/>
    <w:rsid w:val="00E97E05"/>
    <w:rsid w:val="00EA3B9F"/>
    <w:rsid w:val="00EA555F"/>
    <w:rsid w:val="00EB0469"/>
    <w:rsid w:val="00EB3AF1"/>
    <w:rsid w:val="00EC0BF7"/>
    <w:rsid w:val="00EC0D94"/>
    <w:rsid w:val="00ED1AA7"/>
    <w:rsid w:val="00ED3E63"/>
    <w:rsid w:val="00ED43DC"/>
    <w:rsid w:val="00ED5ECC"/>
    <w:rsid w:val="00ED6256"/>
    <w:rsid w:val="00EE0AC9"/>
    <w:rsid w:val="00EE29DF"/>
    <w:rsid w:val="00EE57B7"/>
    <w:rsid w:val="00EF1279"/>
    <w:rsid w:val="00EF1677"/>
    <w:rsid w:val="00EF2D1C"/>
    <w:rsid w:val="00EF3CBA"/>
    <w:rsid w:val="00EF6AF7"/>
    <w:rsid w:val="00F01824"/>
    <w:rsid w:val="00F04346"/>
    <w:rsid w:val="00F06741"/>
    <w:rsid w:val="00F07825"/>
    <w:rsid w:val="00F111DB"/>
    <w:rsid w:val="00F1188D"/>
    <w:rsid w:val="00F14D7D"/>
    <w:rsid w:val="00F16537"/>
    <w:rsid w:val="00F16C04"/>
    <w:rsid w:val="00F16EB6"/>
    <w:rsid w:val="00F215E6"/>
    <w:rsid w:val="00F219DF"/>
    <w:rsid w:val="00F250B6"/>
    <w:rsid w:val="00F260CF"/>
    <w:rsid w:val="00F2693F"/>
    <w:rsid w:val="00F27D07"/>
    <w:rsid w:val="00F33E73"/>
    <w:rsid w:val="00F340EC"/>
    <w:rsid w:val="00F34D59"/>
    <w:rsid w:val="00F35DAE"/>
    <w:rsid w:val="00F37145"/>
    <w:rsid w:val="00F4677B"/>
    <w:rsid w:val="00F50E79"/>
    <w:rsid w:val="00F510A8"/>
    <w:rsid w:val="00F51B87"/>
    <w:rsid w:val="00F55ED2"/>
    <w:rsid w:val="00F573DC"/>
    <w:rsid w:val="00F57D6C"/>
    <w:rsid w:val="00F60C0D"/>
    <w:rsid w:val="00F62A34"/>
    <w:rsid w:val="00F63C23"/>
    <w:rsid w:val="00F70F9E"/>
    <w:rsid w:val="00F71E05"/>
    <w:rsid w:val="00F72E0E"/>
    <w:rsid w:val="00F74E4A"/>
    <w:rsid w:val="00F76E59"/>
    <w:rsid w:val="00F76FE7"/>
    <w:rsid w:val="00F818DD"/>
    <w:rsid w:val="00F81E73"/>
    <w:rsid w:val="00F849FA"/>
    <w:rsid w:val="00F85A70"/>
    <w:rsid w:val="00F87DF1"/>
    <w:rsid w:val="00F90450"/>
    <w:rsid w:val="00F909D4"/>
    <w:rsid w:val="00F9142B"/>
    <w:rsid w:val="00F944E7"/>
    <w:rsid w:val="00F96F1E"/>
    <w:rsid w:val="00F972DB"/>
    <w:rsid w:val="00F979FC"/>
    <w:rsid w:val="00FA0BD8"/>
    <w:rsid w:val="00FA388E"/>
    <w:rsid w:val="00FA44F2"/>
    <w:rsid w:val="00FA5972"/>
    <w:rsid w:val="00FA67A6"/>
    <w:rsid w:val="00FA6D9A"/>
    <w:rsid w:val="00FA71BF"/>
    <w:rsid w:val="00FB22C2"/>
    <w:rsid w:val="00FB5AF9"/>
    <w:rsid w:val="00FC0026"/>
    <w:rsid w:val="00FC3C2B"/>
    <w:rsid w:val="00FC4AED"/>
    <w:rsid w:val="00FC5025"/>
    <w:rsid w:val="00FC670E"/>
    <w:rsid w:val="00FC7787"/>
    <w:rsid w:val="00FC7EA7"/>
    <w:rsid w:val="00FD17CE"/>
    <w:rsid w:val="00FD2375"/>
    <w:rsid w:val="00FD2D04"/>
    <w:rsid w:val="00FD645A"/>
    <w:rsid w:val="00FE0074"/>
    <w:rsid w:val="00FE0653"/>
    <w:rsid w:val="00FF0AF4"/>
    <w:rsid w:val="00FF0C82"/>
    <w:rsid w:val="00FF2FFB"/>
    <w:rsid w:val="00FF3087"/>
    <w:rsid w:val="00FF4210"/>
    <w:rsid w:val="00FF6A38"/>
    <w:rsid w:val="00FF6F27"/>
    <w:rsid w:val="00FF7133"/>
    <w:rsid w:val="00FF7952"/>
    <w:rsid w:val="157F2ED1"/>
    <w:rsid w:val="19B16560"/>
    <w:rsid w:val="246B4C85"/>
    <w:rsid w:val="394E0230"/>
    <w:rsid w:val="400E4827"/>
    <w:rsid w:val="53E073F3"/>
    <w:rsid w:val="5D746EB5"/>
    <w:rsid w:val="79A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03BE6"/>
  <w15:docId w15:val="{87D64A2D-7014-4893-B1F9-6220A74B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72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20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tLeast"/>
      <w:jc w:val="left"/>
      <w:outlineLvl w:val="0"/>
    </w:pPr>
    <w:rPr>
      <w:rFonts w:ascii="Palatino" w:eastAsia="等线" w:hAnsi="Palatino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line="240" w:lineRule="auto"/>
      <w:outlineLvl w:val="1"/>
    </w:pPr>
    <w:rPr>
      <w:rFonts w:ascii="Times New Roman" w:eastAsia="等线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60" w:lineRule="auto"/>
      <w:outlineLvl w:val="2"/>
    </w:pPr>
    <w:rPr>
      <w:rFonts w:ascii="Times New Roman" w:eastAsia="等线" w:hAnsi="Times New Roman" w:cs="Times New Roman"/>
      <w:i/>
      <w:sz w:val="24"/>
      <w:szCs w:val="20"/>
      <w:lang w:eastAsia="en-US"/>
    </w:rPr>
  </w:style>
  <w:style w:type="paragraph" w:styleId="4">
    <w:name w:val="heading 4"/>
    <w:basedOn w:val="a"/>
    <w:next w:val="a"/>
    <w:link w:val="40"/>
    <w:qFormat/>
    <w:pPr>
      <w:keepNext/>
      <w:spacing w:line="240" w:lineRule="auto"/>
      <w:jc w:val="left"/>
      <w:outlineLvl w:val="3"/>
    </w:pPr>
    <w:rPr>
      <w:rFonts w:ascii="Times New Roman" w:eastAsia="等线" w:hAnsi="Times New Roman" w:cs="Times New Roman"/>
      <w:b/>
      <w:sz w:val="24"/>
      <w:szCs w:val="20"/>
      <w:lang w:eastAsia="en-US"/>
    </w:rPr>
  </w:style>
  <w:style w:type="paragraph" w:styleId="5">
    <w:name w:val="heading 5"/>
    <w:basedOn w:val="a"/>
    <w:next w:val="a"/>
    <w:link w:val="50"/>
    <w:qFormat/>
    <w:pPr>
      <w:keepNext/>
      <w:autoSpaceDE w:val="0"/>
      <w:autoSpaceDN w:val="0"/>
      <w:adjustRightInd w:val="0"/>
      <w:spacing w:line="360" w:lineRule="auto"/>
      <w:outlineLvl w:val="4"/>
    </w:pPr>
    <w:rPr>
      <w:rFonts w:ascii="Times New Roman" w:eastAsia="MS Mincho" w:hAnsi="Times New Roman" w:cs="Times New Roman"/>
      <w:b/>
      <w:color w:val="000000"/>
      <w:sz w:val="24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qFormat/>
    <w:pPr>
      <w:spacing w:line="240" w:lineRule="auto"/>
      <w:jc w:val="left"/>
    </w:pPr>
    <w:rPr>
      <w:rFonts w:ascii="New York" w:eastAsia="等线" w:hAnsi="New York" w:cs="Times New Roman"/>
      <w:sz w:val="24"/>
      <w:szCs w:val="24"/>
    </w:rPr>
  </w:style>
  <w:style w:type="paragraph" w:styleId="31">
    <w:name w:val="Body Text 3"/>
    <w:basedOn w:val="a"/>
    <w:link w:val="32"/>
    <w:qFormat/>
    <w:pPr>
      <w:spacing w:after="120" w:line="240" w:lineRule="auto"/>
      <w:jc w:val="left"/>
    </w:pPr>
    <w:rPr>
      <w:rFonts w:ascii="Times New Roman" w:eastAsia="等线" w:hAnsi="Times New Roman" w:cs="Times New Roman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120" w:line="259" w:lineRule="auto"/>
      <w:jc w:val="left"/>
    </w:pPr>
    <w:rPr>
      <w:rFonts w:ascii="Calibri" w:eastAsia="宋体" w:hAnsi="Calibri" w:cs="Times New Roman"/>
    </w:rPr>
  </w:style>
  <w:style w:type="paragraph" w:styleId="a7">
    <w:name w:val="Body Text Indent"/>
    <w:basedOn w:val="a"/>
    <w:link w:val="a8"/>
    <w:qFormat/>
    <w:pPr>
      <w:spacing w:after="120" w:line="240" w:lineRule="auto"/>
      <w:ind w:left="360"/>
      <w:jc w:val="left"/>
    </w:pPr>
    <w:rPr>
      <w:rFonts w:ascii="Palatino" w:eastAsia="等线" w:hAnsi="Palatino" w:cs="Times New Roman"/>
      <w:sz w:val="24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widowControl w:val="0"/>
      <w:spacing w:line="240" w:lineRule="auto"/>
      <w:ind w:leftChars="2500" w:left="100"/>
    </w:pPr>
    <w:rPr>
      <w:rFonts w:ascii="等线" w:eastAsia="等线" w:hAnsi="等线" w:cs="Times New Roman"/>
      <w:kern w:val="2"/>
      <w:sz w:val="21"/>
    </w:rPr>
  </w:style>
  <w:style w:type="paragraph" w:styleId="21">
    <w:name w:val="Body Text Indent 2"/>
    <w:basedOn w:val="a"/>
    <w:link w:val="22"/>
    <w:qFormat/>
    <w:pPr>
      <w:widowControl w:val="0"/>
      <w:autoSpaceDE w:val="0"/>
      <w:autoSpaceDN w:val="0"/>
      <w:adjustRightInd w:val="0"/>
      <w:spacing w:line="240" w:lineRule="auto"/>
      <w:ind w:left="720" w:hanging="720"/>
      <w:jc w:val="left"/>
    </w:pPr>
    <w:rPr>
      <w:rFonts w:ascii="Times New Roman" w:eastAsia="等线" w:hAnsi="Times New Roman" w:cs="Times New Roman"/>
      <w:color w:val="000000"/>
      <w:sz w:val="24"/>
      <w:szCs w:val="20"/>
      <w:lang w:eastAsia="en-US"/>
    </w:rPr>
  </w:style>
  <w:style w:type="paragraph" w:styleId="ab">
    <w:name w:val="endnote text"/>
    <w:basedOn w:val="a"/>
    <w:link w:val="ac"/>
    <w:qFormat/>
    <w:pPr>
      <w:spacing w:line="240" w:lineRule="auto"/>
      <w:jc w:val="left"/>
    </w:pPr>
    <w:rPr>
      <w:rFonts w:ascii="Helvetica" w:eastAsia="等线" w:hAnsi="Helvetica" w:cs="Times New Roman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qFormat/>
    <w:pPr>
      <w:spacing w:line="240" w:lineRule="auto"/>
      <w:jc w:val="left"/>
    </w:pPr>
    <w:rPr>
      <w:rFonts w:ascii="Lucida Grande" w:eastAsia="等线" w:hAnsi="Lucida Grande" w:cs="Times New Roman"/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eastAsia="宋体" w:hAnsi="Calibri" w:cs="Times New Roman"/>
      <w:kern w:val="2"/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eastAsia="宋体" w:hAnsi="Calibri" w:cs="Times New Roman"/>
      <w:kern w:val="2"/>
      <w:sz w:val="18"/>
      <w:szCs w:val="18"/>
    </w:rPr>
  </w:style>
  <w:style w:type="paragraph" w:styleId="33">
    <w:name w:val="Body Text Indent 3"/>
    <w:basedOn w:val="a"/>
    <w:link w:val="34"/>
    <w:qFormat/>
    <w:pPr>
      <w:spacing w:line="360" w:lineRule="auto"/>
      <w:ind w:firstLine="540"/>
    </w:pPr>
    <w:rPr>
      <w:rFonts w:ascii="Times New Roman" w:eastAsia="等线" w:hAnsi="Times New Roman" w:cs="Times New Roman"/>
      <w:b/>
      <w:sz w:val="24"/>
      <w:szCs w:val="24"/>
    </w:rPr>
  </w:style>
  <w:style w:type="paragraph" w:styleId="23">
    <w:name w:val="Body Text 2"/>
    <w:basedOn w:val="a"/>
    <w:link w:val="24"/>
    <w:qFormat/>
    <w:pPr>
      <w:spacing w:after="120" w:line="480" w:lineRule="auto"/>
      <w:jc w:val="left"/>
    </w:pPr>
    <w:rPr>
      <w:rFonts w:ascii="Times New Roman" w:eastAsia="等线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pPr>
      <w:spacing w:line="240" w:lineRule="auto"/>
      <w:jc w:val="left"/>
    </w:pPr>
    <w:rPr>
      <w:rFonts w:ascii="Consolas" w:eastAsia="宋体" w:hAnsi="Consolas" w:cs="Consolas"/>
      <w:sz w:val="20"/>
      <w:szCs w:val="20"/>
    </w:rPr>
  </w:style>
  <w:style w:type="paragraph" w:styleId="af3">
    <w:name w:val="Normal (Web)"/>
    <w:basedOn w:val="a"/>
    <w:uiPriority w:val="99"/>
    <w:qFormat/>
    <w:pPr>
      <w:spacing w:before="100" w:beforeAutospacing="1" w:after="100" w:afterAutospacing="1" w:line="240" w:lineRule="auto"/>
      <w:jc w:val="left"/>
    </w:pPr>
    <w:rPr>
      <w:rFonts w:ascii="Times New Roman" w:eastAsia="等线" w:hAnsi="Times New Roman" w:cs="Times New Roman"/>
      <w:sz w:val="24"/>
      <w:szCs w:val="24"/>
    </w:rPr>
  </w:style>
  <w:style w:type="paragraph" w:styleId="af4">
    <w:name w:val="Title"/>
    <w:basedOn w:val="a"/>
    <w:link w:val="af5"/>
    <w:uiPriority w:val="10"/>
    <w:qFormat/>
    <w:pPr>
      <w:spacing w:beforeLines="1" w:afterLines="1" w:line="240" w:lineRule="auto"/>
      <w:jc w:val="left"/>
    </w:pPr>
    <w:rPr>
      <w:rFonts w:ascii="Times" w:eastAsia="宋体" w:hAnsi="Times" w:cs="Times New Roman"/>
      <w:sz w:val="20"/>
      <w:szCs w:val="20"/>
      <w:lang w:val="zh-CN"/>
    </w:rPr>
  </w:style>
  <w:style w:type="paragraph" w:styleId="af6">
    <w:name w:val="annotation subject"/>
    <w:basedOn w:val="a3"/>
    <w:next w:val="a3"/>
    <w:link w:val="af7"/>
    <w:uiPriority w:val="99"/>
    <w:unhideWhenUsed/>
    <w:qFormat/>
    <w:pPr>
      <w:spacing w:after="160" w:line="259" w:lineRule="auto"/>
    </w:pPr>
    <w:rPr>
      <w:rFonts w:ascii="Calibri" w:eastAsia="宋体" w:hAnsi="Calibri"/>
      <w:b/>
      <w:bCs/>
      <w:sz w:val="22"/>
      <w:szCs w:val="22"/>
    </w:rPr>
  </w:style>
  <w:style w:type="table" w:styleId="af8">
    <w:name w:val="Table Grid"/>
    <w:basedOn w:val="a1"/>
    <w:uiPriority w:val="39"/>
    <w:qFormat/>
    <w:rPr>
      <w:rFonts w:ascii="Times New Roman" w:eastAsia="宋体" w:hAnsi="Times New Roman" w:cs="Times New Roma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uiPriority w:val="22"/>
    <w:qFormat/>
    <w:rPr>
      <w:b/>
      <w:bCs/>
    </w:rPr>
  </w:style>
  <w:style w:type="character" w:styleId="afa">
    <w:name w:val="page number"/>
    <w:qFormat/>
  </w:style>
  <w:style w:type="character" w:styleId="afb">
    <w:name w:val="FollowedHyperlink"/>
    <w:uiPriority w:val="99"/>
    <w:unhideWhenUsed/>
    <w:qFormat/>
    <w:rPr>
      <w:color w:val="800080"/>
      <w:u w:val="single"/>
    </w:rPr>
  </w:style>
  <w:style w:type="character" w:styleId="afc">
    <w:name w:val="Emphasis"/>
    <w:uiPriority w:val="20"/>
    <w:qFormat/>
    <w:rPr>
      <w:i/>
      <w:iCs/>
    </w:rPr>
  </w:style>
  <w:style w:type="character" w:styleId="af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e">
    <w:name w:val="annotation reference"/>
    <w:uiPriority w:val="99"/>
    <w:semiHidden/>
    <w:qFormat/>
    <w:rPr>
      <w:sz w:val="16"/>
    </w:rPr>
  </w:style>
  <w:style w:type="character" w:customStyle="1" w:styleId="10">
    <w:name w:val="标题 1 字符"/>
    <w:basedOn w:val="a0"/>
    <w:link w:val="1"/>
    <w:uiPriority w:val="9"/>
    <w:qFormat/>
    <w:rPr>
      <w:rFonts w:ascii="Palatino" w:eastAsia="等线" w:hAnsi="Palatino" w:cs="Times New Roman"/>
      <w:b/>
      <w:sz w:val="24"/>
      <w:szCs w:val="24"/>
    </w:rPr>
  </w:style>
  <w:style w:type="character" w:customStyle="1" w:styleId="20">
    <w:name w:val="标题 2 字符"/>
    <w:basedOn w:val="a0"/>
    <w:link w:val="2"/>
    <w:qFormat/>
    <w:rPr>
      <w:rFonts w:ascii="Times New Roman" w:eastAsia="等线" w:hAnsi="Times New Roman" w:cs="Times New Roman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New York" w:eastAsia="等线" w:hAnsi="New York" w:cs="Times New Roman"/>
      <w:sz w:val="24"/>
      <w:szCs w:val="24"/>
    </w:rPr>
  </w:style>
  <w:style w:type="character" w:customStyle="1" w:styleId="32">
    <w:name w:val="正文文本 3 字符"/>
    <w:basedOn w:val="a0"/>
    <w:link w:val="31"/>
    <w:qFormat/>
    <w:rPr>
      <w:rFonts w:ascii="Times New Roman" w:eastAsia="等线" w:hAnsi="Times New Roman" w:cs="Times New Roman"/>
      <w:sz w:val="16"/>
      <w:szCs w:val="16"/>
    </w:rPr>
  </w:style>
  <w:style w:type="character" w:customStyle="1" w:styleId="a6">
    <w:name w:val="正文文本 字符"/>
    <w:basedOn w:val="a0"/>
    <w:link w:val="a5"/>
    <w:qFormat/>
    <w:rPr>
      <w:rFonts w:ascii="Calibri" w:eastAsia="宋体" w:hAnsi="Calibri" w:cs="Times New Roman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="Lucida Grande" w:eastAsia="等线" w:hAnsi="Lucida Grande" w:cs="Times New Roman"/>
      <w:sz w:val="18"/>
      <w:szCs w:val="18"/>
    </w:rPr>
  </w:style>
  <w:style w:type="character" w:customStyle="1" w:styleId="FooterChar">
    <w:name w:val="Footer Char"/>
    <w:basedOn w:val="a0"/>
    <w:link w:val="Footer1"/>
    <w:uiPriority w:val="99"/>
    <w:qFormat/>
  </w:style>
  <w:style w:type="paragraph" w:customStyle="1" w:styleId="Footer1">
    <w:name w:val="Footer1"/>
    <w:basedOn w:val="a"/>
    <w:next w:val="af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  <w:jc w:val="left"/>
    </w:pPr>
  </w:style>
  <w:style w:type="character" w:customStyle="1" w:styleId="HeaderChar">
    <w:name w:val="Header Char"/>
    <w:basedOn w:val="a0"/>
    <w:link w:val="Header1"/>
    <w:uiPriority w:val="99"/>
    <w:qFormat/>
  </w:style>
  <w:style w:type="paragraph" w:customStyle="1" w:styleId="Header1">
    <w:name w:val="Header1"/>
    <w:basedOn w:val="a"/>
    <w:next w:val="af1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  <w:jc w:val="left"/>
    </w:pPr>
  </w:style>
  <w:style w:type="character" w:customStyle="1" w:styleId="34">
    <w:name w:val="正文文本缩进 3 字符"/>
    <w:basedOn w:val="a0"/>
    <w:link w:val="33"/>
    <w:qFormat/>
    <w:rPr>
      <w:rFonts w:ascii="Times New Roman" w:eastAsia="等线" w:hAnsi="Times New Roman" w:cs="Times New Roman"/>
      <w:b/>
      <w:sz w:val="24"/>
      <w:szCs w:val="24"/>
    </w:rPr>
  </w:style>
  <w:style w:type="character" w:customStyle="1" w:styleId="24">
    <w:name w:val="正文文本 2 字符"/>
    <w:basedOn w:val="a0"/>
    <w:link w:val="23"/>
    <w:qFormat/>
    <w:rPr>
      <w:rFonts w:ascii="Times New Roman" w:eastAsia="等线" w:hAnsi="Times New Roman" w:cs="Times New Roman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Consolas" w:eastAsia="宋体" w:hAnsi="Consolas" w:cs="Consolas"/>
      <w:sz w:val="20"/>
      <w:szCs w:val="20"/>
    </w:rPr>
  </w:style>
  <w:style w:type="character" w:customStyle="1" w:styleId="af7">
    <w:name w:val="批注主题 字符"/>
    <w:basedOn w:val="a4"/>
    <w:link w:val="af6"/>
    <w:uiPriority w:val="99"/>
    <w:qFormat/>
    <w:rPr>
      <w:rFonts w:ascii="Calibri" w:eastAsia="宋体" w:hAnsi="Calibri" w:cs="Times New Roman"/>
      <w:b/>
      <w:bCs/>
      <w:sz w:val="24"/>
      <w:szCs w:val="24"/>
    </w:rPr>
  </w:style>
  <w:style w:type="character" w:customStyle="1" w:styleId="af0">
    <w:name w:val="页脚 字符"/>
    <w:link w:val="af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f2">
    <w:name w:val="页眉 字符"/>
    <w:link w:val="af1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ff">
    <w:name w:val="List Paragraph"/>
    <w:basedOn w:val="a"/>
    <w:uiPriority w:val="72"/>
    <w:qFormat/>
    <w:pPr>
      <w:widowControl w:val="0"/>
      <w:spacing w:line="240" w:lineRule="auto"/>
      <w:ind w:left="720"/>
      <w:contextualSpacing/>
    </w:pPr>
    <w:rPr>
      <w:rFonts w:ascii="等线" w:eastAsia="等线" w:hAnsi="等线" w:cs="Times New Roman"/>
      <w:kern w:val="2"/>
      <w:sz w:val="21"/>
    </w:rPr>
  </w:style>
  <w:style w:type="paragraph" w:customStyle="1" w:styleId="Heading21">
    <w:name w:val="Heading 21"/>
    <w:basedOn w:val="a"/>
    <w:next w:val="a"/>
    <w:uiPriority w:val="9"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qFormat/>
    <w:pPr>
      <w:spacing w:line="259" w:lineRule="auto"/>
      <w:jc w:val="center"/>
    </w:pPr>
    <w:rPr>
      <w:rFonts w:ascii="Times New Roman" w:eastAsia="等线" w:hAnsi="Times New Roman" w:cs="Times New Roman"/>
      <w:sz w:val="24"/>
    </w:rPr>
  </w:style>
  <w:style w:type="character" w:customStyle="1" w:styleId="EndNoteBibliographyTitle0">
    <w:name w:val="EndNote Bibliography Title 字符"/>
    <w:link w:val="EndNoteBibliographyTitle"/>
    <w:qFormat/>
    <w:rPr>
      <w:rFonts w:ascii="Times New Roman" w:eastAsia="等线" w:hAnsi="Times New Roman" w:cs="Times New Roman"/>
      <w:sz w:val="24"/>
    </w:rPr>
  </w:style>
  <w:style w:type="paragraph" w:customStyle="1" w:styleId="EndNoteBibliography">
    <w:name w:val="EndNote Bibliography"/>
    <w:basedOn w:val="a"/>
    <w:link w:val="EndNoteBibliography0"/>
    <w:qFormat/>
    <w:pPr>
      <w:spacing w:after="160" w:line="240" w:lineRule="auto"/>
    </w:pPr>
    <w:rPr>
      <w:rFonts w:ascii="Times New Roman" w:eastAsia="等线" w:hAnsi="Times New Roman" w:cs="Times New Roman"/>
      <w:sz w:val="24"/>
    </w:rPr>
  </w:style>
  <w:style w:type="character" w:customStyle="1" w:styleId="EndNoteBibliography0">
    <w:name w:val="EndNote Bibliography 字符"/>
    <w:link w:val="EndNoteBibliography"/>
    <w:qFormat/>
    <w:rPr>
      <w:rFonts w:ascii="Times New Roman" w:eastAsia="等线" w:hAnsi="Times New Roman" w:cs="Times New Roman"/>
      <w:sz w:val="24"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highwire-cite-title">
    <w:name w:val="highwire-cite-title"/>
    <w:qFormat/>
  </w:style>
  <w:style w:type="paragraph" w:customStyle="1" w:styleId="12">
    <w:name w:val="修订1"/>
    <w:uiPriority w:val="99"/>
    <w:semiHidden/>
    <w:qFormat/>
    <w:rPr>
      <w:rFonts w:ascii="Calibri" w:eastAsia="宋体" w:hAnsi="Calibri" w:cs="Times New Roman"/>
      <w:sz w:val="22"/>
      <w:szCs w:val="22"/>
    </w:rPr>
  </w:style>
  <w:style w:type="character" w:customStyle="1" w:styleId="Heading2Char1">
    <w:name w:val="Heading 2 Char1"/>
    <w:uiPriority w:val="9"/>
    <w:semiHidden/>
    <w:qFormat/>
    <w:rPr>
      <w:rFonts w:ascii="Calibri Light" w:eastAsia="宋体" w:hAnsi="Calibri Light" w:cs="Times New Roman"/>
      <w:color w:val="2E74B5"/>
      <w:sz w:val="26"/>
      <w:szCs w:val="26"/>
    </w:rPr>
  </w:style>
  <w:style w:type="character" w:customStyle="1" w:styleId="110">
    <w:name w:val="未处理的提及11"/>
    <w:uiPriority w:val="99"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808080"/>
      <w:shd w:val="clear" w:color="auto" w:fill="E6E6E6"/>
    </w:rPr>
  </w:style>
  <w:style w:type="paragraph" w:customStyle="1" w:styleId="desc">
    <w:name w:val="desc"/>
    <w:basedOn w:val="a"/>
    <w:qFormat/>
    <w:pPr>
      <w:spacing w:before="100" w:beforeAutospacing="1" w:after="100" w:afterAutospacing="1" w:line="240" w:lineRule="auto"/>
      <w:jc w:val="left"/>
    </w:pPr>
    <w:rPr>
      <w:rFonts w:ascii="Times New Roman" w:eastAsia="等线" w:hAnsi="Times New Roman" w:cs="Times New Roman"/>
      <w:sz w:val="24"/>
      <w:szCs w:val="24"/>
    </w:rPr>
  </w:style>
  <w:style w:type="paragraph" w:customStyle="1" w:styleId="details">
    <w:name w:val="details"/>
    <w:basedOn w:val="a"/>
    <w:qFormat/>
    <w:pPr>
      <w:spacing w:before="100" w:beforeAutospacing="1" w:after="100" w:afterAutospacing="1" w:line="240" w:lineRule="auto"/>
      <w:jc w:val="left"/>
    </w:pPr>
    <w:rPr>
      <w:rFonts w:ascii="Times New Roman" w:eastAsia="等线" w:hAnsi="Times New Roman" w:cs="Times New Roman"/>
      <w:sz w:val="24"/>
      <w:szCs w:val="24"/>
    </w:rPr>
  </w:style>
  <w:style w:type="character" w:customStyle="1" w:styleId="jrnl">
    <w:name w:val="jrnl"/>
    <w:qFormat/>
  </w:style>
  <w:style w:type="character" w:customStyle="1" w:styleId="25">
    <w:name w:val="未处理的提及2"/>
    <w:uiPriority w:val="99"/>
    <w:unhideWhenUsed/>
    <w:qFormat/>
    <w:rPr>
      <w:color w:val="605E5C"/>
      <w:shd w:val="clear" w:color="auto" w:fill="E1DFDD"/>
    </w:rPr>
  </w:style>
  <w:style w:type="character" w:customStyle="1" w:styleId="35">
    <w:name w:val="未处理的提及3"/>
    <w:uiPriority w:val="99"/>
    <w:unhideWhenUsed/>
    <w:qFormat/>
    <w:rPr>
      <w:color w:val="605E5C"/>
      <w:shd w:val="clear" w:color="auto" w:fill="E1DFDD"/>
    </w:rPr>
  </w:style>
  <w:style w:type="character" w:customStyle="1" w:styleId="41">
    <w:name w:val="未处理的提及4"/>
    <w:uiPriority w:val="99"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next w:val="Style55"/>
    <w:uiPriority w:val="99"/>
    <w:semiHidden/>
    <w:qFormat/>
    <w:rPr>
      <w:rFonts w:ascii="Calibri" w:eastAsia="宋体" w:hAnsi="Calibri" w:cs="Times New Roman"/>
      <w:sz w:val="22"/>
      <w:szCs w:val="22"/>
    </w:rPr>
  </w:style>
  <w:style w:type="paragraph" w:customStyle="1" w:styleId="Style55">
    <w:name w:val="_Style 55"/>
    <w:qFormat/>
    <w:rPr>
      <w:rFonts w:ascii="Times New Roman" w:eastAsia="等线" w:hAnsi="Times New Roman" w:cs="Times New Roman"/>
      <w:sz w:val="24"/>
      <w:szCs w:val="24"/>
    </w:rPr>
  </w:style>
  <w:style w:type="paragraph" w:customStyle="1" w:styleId="26">
    <w:name w:val="修订2"/>
    <w:hidden/>
    <w:uiPriority w:val="99"/>
    <w:semiHidden/>
    <w:qFormat/>
    <w:rPr>
      <w:rFonts w:ascii="Times New Roman" w:eastAsia="等线" w:hAnsi="Times New Roman" w:cs="Times New Roman"/>
      <w:sz w:val="24"/>
      <w:szCs w:val="24"/>
    </w:rPr>
  </w:style>
  <w:style w:type="character" w:customStyle="1" w:styleId="UnresolvedMention2">
    <w:name w:val="Unresolved Mention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1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等线" w:hAnsi="Times New Roman" w:cs="Times New Roman"/>
      <w:i/>
      <w:sz w:val="24"/>
      <w:szCs w:val="20"/>
      <w:lang w:eastAsia="en-US"/>
    </w:rPr>
  </w:style>
  <w:style w:type="character" w:customStyle="1" w:styleId="40">
    <w:name w:val="标题 4 字符"/>
    <w:basedOn w:val="a0"/>
    <w:link w:val="4"/>
    <w:qFormat/>
    <w:rPr>
      <w:rFonts w:ascii="Times New Roman" w:eastAsia="等线" w:hAnsi="Times New Roman" w:cs="Times New Roman"/>
      <w:b/>
      <w:sz w:val="24"/>
      <w:szCs w:val="20"/>
      <w:lang w:eastAsia="en-US"/>
    </w:rPr>
  </w:style>
  <w:style w:type="character" w:customStyle="1" w:styleId="50">
    <w:name w:val="标题 5 字符"/>
    <w:basedOn w:val="a0"/>
    <w:link w:val="5"/>
    <w:qFormat/>
    <w:rPr>
      <w:rFonts w:ascii="Times New Roman" w:eastAsia="MS Mincho" w:hAnsi="Times New Roman" w:cs="Times New Roman"/>
      <w:b/>
      <w:color w:val="000000"/>
      <w:sz w:val="24"/>
      <w:szCs w:val="20"/>
      <w:lang w:eastAsia="ja-JP"/>
    </w:rPr>
  </w:style>
  <w:style w:type="character" w:customStyle="1" w:styleId="ac">
    <w:name w:val="尾注文本 字符"/>
    <w:basedOn w:val="a0"/>
    <w:link w:val="ab"/>
    <w:qFormat/>
    <w:rPr>
      <w:rFonts w:ascii="Helvetica" w:eastAsia="等线" w:hAnsi="Helvetica" w:cs="Times New Roman"/>
      <w:sz w:val="20"/>
      <w:szCs w:val="20"/>
      <w:lang w:eastAsia="en-US"/>
    </w:rPr>
  </w:style>
  <w:style w:type="paragraph" w:customStyle="1" w:styleId="EndnoteText1">
    <w:name w:val="Endnote Text1"/>
    <w:basedOn w:val="a"/>
    <w:qFormat/>
    <w:pPr>
      <w:spacing w:line="240" w:lineRule="auto"/>
      <w:jc w:val="left"/>
    </w:pPr>
    <w:rPr>
      <w:rFonts w:ascii="Helvetica" w:eastAsia="等线" w:hAnsi="Helvetica" w:cs="Times New Roman"/>
      <w:sz w:val="20"/>
      <w:szCs w:val="20"/>
      <w:lang w:eastAsia="en-US"/>
    </w:rPr>
  </w:style>
  <w:style w:type="character" w:customStyle="1" w:styleId="bodytextlittle">
    <w:name w:val="bodytextlittle"/>
    <w:basedOn w:val="a0"/>
    <w:qFormat/>
  </w:style>
  <w:style w:type="character" w:customStyle="1" w:styleId="publicationtype">
    <w:name w:val="publicationtype"/>
    <w:basedOn w:val="a0"/>
    <w:qFormat/>
  </w:style>
  <w:style w:type="character" w:customStyle="1" w:styleId="a8">
    <w:name w:val="正文文本缩进 字符"/>
    <w:basedOn w:val="a0"/>
    <w:link w:val="a7"/>
    <w:qFormat/>
    <w:rPr>
      <w:rFonts w:ascii="Palatino" w:eastAsia="等线" w:hAnsi="Palatino" w:cs="Times New Roman"/>
      <w:sz w:val="24"/>
      <w:szCs w:val="20"/>
      <w:lang w:eastAsia="en-US"/>
    </w:rPr>
  </w:style>
  <w:style w:type="paragraph" w:customStyle="1" w:styleId="p1">
    <w:name w:val="p1"/>
    <w:basedOn w:val="a"/>
    <w:qFormat/>
    <w:pPr>
      <w:spacing w:line="240" w:lineRule="auto"/>
      <w:jc w:val="left"/>
    </w:pPr>
    <w:rPr>
      <w:rFonts w:ascii="Times New Roman" w:eastAsia="等线" w:hAnsi="Times New Roman" w:cs="Times New Roman"/>
      <w:sz w:val="18"/>
      <w:szCs w:val="18"/>
    </w:rPr>
  </w:style>
  <w:style w:type="paragraph" w:customStyle="1" w:styleId="p2">
    <w:name w:val="p2"/>
    <w:basedOn w:val="a"/>
    <w:qFormat/>
    <w:pPr>
      <w:spacing w:line="240" w:lineRule="auto"/>
      <w:jc w:val="left"/>
    </w:pPr>
    <w:rPr>
      <w:rFonts w:ascii="Calibri" w:eastAsia="等线" w:hAnsi="Calibri" w:cs="Times New Roman"/>
      <w:sz w:val="17"/>
      <w:szCs w:val="17"/>
    </w:rPr>
  </w:style>
  <w:style w:type="paragraph" w:customStyle="1" w:styleId="p3">
    <w:name w:val="p3"/>
    <w:basedOn w:val="a"/>
    <w:qFormat/>
    <w:pPr>
      <w:spacing w:line="240" w:lineRule="auto"/>
      <w:jc w:val="left"/>
    </w:pPr>
    <w:rPr>
      <w:rFonts w:ascii="Calibri" w:eastAsia="等线" w:hAnsi="Calibri" w:cs="Times New Roman"/>
      <w:sz w:val="17"/>
      <w:szCs w:val="17"/>
    </w:rPr>
  </w:style>
  <w:style w:type="character" w:customStyle="1" w:styleId="s1">
    <w:name w:val="s1"/>
    <w:qFormat/>
  </w:style>
  <w:style w:type="paragraph" w:customStyle="1" w:styleId="p4">
    <w:name w:val="p4"/>
    <w:basedOn w:val="a"/>
    <w:qFormat/>
    <w:pPr>
      <w:spacing w:line="240" w:lineRule="auto"/>
    </w:pPr>
    <w:rPr>
      <w:rFonts w:ascii="Times" w:eastAsia="等线" w:hAnsi="Times" w:cs="Times New Roman"/>
      <w:sz w:val="18"/>
      <w:szCs w:val="18"/>
    </w:rPr>
  </w:style>
  <w:style w:type="character" w:customStyle="1" w:styleId="s2">
    <w:name w:val="s2"/>
    <w:qFormat/>
    <w:rPr>
      <w:rFonts w:ascii="Times New Roman" w:hAnsi="Times New Roman" w:cs="Times New Roman" w:hint="default"/>
      <w:sz w:val="9"/>
      <w:szCs w:val="9"/>
    </w:rPr>
  </w:style>
  <w:style w:type="character" w:customStyle="1" w:styleId="s3">
    <w:name w:val="s3"/>
    <w:qFormat/>
    <w:rPr>
      <w:rFonts w:ascii="Calibri" w:hAnsi="Calibri" w:hint="default"/>
      <w:sz w:val="18"/>
      <w:szCs w:val="18"/>
    </w:rPr>
  </w:style>
  <w:style w:type="character" w:customStyle="1" w:styleId="s4">
    <w:name w:val="s4"/>
    <w:qFormat/>
    <w:rPr>
      <w:rFonts w:ascii="Times New Roman" w:hAnsi="Times New Roman" w:cs="Times New Roman" w:hint="default"/>
      <w:sz w:val="15"/>
      <w:szCs w:val="15"/>
    </w:rPr>
  </w:style>
  <w:style w:type="character" w:customStyle="1" w:styleId="apple-converted-space">
    <w:name w:val="apple-converted-space"/>
    <w:qFormat/>
  </w:style>
  <w:style w:type="character" w:customStyle="1" w:styleId="af5">
    <w:name w:val="标题 字符"/>
    <w:basedOn w:val="a0"/>
    <w:link w:val="af4"/>
    <w:uiPriority w:val="10"/>
    <w:qFormat/>
    <w:rPr>
      <w:rFonts w:ascii="Times" w:eastAsia="宋体" w:hAnsi="Times" w:cs="Times New Roman"/>
      <w:sz w:val="20"/>
      <w:szCs w:val="20"/>
      <w:lang w:val="zh-CN" w:eastAsia="zh-CN"/>
    </w:rPr>
  </w:style>
  <w:style w:type="character" w:customStyle="1" w:styleId="highlight">
    <w:name w:val="highlight"/>
    <w:qFormat/>
  </w:style>
  <w:style w:type="paragraph" w:customStyle="1" w:styleId="EndnoteText11">
    <w:name w:val="Endnote Text11"/>
    <w:basedOn w:val="a"/>
    <w:qFormat/>
    <w:pPr>
      <w:spacing w:line="240" w:lineRule="auto"/>
      <w:jc w:val="left"/>
    </w:pPr>
    <w:rPr>
      <w:rFonts w:ascii="Helvetica" w:eastAsia="等线" w:hAnsi="Helvetica" w:cs="Times New Roman"/>
      <w:sz w:val="20"/>
      <w:szCs w:val="20"/>
      <w:lang w:eastAsia="en-US"/>
    </w:rPr>
  </w:style>
  <w:style w:type="character" w:customStyle="1" w:styleId="22">
    <w:name w:val="正文文本缩进 2 字符"/>
    <w:basedOn w:val="a0"/>
    <w:link w:val="21"/>
    <w:qFormat/>
    <w:rPr>
      <w:rFonts w:ascii="Times New Roman" w:eastAsia="等线" w:hAnsi="Times New Roman" w:cs="Times New Roman"/>
      <w:color w:val="000000"/>
      <w:sz w:val="24"/>
      <w:szCs w:val="20"/>
      <w:lang w:eastAsia="en-US"/>
    </w:rPr>
  </w:style>
  <w:style w:type="character" w:customStyle="1" w:styleId="bodytext">
    <w:name w:val="bodytext"/>
    <w:qFormat/>
  </w:style>
  <w:style w:type="paragraph" w:customStyle="1" w:styleId="follows-h41">
    <w:name w:val="follows-h41"/>
    <w:basedOn w:val="a"/>
    <w:qFormat/>
    <w:pPr>
      <w:spacing w:line="240" w:lineRule="auto"/>
      <w:jc w:val="left"/>
    </w:pPr>
    <w:rPr>
      <w:rFonts w:ascii="Times New Roman" w:eastAsia="MS Mincho" w:hAnsi="Times New Roman" w:cs="Times New Roman"/>
      <w:lang w:eastAsia="ja-JP"/>
    </w:rPr>
  </w:style>
  <w:style w:type="character" w:customStyle="1" w:styleId="articletext1">
    <w:name w:val="articletext1"/>
    <w:qFormat/>
    <w:rPr>
      <w:rFonts w:ascii="Verdana" w:hAnsi="Verdana" w:hint="default"/>
      <w:color w:val="000000"/>
      <w:sz w:val="20"/>
      <w:szCs w:val="20"/>
    </w:rPr>
  </w:style>
  <w:style w:type="character" w:customStyle="1" w:styleId="hl">
    <w:name w:val="hl"/>
    <w:qFormat/>
  </w:style>
  <w:style w:type="paragraph" w:customStyle="1" w:styleId="pubonline">
    <w:name w:val="pubonline"/>
    <w:basedOn w:val="a"/>
    <w:qFormat/>
    <w:pP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journal">
    <w:name w:val="journal"/>
    <w:qFormat/>
  </w:style>
  <w:style w:type="character" w:customStyle="1" w:styleId="jnumber">
    <w:name w:val="jnumber"/>
    <w:qFormat/>
  </w:style>
  <w:style w:type="paragraph" w:customStyle="1" w:styleId="authors">
    <w:name w:val="authors"/>
    <w:basedOn w:val="a"/>
    <w:qFormat/>
    <w:pP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itation-flpages">
    <w:name w:val="citation-flpages"/>
    <w:qFormat/>
  </w:style>
  <w:style w:type="character" w:customStyle="1" w:styleId="author">
    <w:name w:val="author"/>
    <w:qFormat/>
  </w:style>
  <w:style w:type="character" w:customStyle="1" w:styleId="ti">
    <w:name w:val="ti"/>
    <w:qFormat/>
  </w:style>
  <w:style w:type="character" w:customStyle="1" w:styleId="featuredlinkouts">
    <w:name w:val="featured_linkouts"/>
    <w:qFormat/>
  </w:style>
  <w:style w:type="paragraph" w:customStyle="1" w:styleId="follows-h4">
    <w:name w:val="follows-h4"/>
    <w:basedOn w:val="a"/>
    <w:qFormat/>
    <w:pP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journalname">
    <w:name w:val="journalname"/>
    <w:qFormat/>
  </w:style>
  <w:style w:type="character" w:customStyle="1" w:styleId="boldskiptranslate">
    <w:name w:val="bold skiptranslate"/>
    <w:qFormat/>
  </w:style>
  <w:style w:type="character" w:customStyle="1" w:styleId="shorttext">
    <w:name w:val="short_text"/>
    <w:qFormat/>
  </w:style>
  <w:style w:type="character" w:customStyle="1" w:styleId="hps">
    <w:name w:val="hps"/>
    <w:qFormat/>
  </w:style>
  <w:style w:type="character" w:customStyle="1" w:styleId="inline-nplcit">
    <w:name w:val="inline-nplcit"/>
    <w:qFormat/>
  </w:style>
  <w:style w:type="table" w:customStyle="1" w:styleId="TableGrid11">
    <w:name w:val="Table Grid11"/>
    <w:basedOn w:val="a1"/>
    <w:uiPriority w:val="59"/>
    <w:qFormat/>
    <w:rPr>
      <w:rFonts w:ascii="Calibri" w:eastAsia="等线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59"/>
    <w:qFormat/>
    <w:rPr>
      <w:rFonts w:ascii="New York" w:eastAsia="等线" w:hAnsi="New York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snohighlight">
    <w:name w:val="links nohighlight"/>
    <w:basedOn w:val="a"/>
    <w:qFormat/>
    <w:pPr>
      <w:spacing w:beforeLines="1" w:afterLines="1" w:line="240" w:lineRule="auto"/>
      <w:jc w:val="left"/>
    </w:pPr>
    <w:rPr>
      <w:rFonts w:ascii="Times" w:eastAsia="宋体" w:hAnsi="Times" w:cs="Times New Roman"/>
      <w:sz w:val="20"/>
      <w:szCs w:val="20"/>
      <w:lang w:eastAsia="en-US"/>
    </w:rPr>
  </w:style>
  <w:style w:type="character" w:customStyle="1" w:styleId="italics">
    <w:name w:val="italics"/>
    <w:basedOn w:val="a0"/>
    <w:qFormat/>
  </w:style>
  <w:style w:type="character" w:customStyle="1" w:styleId="bold">
    <w:name w:val="bold"/>
    <w:basedOn w:val="a0"/>
    <w:qFormat/>
  </w:style>
  <w:style w:type="character" w:customStyle="1" w:styleId="hit">
    <w:name w:val="hit"/>
    <w:qFormat/>
    <w:rPr>
      <w:sz w:val="24"/>
      <w:szCs w:val="24"/>
      <w:shd w:val="clear" w:color="auto" w:fill="FFFFDD"/>
      <w:vertAlign w:val="baseline"/>
    </w:rPr>
  </w:style>
  <w:style w:type="paragraph" w:customStyle="1" w:styleId="svarticlesection">
    <w:name w:val="svarticle section"/>
    <w:basedOn w:val="a"/>
    <w:qFormat/>
    <w:pPr>
      <w:spacing w:beforeLines="1" w:afterLines="1" w:line="240" w:lineRule="auto"/>
      <w:jc w:val="left"/>
    </w:pPr>
    <w:rPr>
      <w:rFonts w:ascii="Times" w:eastAsia="宋体" w:hAnsi="Times" w:cs="Times New Roman"/>
      <w:sz w:val="20"/>
      <w:szCs w:val="20"/>
      <w:lang w:eastAsia="en-US"/>
    </w:rPr>
  </w:style>
  <w:style w:type="character" w:customStyle="1" w:styleId="fn">
    <w:name w:val="fn"/>
    <w:basedOn w:val="a0"/>
    <w:qFormat/>
  </w:style>
  <w:style w:type="character" w:customStyle="1" w:styleId="comma">
    <w:name w:val="comma"/>
    <w:basedOn w:val="a0"/>
    <w:qFormat/>
  </w:style>
  <w:style w:type="character" w:customStyle="1" w:styleId="ft">
    <w:name w:val="ft"/>
    <w:qFormat/>
  </w:style>
  <w:style w:type="character" w:customStyle="1" w:styleId="docsum-authors">
    <w:name w:val="docsum-authors"/>
    <w:basedOn w:val="a0"/>
    <w:qFormat/>
  </w:style>
  <w:style w:type="character" w:customStyle="1" w:styleId="docsum-journal-citation">
    <w:name w:val="docsum-journal-citation"/>
    <w:basedOn w:val="a0"/>
    <w:qFormat/>
  </w:style>
  <w:style w:type="character" w:customStyle="1" w:styleId="authors-list-item">
    <w:name w:val="authors-list-item"/>
    <w:basedOn w:val="a0"/>
    <w:qFormat/>
  </w:style>
  <w:style w:type="character" w:customStyle="1" w:styleId="author-sup-separator">
    <w:name w:val="author-sup-separator"/>
    <w:basedOn w:val="a0"/>
    <w:qFormat/>
  </w:style>
  <w:style w:type="table" w:customStyle="1" w:styleId="TableGrid3">
    <w:name w:val="Table Grid3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网格型2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网格型3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日期 字符"/>
    <w:basedOn w:val="a0"/>
    <w:link w:val="a9"/>
    <w:uiPriority w:val="99"/>
    <w:semiHidden/>
    <w:qFormat/>
    <w:rPr>
      <w:rFonts w:ascii="等线" w:eastAsia="等线" w:hAnsi="等线" w:cs="Times New Roman"/>
      <w:kern w:val="2"/>
      <w:sz w:val="21"/>
    </w:rPr>
  </w:style>
  <w:style w:type="table" w:customStyle="1" w:styleId="TableGrid4">
    <w:name w:val="Table Grid4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27D2-AA8B-4127-AA8C-21740477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16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Admin</cp:lastModifiedBy>
  <cp:revision>16</cp:revision>
  <dcterms:created xsi:type="dcterms:W3CDTF">2025-03-21T00:50:00Z</dcterms:created>
  <dcterms:modified xsi:type="dcterms:W3CDTF">2025-11-26T11:04:00Z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eyJoZGlkIjoiNDVmOGY2ODAzNzZjNWQ0NzgzMzRhZTI4OTY2MmM4Y2IiLCJ1c2VySWQiOiI2OTM5MjgxMjQifQ==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88B12A6DA6B44F2B891BD87459F8DE37_13</vt:lpwstr>
  </property>
</Properties>
</file>