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35C4" w14:textId="77777777" w:rsidR="00546DB7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等线" w:hAnsi="Times New Roman" w:cs="Times New Roman"/>
          <w:b/>
          <w:bCs/>
          <w:sz w:val="28"/>
          <w:szCs w:val="28"/>
          <w:lang w:bidi="ar"/>
        </w:rPr>
        <w:t>Highlights</w:t>
      </w:r>
    </w:p>
    <w:p w14:paraId="3E2C0666" w14:textId="39FE4C8C" w:rsidR="00A31184" w:rsidRDefault="00A31184">
      <w:pPr>
        <w:pStyle w:val="msolistparagraph0"/>
        <w:widowControl/>
        <w:numPr>
          <w:ilvl w:val="0"/>
          <w:numId w:val="1"/>
        </w:numPr>
        <w:ind w:firstLineChars="0"/>
        <w:rPr>
          <w:rFonts w:ascii="Times New Roman" w:eastAsia="宋体" w:hAnsi="Times New Roman" w:hint="default"/>
          <w:szCs w:val="21"/>
          <w:lang w:bidi="ar"/>
        </w:rPr>
      </w:pPr>
      <w:r w:rsidRPr="00A31184">
        <w:rPr>
          <w:rFonts w:ascii="Times New Roman" w:eastAsia="宋体" w:hAnsi="Times New Roman"/>
          <w:szCs w:val="21"/>
          <w:lang w:bidi="ar"/>
        </w:rPr>
        <w:t>Multi-pathway synergistic intervention: This review systematically elucidates how reshaping three core metabolic pathways</w:t>
      </w:r>
      <w:r w:rsidRPr="00A31184">
        <w:rPr>
          <w:rFonts w:ascii="Times New Roman" w:eastAsia="宋体" w:hAnsi="Times New Roman"/>
          <w:szCs w:val="21"/>
          <w:lang w:bidi="ar"/>
        </w:rPr>
        <w:t>—</w:t>
      </w:r>
      <w:r w:rsidRPr="00A31184">
        <w:rPr>
          <w:rFonts w:ascii="Times New Roman" w:eastAsia="宋体" w:hAnsi="Times New Roman"/>
          <w:szCs w:val="21"/>
          <w:lang w:bidi="ar"/>
        </w:rPr>
        <w:t>glucose, lipid, and amino acid metabolism</w:t>
      </w:r>
      <w:r w:rsidRPr="00A31184">
        <w:rPr>
          <w:rFonts w:ascii="Times New Roman" w:eastAsia="宋体" w:hAnsi="Times New Roman"/>
          <w:szCs w:val="21"/>
          <w:lang w:bidi="ar"/>
        </w:rPr>
        <w:t>—</w:t>
      </w:r>
      <w:r w:rsidRPr="00A31184">
        <w:rPr>
          <w:rFonts w:ascii="Times New Roman" w:eastAsia="宋体" w:hAnsi="Times New Roman"/>
          <w:szCs w:val="21"/>
          <w:lang w:bidi="ar"/>
        </w:rPr>
        <w:t>endows CAR-T cells with metabolic adaptability, serving as a central strategy to overcome the immunosuppressive tumor microenvironment.</w:t>
      </w:r>
    </w:p>
    <w:p w14:paraId="2F81956B" w14:textId="77777777" w:rsidR="00A31184" w:rsidRDefault="00A31184" w:rsidP="00A31184">
      <w:pPr>
        <w:pStyle w:val="msolistparagraph0"/>
        <w:widowControl/>
        <w:numPr>
          <w:ilvl w:val="0"/>
          <w:numId w:val="1"/>
        </w:numPr>
        <w:ind w:firstLineChars="0"/>
        <w:rPr>
          <w:rFonts w:ascii="Times New Roman" w:eastAsia="宋体" w:hAnsi="Times New Roman" w:hint="default"/>
          <w:szCs w:val="21"/>
          <w:lang w:bidi="ar"/>
        </w:rPr>
      </w:pPr>
      <w:r w:rsidRPr="00A31184">
        <w:rPr>
          <w:rFonts w:ascii="Times New Roman" w:eastAsia="宋体" w:hAnsi="Times New Roman"/>
          <w:szCs w:val="21"/>
          <w:lang w:bidi="ar"/>
        </w:rPr>
        <w:t>Metabolic adaptability is a critical safeguard: It emphasizes that enhancing CAR-T cells</w:t>
      </w:r>
      <w:proofErr w:type="gramStart"/>
      <w:r w:rsidRPr="00A31184">
        <w:rPr>
          <w:rFonts w:ascii="Times New Roman" w:eastAsia="宋体" w:hAnsi="Times New Roman" w:hint="default"/>
          <w:szCs w:val="21"/>
          <w:lang w:bidi="ar"/>
        </w:rPr>
        <w:t>’</w:t>
      </w:r>
      <w:proofErr w:type="gramEnd"/>
      <w:r w:rsidRPr="00A31184">
        <w:rPr>
          <w:rFonts w:ascii="Times New Roman" w:eastAsia="宋体" w:hAnsi="Times New Roman"/>
          <w:szCs w:val="21"/>
          <w:lang w:bidi="ar"/>
        </w:rPr>
        <w:t xml:space="preserve"> metabolic adaptability</w:t>
      </w:r>
      <w:r w:rsidRPr="00A31184">
        <w:rPr>
          <w:rFonts w:ascii="Times New Roman" w:eastAsia="宋体" w:hAnsi="Times New Roman"/>
          <w:szCs w:val="21"/>
          <w:lang w:bidi="ar"/>
        </w:rPr>
        <w:t>—</w:t>
      </w:r>
      <w:r w:rsidRPr="00A31184">
        <w:rPr>
          <w:rFonts w:ascii="Times New Roman" w:eastAsia="宋体" w:hAnsi="Times New Roman"/>
          <w:szCs w:val="21"/>
          <w:lang w:bidi="ar"/>
        </w:rPr>
        <w:t>such as improving glucose uptake, optimizing lipid utilization, and relieving amino acid constraints</w:t>
      </w:r>
      <w:r w:rsidRPr="00A31184">
        <w:rPr>
          <w:rFonts w:ascii="Times New Roman" w:eastAsia="宋体" w:hAnsi="Times New Roman"/>
          <w:szCs w:val="21"/>
          <w:lang w:bidi="ar"/>
        </w:rPr>
        <w:t>—</w:t>
      </w:r>
      <w:r w:rsidRPr="00A31184">
        <w:rPr>
          <w:rFonts w:ascii="Times New Roman" w:eastAsia="宋体" w:hAnsi="Times New Roman"/>
          <w:szCs w:val="21"/>
          <w:lang w:bidi="ar"/>
        </w:rPr>
        <w:t>is decisive for their in vivo persistence, effector function, and antitumor activity.</w:t>
      </w:r>
    </w:p>
    <w:p w14:paraId="6CBBFC78" w14:textId="736BA2E4" w:rsidR="00546DB7" w:rsidRPr="00A31184" w:rsidRDefault="00D31925" w:rsidP="00A31184">
      <w:pPr>
        <w:pStyle w:val="msolistparagraph0"/>
        <w:widowControl/>
        <w:numPr>
          <w:ilvl w:val="0"/>
          <w:numId w:val="1"/>
        </w:numPr>
        <w:ind w:firstLineChars="0"/>
        <w:rPr>
          <w:rFonts w:ascii="Times New Roman" w:eastAsia="宋体" w:hAnsi="Times New Roman" w:hint="default"/>
          <w:szCs w:val="21"/>
          <w:lang w:bidi="ar"/>
        </w:rPr>
      </w:pPr>
      <w:r w:rsidRPr="00D31925">
        <w:rPr>
          <w:rFonts w:ascii="Times New Roman" w:eastAsia="宋体" w:hAnsi="Times New Roman"/>
          <w:szCs w:val="21"/>
          <w:lang w:bidi="ar"/>
        </w:rPr>
        <w:t>Multidimensional intervention strategies: This review summarizes how genetic engineering (e.g., overexpression of GLUTs and metabolic enzymes), manufacturing process optimization (e.g., metabolic priming and DCA treatment), and in vivo pharmacological modulation (e.g., small-molecule agonists/inhibitors) collectively enable precise metabolic reprogramming of CAR-T cells.</w:t>
      </w:r>
    </w:p>
    <w:sectPr w:rsidR="00546DB7" w:rsidRPr="00A31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FBB2C"/>
    <w:multiLevelType w:val="multilevel"/>
    <w:tmpl w:val="725FBB2C"/>
    <w:lvl w:ilvl="0">
      <w:start w:val="1"/>
      <w:numFmt w:val="decimal"/>
      <w:lvlText w:val="%1."/>
      <w:lvlJc w:val="left"/>
      <w:pPr>
        <w:ind w:left="408" w:hanging="408"/>
      </w:pPr>
      <w:rPr>
        <w:b w:val="0"/>
        <w:bCs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7732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Q5YjhhNzM4NTExYmU3MGQ1ZjRhODg3OTY5YzYxMzIifQ=="/>
  </w:docVars>
  <w:rsids>
    <w:rsidRoot w:val="00546DB7"/>
    <w:rsid w:val="00546DB7"/>
    <w:rsid w:val="009C4306"/>
    <w:rsid w:val="00A31184"/>
    <w:rsid w:val="00B032BA"/>
    <w:rsid w:val="00D31925"/>
    <w:rsid w:val="1E641526"/>
    <w:rsid w:val="2CFF6B7D"/>
    <w:rsid w:val="2DAE6E18"/>
    <w:rsid w:val="528A05B7"/>
    <w:rsid w:val="5CDC6150"/>
    <w:rsid w:val="7510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1800FD"/>
  <w15:docId w15:val="{0EA8661A-1919-45F1-922C-2A4571FA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827</Characters>
  <Application>Microsoft Office Word</Application>
  <DocSecurity>0</DocSecurity>
  <Lines>14</Lines>
  <Paragraphs>7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86152</dc:creator>
  <cp:lastModifiedBy>运阔 李</cp:lastModifiedBy>
  <cp:revision>4</cp:revision>
  <dcterms:created xsi:type="dcterms:W3CDTF">2023-09-19T17:48:00Z</dcterms:created>
  <dcterms:modified xsi:type="dcterms:W3CDTF">2025-10-06T12:06:00Z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BD3B045F35104292AC7DFC97C80BE5FF_12</vt:lpwstr>
  </property>
</Properties>
</file>