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CBC04">
      <w:pPr>
        <w:spacing w:line="360" w:lineRule="auto"/>
      </w:pPr>
      <w:r>
        <w:rPr>
          <w:rFonts w:hint="default" w:ascii="Calibri (正文)" w:hAnsi="Calibri (正文)" w:cs="Calibri (正文)"/>
          <w:b/>
          <w:bCs/>
        </w:rPr>
        <w:t>Supplementary Table S</w:t>
      </w:r>
      <w:r>
        <w:rPr>
          <w:rFonts w:hint="eastAsia" w:ascii="Calibri (正文)" w:hAnsi="Calibri (正文)" w:cs="Calibri (正文)"/>
          <w:b/>
          <w:bCs/>
          <w:lang w:val="en-US" w:eastAsia="zh-CN"/>
        </w:rPr>
        <w:t>2</w:t>
      </w:r>
      <w:r>
        <w:rPr>
          <w:rFonts w:hint="default" w:ascii="Calibri (正文)" w:hAnsi="Calibri (正文)" w:cs="Calibri (正文)"/>
          <w:b/>
          <w:bCs/>
        </w:rPr>
        <w:t xml:space="preserve">. </w:t>
      </w:r>
      <w:r>
        <w:rPr>
          <w:rFonts w:hint="eastAsia"/>
          <w:b/>
          <w:bCs/>
        </w:rPr>
        <w:t>Osteosarcoma Immunotherapy Trials by Patient Population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D99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1232D693">
            <w:pPr>
              <w:spacing w:line="360" w:lineRule="auto"/>
              <w:jc w:val="center"/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  <w:t>Patient Population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6568E17">
            <w:pPr>
              <w:spacing w:line="360" w:lineRule="auto"/>
              <w:jc w:val="center"/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  <w:t>Trial / Approach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4136A09">
            <w:pPr>
              <w:spacing w:line="360" w:lineRule="auto"/>
              <w:jc w:val="center"/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  <w:t>Outcome Summary</w:t>
            </w:r>
          </w:p>
        </w:tc>
      </w:tr>
      <w:tr w14:paraId="477E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557EFC7F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Adult advanced OS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0052095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SARC028 (Pembrolizumab)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D61F181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Very limited efficacy: ORR 5%, no CR.</w:t>
            </w:r>
          </w:p>
        </w:tc>
      </w:tr>
      <w:tr w14:paraId="4735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70C1CDCA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Pediatric/AYA refractory OS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7AA25722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COG ADVL1412 (Nivo + Ipi)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7A157E85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ORR 0%, some SD. Toxicity at higher ipi dose.</w:t>
            </w:r>
          </w:p>
        </w:tc>
      </w:tr>
      <w:tr w14:paraId="26C91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6469043E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Chinese adult metastatic OS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DF60FF6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APFAO (Apatinib + Camrelizumab)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AACDF4C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ORR 20.9%, improved PFS. PD-L1 ≥5% subgroup benefited.</w:t>
            </w:r>
          </w:p>
        </w:tc>
      </w:tr>
      <w:tr w14:paraId="2A58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4E372F7A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Post-resection localized high-grade OS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6425E36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INT-0133 (Mifamurtide + MAP)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5664F4D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Overall Survival</w:t>
            </w:r>
            <w:r>
              <w:rPr>
                <w:rFonts w:hint="eastAsia" w:ascii="Calibri (正文)" w:hAnsi="Calibri (正文)" w:cs="Calibri (正文)"/>
                <w:b w:val="0"/>
                <w:bCs w:val="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and EFS improved in non-metastatic patients. EMA-approved.</w:t>
            </w:r>
          </w:p>
        </w:tc>
      </w:tr>
      <w:tr w14:paraId="5BE6C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3FE9CA24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Pediatric/AYA recurrent OS (cell therapy)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FA90A79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GD2 CAR T (MSK/NCI)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14E4146F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Safe, limited efficacy. TME suppression limits response.</w:t>
            </w:r>
          </w:p>
        </w:tc>
      </w:tr>
      <w:tr w14:paraId="7CF4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78A0E07B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Relapsed OS (including pediatric)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3E475B4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B7-H3 CAR T / TT130 bispecific (Seattle/NCT04483778)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5572D0C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Preliminary signals of activity. Toxicity and persistence remain key hurdles.</w:t>
            </w:r>
          </w:p>
        </w:tc>
      </w:tr>
    </w:tbl>
    <w:p w14:paraId="7839CE7F">
      <w:pPr>
        <w:spacing w:line="360" w:lineRule="auto"/>
      </w:pPr>
    </w:p>
    <w:p w14:paraId="49F0FBFB">
      <w:pPr>
        <w:spacing w:line="360" w:lineRule="auto"/>
      </w:pPr>
    </w:p>
    <w:p w14:paraId="633AF02B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(正文)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B4234"/>
    <w:rsid w:val="17D556C4"/>
    <w:rsid w:val="1F080205"/>
    <w:rsid w:val="2A406482"/>
    <w:rsid w:val="2E4363AE"/>
    <w:rsid w:val="39407DC9"/>
    <w:rsid w:val="3E151A9D"/>
    <w:rsid w:val="49603527"/>
    <w:rsid w:val="5100482F"/>
    <w:rsid w:val="583059FA"/>
    <w:rsid w:val="5F2C44CD"/>
    <w:rsid w:val="604162CA"/>
    <w:rsid w:val="6DBE53FE"/>
    <w:rsid w:val="70D867D7"/>
    <w:rsid w:val="78FA14AA"/>
    <w:rsid w:val="7CD7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727</Characters>
  <Lines>0</Lines>
  <Paragraphs>0</Paragraphs>
  <TotalTime>8</TotalTime>
  <ScaleCrop>false</ScaleCrop>
  <LinksUpToDate>false</LinksUpToDate>
  <CharactersWithSpaces>819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2025-10-23T06:15:00Z</dcterms:created>
  <dc:creator>wenpz</dc:creator>
  <cp:lastModifiedBy>臊子肉</cp:lastModifiedBy>
  <dcterms:modified xsi:type="dcterms:W3CDTF">2025-11-05T08:32:39Z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eyJoZGlkIjoiNWZmMWI3YzczNTI5OTE5MDlkNDM0ZDZlMWY2NDgzZWUiLCJ1c2VySWQiOiIyOTExMjg0NDMifQ==</vt:lpwstr>
  </property>
  <property fmtid="{D5CDD505-2E9C-101B-9397-08002B2CF9AE}" pid="4" name="ICV">
    <vt:lpwstr>78133A135A694B549097A2AEE2A386BC_12</vt:lpwstr>
  </property>
</Properties>
</file>