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8D60F">
      <w:pPr>
        <w:spacing w:line="360" w:lineRule="auto"/>
      </w:pPr>
      <w:r>
        <w:rPr>
          <w:rFonts w:hint="default" w:ascii="Calibri (正文)" w:hAnsi="Calibri (正文)" w:cs="Calibri (正文)"/>
          <w:b/>
          <w:bCs/>
        </w:rPr>
        <w:t>Supplementary Table S</w:t>
      </w:r>
      <w:r>
        <w:rPr>
          <w:rFonts w:hint="eastAsia" w:ascii="Calibri (正文)" w:hAnsi="Calibri (正文)" w:cs="Calibri (正文)"/>
          <w:b/>
          <w:bCs/>
          <w:lang w:val="en-US" w:eastAsia="zh-CN"/>
        </w:rPr>
        <w:t>7</w:t>
      </w:r>
      <w:bookmarkStart w:id="0" w:name="_GoBack"/>
      <w:bookmarkEnd w:id="0"/>
      <w:r>
        <w:rPr>
          <w:rFonts w:hint="default" w:ascii="Calibri (正文)" w:hAnsi="Calibri (正文)" w:cs="Calibri (正文)"/>
          <w:b/>
          <w:bCs/>
        </w:rPr>
        <w:t>. Combination Immunotherapy Strategies in Osteosarcoma and Supporting Evidence</w:t>
      </w:r>
    </w:p>
    <w:tbl>
      <w:tblPr>
        <w:tblStyle w:val="3"/>
        <w:tblW w:w="85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3330"/>
        <w:gridCol w:w="3468"/>
      </w:tblGrid>
      <w:tr w14:paraId="111E7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shd w:val="clear" w:color="auto" w:fill="auto"/>
            <w:vAlign w:val="center"/>
          </w:tcPr>
          <w:p w14:paraId="35186862">
            <w:pPr>
              <w:spacing w:line="360" w:lineRule="auto"/>
              <w:jc w:val="center"/>
              <w:rPr>
                <w:rFonts w:hint="default" w:ascii="Calibri (正文)" w:hAnsi="Calibri (正文)" w:cs="Calibri (正文)"/>
                <w:b/>
                <w:bCs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/>
                <w:bCs/>
                <w:lang w:val="en-US" w:eastAsia="zh-CN"/>
              </w:rPr>
              <w:t>Combination Strategy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78BF1275">
            <w:pPr>
              <w:spacing w:line="360" w:lineRule="auto"/>
              <w:jc w:val="center"/>
              <w:rPr>
                <w:rFonts w:hint="default" w:ascii="Calibri (正文)" w:hAnsi="Calibri (正文)" w:cs="Calibri (正文)"/>
                <w:b/>
                <w:bCs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/>
                <w:bCs/>
                <w:lang w:val="en-US" w:eastAsia="zh-CN"/>
              </w:rPr>
              <w:t>Rationale</w:t>
            </w:r>
          </w:p>
        </w:tc>
        <w:tc>
          <w:tcPr>
            <w:tcW w:w="3468" w:type="dxa"/>
            <w:shd w:val="clear" w:color="auto" w:fill="auto"/>
            <w:vAlign w:val="center"/>
          </w:tcPr>
          <w:p w14:paraId="541B3EA5">
            <w:pPr>
              <w:spacing w:line="360" w:lineRule="auto"/>
              <w:jc w:val="center"/>
              <w:rPr>
                <w:rFonts w:hint="default" w:ascii="Calibri (正文)" w:hAnsi="Calibri (正文)" w:cs="Calibri (正文)"/>
                <w:b/>
                <w:bCs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/>
                <w:bCs/>
                <w:lang w:val="en-US" w:eastAsia="zh-CN"/>
              </w:rPr>
              <w:t>Current Evidence in OS (Status)</w:t>
            </w:r>
          </w:p>
        </w:tc>
      </w:tr>
      <w:tr w14:paraId="3A9B3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shd w:val="clear" w:color="auto" w:fill="auto"/>
            <w:vAlign w:val="center"/>
          </w:tcPr>
          <w:p w14:paraId="45A7207B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Radiotherapy + ICI ("Immunogenic cell death induction")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5C942E5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High-dose radiotherapy (e.g., SBRT) can induce immunogenic cell death (ICD), releasing tumor antigens and activating cGAS-STING and type I IFN pathways. This may “prime” the immune response and turn the tumor into an in situ vaccine, enhancing responsiveness to PD-1/PD-L1 blockade.</w:t>
            </w:r>
          </w:p>
        </w:tc>
        <w:tc>
          <w:tcPr>
            <w:tcW w:w="3468" w:type="dxa"/>
            <w:shd w:val="clear" w:color="auto" w:fill="auto"/>
            <w:vAlign w:val="center"/>
          </w:tcPr>
          <w:p w14:paraId="544DFBA3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Synergistic tumor regression observed in preclinical OS models. Clinical: Ongoing trials in sarcomas (e.g., testing SBRT + pembrolizumab); early case reports show abscopal effects in a minority of OS patients, but no published Phase II/III data yet.</w:t>
            </w:r>
          </w:p>
        </w:tc>
      </w:tr>
      <w:tr w14:paraId="040ED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shd w:val="clear" w:color="auto" w:fill="auto"/>
            <w:vAlign w:val="center"/>
          </w:tcPr>
          <w:p w14:paraId="6DAC2ED3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Anti-angiogenic TKI + ICI ("Vessel normalization and stromal remodeling")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F5EC6AB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VEGF/VEGFR-targeting tyrosine kinase inhibitors (TKIs) normalize the abnormal tumor vasculature, improving T cell infiltration, and directly reduce VEGF-driven immunosuppression (e.g., impairing TAMs and MDSCs). Combating the “armored” stroma and hypoxia can thus potentiate checkpoint blockade.</w:t>
            </w:r>
          </w:p>
        </w:tc>
        <w:tc>
          <w:tcPr>
            <w:tcW w:w="3468" w:type="dxa"/>
            <w:shd w:val="clear" w:color="auto" w:fill="auto"/>
            <w:vAlign w:val="center"/>
          </w:tcPr>
          <w:p w14:paraId="4D45707F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Phase II (single-arm) in advanced OS showed prolonged PFS with Apatinib (VEGFR2 TKI) + Camrelizumab (anti–PD-1) compared to historical controls. ORR ~21% and 6-month PFS ~51% were achieved. Another trial of Lenvatinib+PD-1 reported disease control in some patients (ORR 18% in one cohort). No randomized controlled trial yet; toxicity (hypertension, fatigue) is manageable but significant.</w:t>
            </w:r>
          </w:p>
        </w:tc>
      </w:tr>
      <w:tr w14:paraId="35D9C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shd w:val="clear" w:color="auto" w:fill="auto"/>
            <w:vAlign w:val="center"/>
          </w:tcPr>
          <w:p w14:paraId="160D47F3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Myeloid pathway inhibitor + ICI ("Myeloid reprogramming")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5A9C1A7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Targeting key myeloid cell recruitment and survival pathways can deplete or alter suppressive macrophages and MDSCs, unleashing T cells. Examples: CSF-1R inhibitors reduce TAM populations; CCR2 or CXCR2 inhibitors block monocyte/neutrophil influx. Combining these with ICIs aims to remove immunosuppressive “roadblocks” so checkpoints can function.</w:t>
            </w:r>
          </w:p>
        </w:tc>
        <w:tc>
          <w:tcPr>
            <w:tcW w:w="3468" w:type="dxa"/>
            <w:shd w:val="clear" w:color="auto" w:fill="auto"/>
            <w:vAlign w:val="center"/>
          </w:tcPr>
          <w:p w14:paraId="45D372B3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Preclinical OS models: CSF-1R or CCR2 blockade improved T cell activity and synergized with anti-PD-1. Clinical: no OS-specific trials reported yet. However, in other cancers (e.g., pancreas), CCR2 or CXCR2 inhibitors combined with chemo/ICI showed improved immune infiltration. A Phase I trial of CSF-1R inhibitor pexidartinib + nivolumab in solid tumors indicated immune modulation (being considered for sarcomas). Ongoing OS trials: NCT04123379 testing CSF-1R inhibitor with anti-PD-L1 (pending results).</w:t>
            </w:r>
          </w:p>
        </w:tc>
      </w:tr>
      <w:tr w14:paraId="6296E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shd w:val="clear" w:color="auto" w:fill="auto"/>
            <w:vAlign w:val="center"/>
          </w:tcPr>
          <w:p w14:paraId="5E26FA6D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Metabolic modulator + ICI ("Metabolic reprogramming")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291600B0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Counteracting the immunosuppressive metabolic milieu can enhance T cell function. In OS, blocking the adenosine pathway (CD39/CD73 – A2AR signaling) or IDO-kynurenine pathway may restore T cell proliferation and cytokine production. TGF-β inhibitors can also relieve metabolic and differentiation constraints on effector T cells. These interventions combined with ICI could convert a metabolically “cold” TME to “hot.”</w:t>
            </w:r>
          </w:p>
        </w:tc>
        <w:tc>
          <w:tcPr>
            <w:tcW w:w="3468" w:type="dxa"/>
            <w:shd w:val="clear" w:color="auto" w:fill="auto"/>
            <w:vAlign w:val="center"/>
          </w:tcPr>
          <w:p w14:paraId="0A4F7B66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Emerging evidence: A2A receptor antagonist (ciforadenant) showed preliminary immune-restoring activity in early trials (not OS-specific). An IDO inhibitor (epacadostat) failed to improve outcomes in melanoma ICI trials, but OS—with its myeloid-rich TME—remains a potential arena for IDO or arginine-modulating therapies. No dedicated OS trial yet; rational combinations (e.g., IDO inhibitor + anti-PD-1) are proposed based on TME profiling.</w:t>
            </w:r>
          </w:p>
        </w:tc>
      </w:tr>
      <w:tr w14:paraId="2C9B6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5" w:type="dxa"/>
            <w:shd w:val="clear" w:color="auto" w:fill="auto"/>
            <w:vAlign w:val="center"/>
          </w:tcPr>
          <w:p w14:paraId="37641755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Cancer vaccine + ICI ("T cell repertoire expansion")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7B241915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Therapeutic vaccines (peptide, dendritic cell, or neoantigen-based) can generate or expand tumor-specific T cells, addressing the paucity of effector T cells in OS. Combining vaccines with checkpoints aims to both create new T cells and prevent their exhaustion, potentially yielding a sustained anti-tumor response.</w:t>
            </w:r>
          </w:p>
        </w:tc>
        <w:tc>
          <w:tcPr>
            <w:tcW w:w="3468" w:type="dxa"/>
            <w:shd w:val="clear" w:color="auto" w:fill="auto"/>
            <w:vAlign w:val="center"/>
          </w:tcPr>
          <w:p w14:paraId="02ECD109">
            <w:pPr>
              <w:spacing w:line="360" w:lineRule="auto"/>
              <w:jc w:val="left"/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</w:pPr>
            <w:r>
              <w:rPr>
                <w:rFonts w:hint="default" w:ascii="Calibri (正文)" w:hAnsi="Calibri (正文)" w:cs="Calibri (正文)"/>
                <w:b w:val="0"/>
                <w:bCs w:val="0"/>
                <w:lang w:val="en-US" w:eastAsia="zh-CN"/>
              </w:rPr>
              <w:t>Early-phase studies: A pilot neoantigen peptide vaccine in OS patients demonstrated induction of T cell responses but no significant tumor regression (Phase I, NCT03014312). Ongoing: Phase II trial of autologous dendritic cell vaccine with PD-1 inhibitor in metastatic OS is in progress (no results yet). The concept is supported by analogous successes in other solid tumors when vaccine-primed T cells were unleashed by PD-1 blockade.</w:t>
            </w:r>
          </w:p>
        </w:tc>
      </w:tr>
    </w:tbl>
    <w:p w14:paraId="4D550467"/>
    <w:p w14:paraId="09D624E3"/>
    <w:p w14:paraId="36A11770"/>
    <w:p w14:paraId="5EACF144"/>
    <w:p w14:paraId="0A2854FA"/>
    <w:p w14:paraId="34E3144D"/>
    <w:p w14:paraId="2F14DF1E"/>
    <w:p w14:paraId="0183E98E"/>
    <w:p w14:paraId="3761547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(正文)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6E30E2"/>
    <w:rsid w:val="2CFB7203"/>
    <w:rsid w:val="569443CF"/>
    <w:rsid w:val="56DE449A"/>
    <w:rsid w:val="57B220FE"/>
    <w:rsid w:val="768C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562</Words>
  <Characters>3586</Characters>
  <Lines>0</Lines>
  <Paragraphs>0</Paragraphs>
  <TotalTime>1</TotalTime>
  <ScaleCrop>false</ScaleCrop>
  <LinksUpToDate>false</LinksUpToDate>
  <CharactersWithSpaces>4129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2025-10-23T06:15:00Z</dcterms:created>
  <dc:creator>wenpz</dc:creator>
  <cp:lastModifiedBy>臊子肉</cp:lastModifiedBy>
  <dcterms:modified xsi:type="dcterms:W3CDTF">2025-11-04T16:14:11Z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eyJoZGlkIjoiNWZmMWI3YzczNTI5OTE5MDlkNDM0ZDZlMWY2NDgzZWUiLCJ1c2VySWQiOiIyOTExMjg0NDMifQ==</vt:lpwstr>
  </property>
  <property fmtid="{D5CDD505-2E9C-101B-9397-08002B2CF9AE}" pid="4" name="ICV">
    <vt:lpwstr>F36CA04D1FFC4AC682491D7A49BBA33D_12</vt:lpwstr>
  </property>
</Properties>
</file>