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63" w:rsidRDefault="00F75163" w:rsidP="00F75163">
      <w:pPr>
        <w:pStyle w:val="NormalWeb"/>
      </w:pPr>
      <w:r>
        <w:rPr>
          <w:noProof/>
        </w:rPr>
        <w:drawing>
          <wp:inline distT="0" distB="0" distL="0" distR="0">
            <wp:extent cx="5848555" cy="5859208"/>
            <wp:effectExtent l="0" t="0" r="0" b="8255"/>
            <wp:docPr id="1" name="Picture 1" descr="C:\Users\Aija\Dropbox\Manuscripts\Exercise improves response to NAC\Additional files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\Dropbox\Manuscripts\Exercise improves response to NAC\Additional files\Fig.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60" cy="586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CF" w:rsidRDefault="007043CF"/>
    <w:p w:rsidR="00F75163" w:rsidRPr="00F75163" w:rsidRDefault="00F75163" w:rsidP="00F75163">
      <w:pPr>
        <w:jc w:val="both"/>
        <w:rPr>
          <w:rFonts w:asciiTheme="minorHAnsi" w:hAnsiTheme="minorHAnsi" w:cstheme="minorHAnsi"/>
          <w:sz w:val="24"/>
          <w:szCs w:val="24"/>
        </w:rPr>
      </w:pPr>
      <w:r w:rsidRPr="00F75163">
        <w:rPr>
          <w:rFonts w:asciiTheme="minorHAnsi" w:hAnsiTheme="minorHAnsi" w:cstheme="minorHAnsi"/>
          <w:b/>
          <w:sz w:val="24"/>
          <w:szCs w:val="24"/>
        </w:rPr>
        <w:t>Fig.S</w:t>
      </w:r>
      <w:r w:rsidR="0080490E">
        <w:rPr>
          <w:rFonts w:asciiTheme="minorHAnsi" w:hAnsiTheme="minorHAnsi" w:cstheme="minorHAnsi"/>
          <w:b/>
          <w:sz w:val="24"/>
          <w:szCs w:val="24"/>
        </w:rPr>
        <w:t>3</w:t>
      </w:r>
      <w:r w:rsidRPr="00F75163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Paired dot</w:t>
      </w:r>
      <w:r w:rsidRPr="00F75163">
        <w:rPr>
          <w:rFonts w:asciiTheme="minorHAnsi" w:hAnsiTheme="minorHAnsi" w:cstheme="minorHAnsi"/>
          <w:sz w:val="24"/>
          <w:szCs w:val="24"/>
        </w:rPr>
        <w:t xml:space="preserve"> plot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F75163">
        <w:rPr>
          <w:rFonts w:asciiTheme="minorHAnsi" w:hAnsiTheme="minorHAnsi" w:cstheme="minorHAnsi"/>
          <w:sz w:val="24"/>
          <w:szCs w:val="24"/>
        </w:rPr>
        <w:t xml:space="preserve"> on the frequency of </w:t>
      </w:r>
      <w:proofErr w:type="spellStart"/>
      <w:r w:rsidRPr="00F75163">
        <w:rPr>
          <w:rFonts w:asciiTheme="minorHAnsi" w:hAnsiTheme="minorHAnsi" w:cstheme="minorHAnsi"/>
          <w:sz w:val="24"/>
          <w:szCs w:val="24"/>
        </w:rPr>
        <w:t>deconvoluted</w:t>
      </w:r>
      <w:proofErr w:type="spellEnd"/>
      <w:r w:rsidRPr="00F75163">
        <w:rPr>
          <w:rFonts w:asciiTheme="minorHAnsi" w:hAnsiTheme="minorHAnsi" w:cstheme="minorHAnsi"/>
          <w:sz w:val="24"/>
          <w:szCs w:val="24"/>
        </w:rPr>
        <w:t xml:space="preserve"> immune cell-specific gene expression profiles between paired normal breast and breast carcinoma tissues. Groups were compared using Wilcoxon matched-pairs signed rank test.</w:t>
      </w:r>
    </w:p>
    <w:p w:rsidR="00F75163" w:rsidRDefault="00F75163">
      <w:bookmarkStart w:id="0" w:name="_GoBack"/>
      <w:bookmarkEnd w:id="0"/>
    </w:p>
    <w:sectPr w:rsidR="00F75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MzEwMDc2MjYytzBS0lEKTi0uzszPAykwqgUAwbJhjCwAAAA="/>
  </w:docVars>
  <w:rsids>
    <w:rsidRoot w:val="00F75163"/>
    <w:rsid w:val="005F64C4"/>
    <w:rsid w:val="007043CF"/>
    <w:rsid w:val="0080490E"/>
    <w:rsid w:val="00F239AB"/>
    <w:rsid w:val="00F7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7120"/>
  <w15:chartTrackingRefBased/>
  <w15:docId w15:val="{A3E3A9D3-B473-4099-B207-30C8CF44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C4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5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2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BMC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Line</dc:creator>
  <cp:keywords/>
  <dc:description/>
  <cp:lastModifiedBy>Aija Line</cp:lastModifiedBy>
  <cp:revision>3</cp:revision>
  <dcterms:created xsi:type="dcterms:W3CDTF">2024-04-20T21:49:00Z</dcterms:created>
  <dcterms:modified xsi:type="dcterms:W3CDTF">2024-04-30T09:30:00Z</dcterms:modified>
</cp:coreProperties>
</file>