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1ACD" w14:textId="7AECF6CF" w:rsidR="00F12F9E" w:rsidRDefault="00F12F9E" w:rsidP="00F12F9E">
      <w:pPr>
        <w:rPr>
          <w:rFonts w:ascii="Times New Roman" w:hAnsi="Times New Roman" w:cs="Times New Roman"/>
          <w:b/>
          <w:bCs/>
          <w:sz w:val="32"/>
          <w:szCs w:val="36"/>
        </w:rPr>
      </w:pPr>
      <w:r w:rsidRPr="00F12F9E">
        <w:rPr>
          <w:rFonts w:ascii="Times New Roman" w:hAnsi="Times New Roman" w:cs="Times New Roman"/>
          <w:b/>
          <w:bCs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263952D8" wp14:editId="7B83E7E2">
            <wp:simplePos x="0" y="0"/>
            <wp:positionH relativeFrom="margin">
              <wp:posOffset>20320</wp:posOffset>
            </wp:positionH>
            <wp:positionV relativeFrom="paragraph">
              <wp:posOffset>156902</wp:posOffset>
            </wp:positionV>
            <wp:extent cx="5759450" cy="4912360"/>
            <wp:effectExtent l="0" t="0" r="0" b="2540"/>
            <wp:wrapTopAndBottom/>
            <wp:docPr id="1633778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78314" name="图片 163377831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4" t="9102" r="32374" b="1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1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>Supplementary Figure 1</w:t>
      </w:r>
      <w:r w:rsidRPr="00F12F9E"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. 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>TMRE detection of free mitochondrial membrane potential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.</w:t>
      </w:r>
    </w:p>
    <w:p w14:paraId="6FC56772" w14:textId="77777777" w:rsidR="00F12F9E" w:rsidRDefault="00F12F9E">
      <w:pPr>
        <w:widowControl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br w:type="page"/>
      </w:r>
    </w:p>
    <w:p w14:paraId="500C1776" w14:textId="223D5AB2" w:rsidR="00F12F9E" w:rsidRPr="00F12F9E" w:rsidRDefault="00F12F9E" w:rsidP="00F12F9E">
      <w:pPr>
        <w:rPr>
          <w:rFonts w:ascii="Times New Roman" w:hAnsi="Times New Roman" w:cs="Times New Roman" w:hint="eastAsia"/>
          <w:sz w:val="32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6"/>
        </w:rPr>
        <w:lastRenderedPageBreak/>
        <w:drawing>
          <wp:anchor distT="0" distB="0" distL="114300" distR="114300" simplePos="0" relativeHeight="251660288" behindDoc="0" locked="0" layoutInCell="1" allowOverlap="1" wp14:anchorId="1CF7D954" wp14:editId="680DFBDB">
            <wp:simplePos x="0" y="0"/>
            <wp:positionH relativeFrom="page">
              <wp:posOffset>1104919</wp:posOffset>
            </wp:positionH>
            <wp:positionV relativeFrom="paragraph">
              <wp:posOffset>0</wp:posOffset>
            </wp:positionV>
            <wp:extent cx="5151755" cy="4170680"/>
            <wp:effectExtent l="0" t="0" r="0" b="1270"/>
            <wp:wrapTopAndBottom/>
            <wp:docPr id="15673934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93495" name="图片 156739349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9" r="54119" b="2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417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  <w:noProof/>
          <w:sz w:val="32"/>
          <w:szCs w:val="36"/>
        </w:rPr>
        <w:drawing>
          <wp:anchor distT="0" distB="0" distL="114300" distR="114300" simplePos="0" relativeHeight="251662336" behindDoc="0" locked="0" layoutInCell="1" allowOverlap="1" wp14:anchorId="32577373" wp14:editId="104FFF9E">
            <wp:simplePos x="0" y="0"/>
            <wp:positionH relativeFrom="margin">
              <wp:posOffset>376896</wp:posOffset>
            </wp:positionH>
            <wp:positionV relativeFrom="paragraph">
              <wp:posOffset>4017493</wp:posOffset>
            </wp:positionV>
            <wp:extent cx="5179060" cy="3452495"/>
            <wp:effectExtent l="0" t="0" r="2540" b="0"/>
            <wp:wrapTopAndBottom/>
            <wp:docPr id="19928979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93495" name="图片 15673934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75" t="11219" b="2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45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2</w:t>
      </w:r>
      <w:r w:rsidRPr="00F12F9E"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. 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>The effect of different inhibitors on the mitochondrial membrane potential of donor cells. (A)</w:t>
      </w:r>
      <w:r w:rsidRPr="00F12F9E">
        <w:rPr>
          <w:rFonts w:ascii="Times New Roman" w:hAnsi="Times New Roman" w:cs="Times New Roman"/>
          <w:sz w:val="32"/>
          <w:szCs w:val="36"/>
        </w:rPr>
        <w:t xml:space="preserve"> Confocal image of TMRE detection of mitochondrial membrane potential, scale </w:t>
      </w:r>
      <w:r w:rsidRPr="00F12F9E">
        <w:rPr>
          <w:rFonts w:ascii="Times New Roman" w:hAnsi="Times New Roman" w:cs="Times New Roman"/>
          <w:sz w:val="32"/>
          <w:szCs w:val="36"/>
        </w:rPr>
        <w:lastRenderedPageBreak/>
        <w:t>10 μm, n≥5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 (B) </w:t>
      </w:r>
      <w:r w:rsidRPr="00F12F9E">
        <w:rPr>
          <w:rFonts w:ascii="Times New Roman" w:hAnsi="Times New Roman" w:cs="Times New Roman"/>
          <w:sz w:val="32"/>
          <w:szCs w:val="36"/>
        </w:rPr>
        <w:t>Confocal image quantification of TRME detection of mitochondrial membrane potential. Differences were determined using Student’s t-test or ANOVA. ns not statistically significant, ***p &lt; 0.0001.</w:t>
      </w:r>
    </w:p>
    <w:p w14:paraId="4B87471E" w14:textId="26CD2C85" w:rsidR="00F12F9E" w:rsidRDefault="00F12F9E">
      <w:pPr>
        <w:widowControl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br w:type="page"/>
      </w:r>
    </w:p>
    <w:p w14:paraId="38343A14" w14:textId="3F74C123" w:rsidR="00F12F9E" w:rsidRDefault="00F12F9E">
      <w:pPr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noProof/>
          <w:sz w:val="32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7D223001" wp14:editId="5C38F65C">
            <wp:simplePos x="0" y="0"/>
            <wp:positionH relativeFrom="column">
              <wp:posOffset>1753737</wp:posOffset>
            </wp:positionH>
            <wp:positionV relativeFrom="paragraph">
              <wp:posOffset>402609</wp:posOffset>
            </wp:positionV>
            <wp:extent cx="1746914" cy="2421871"/>
            <wp:effectExtent l="0" t="0" r="5715" b="0"/>
            <wp:wrapTopAndBottom/>
            <wp:docPr id="9290193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19336" name="图片 92901933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8" t="12491" r="38916" b="1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14" cy="2421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19EBB" w14:textId="0D5EBC64" w:rsidR="00F12F9E" w:rsidRDefault="00F12F9E">
      <w:pPr>
        <w:rPr>
          <w:rFonts w:ascii="Times New Roman" w:hAnsi="Times New Roman" w:cs="Times New Roman"/>
          <w:sz w:val="32"/>
          <w:szCs w:val="36"/>
        </w:rPr>
      </w:pP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3.</w:t>
      </w:r>
      <w:r w:rsidRPr="00F12F9E">
        <w:rPr>
          <w:rFonts w:hint="eastAsia"/>
        </w:rPr>
        <w:t xml:space="preserve"> 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Determination of cysteine content in different parts of cells. </w:t>
      </w:r>
      <w:r w:rsidRPr="00F12F9E">
        <w:rPr>
          <w:rFonts w:ascii="Times New Roman" w:hAnsi="Times New Roman" w:cs="Times New Roman"/>
          <w:sz w:val="32"/>
          <w:szCs w:val="36"/>
        </w:rPr>
        <w:t>n=4, Differences were determined using Student’s t-test or ANOVA. ns not statistically significant, ***p &lt; 0.0001.</w:t>
      </w:r>
    </w:p>
    <w:p w14:paraId="066DF6B6" w14:textId="77777777" w:rsidR="00F12F9E" w:rsidRDefault="00F12F9E">
      <w:pPr>
        <w:widowControl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br w:type="page"/>
      </w:r>
    </w:p>
    <w:p w14:paraId="3BB44242" w14:textId="201E4746" w:rsidR="00F12F9E" w:rsidRDefault="00F12F9E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bCs/>
          <w:noProof/>
          <w:sz w:val="32"/>
          <w:szCs w:val="36"/>
        </w:rPr>
        <w:lastRenderedPageBreak/>
        <w:drawing>
          <wp:anchor distT="0" distB="0" distL="114300" distR="114300" simplePos="0" relativeHeight="251664384" behindDoc="0" locked="0" layoutInCell="1" allowOverlap="1" wp14:anchorId="7B91DA0E" wp14:editId="53CC17CC">
            <wp:simplePos x="0" y="0"/>
            <wp:positionH relativeFrom="column">
              <wp:posOffset>-420796</wp:posOffset>
            </wp:positionH>
            <wp:positionV relativeFrom="paragraph">
              <wp:posOffset>0</wp:posOffset>
            </wp:positionV>
            <wp:extent cx="6465570" cy="3636645"/>
            <wp:effectExtent l="0" t="0" r="0" b="1905"/>
            <wp:wrapTopAndBottom/>
            <wp:docPr id="2203459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45917" name="图片 2203459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4.</w:t>
      </w:r>
      <w:r w:rsidRPr="00F12F9E">
        <w:rPr>
          <w:rFonts w:hint="eastAsia"/>
        </w:rPr>
        <w:t xml:space="preserve"> 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Isotope tracing of cysteine labeled with 13C and 15N. </w:t>
      </w:r>
      <w:r w:rsidRPr="00F12F9E">
        <w:rPr>
          <w:rFonts w:ascii="Times New Roman" w:hAnsi="Times New Roman" w:cs="Times New Roman"/>
          <w:sz w:val="32"/>
          <w:szCs w:val="36"/>
        </w:rPr>
        <w:t>HC represents total protein of donor cells, HM represents mitochondrial protein of donor cells, RC represents total protein of recipient cells and RM represents mitochondrial protein of recipient cells.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 (A) </w:t>
      </w:r>
      <w:r w:rsidRPr="00F12F9E">
        <w:rPr>
          <w:rFonts w:ascii="Times New Roman" w:hAnsi="Times New Roman" w:cs="Times New Roman"/>
          <w:sz w:val="32"/>
          <w:szCs w:val="36"/>
        </w:rPr>
        <w:t>13C isotope tracing table, the natural abundance of 13C is 1.1%;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 (B) </w:t>
      </w:r>
      <w:r w:rsidRPr="00F12F9E">
        <w:rPr>
          <w:rFonts w:ascii="Times New Roman" w:hAnsi="Times New Roman" w:cs="Times New Roman"/>
          <w:sz w:val="32"/>
          <w:szCs w:val="36"/>
        </w:rPr>
        <w:t>13C Atom% excess quantization graph;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 (C) </w:t>
      </w:r>
      <w:r w:rsidRPr="00F12F9E">
        <w:rPr>
          <w:rFonts w:ascii="Times New Roman" w:hAnsi="Times New Roman" w:cs="Times New Roman"/>
          <w:sz w:val="32"/>
          <w:szCs w:val="36"/>
        </w:rPr>
        <w:t>15N isotope tracing table, the natural abundance of 15N is 0.367%;</w:t>
      </w: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 (D) </w:t>
      </w:r>
      <w:r w:rsidRPr="00F12F9E">
        <w:rPr>
          <w:rFonts w:ascii="Times New Roman" w:hAnsi="Times New Roman" w:cs="Times New Roman"/>
          <w:sz w:val="32"/>
          <w:szCs w:val="36"/>
        </w:rPr>
        <w:t>15N Atom% excess quantization graph.</w:t>
      </w:r>
    </w:p>
    <w:p w14:paraId="44A11C93" w14:textId="77777777" w:rsidR="00F12F9E" w:rsidRDefault="00F12F9E">
      <w:pPr>
        <w:widowControl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br w:type="page"/>
      </w:r>
    </w:p>
    <w:p w14:paraId="413D7B4E" w14:textId="38445324" w:rsidR="00245258" w:rsidRPr="00245258" w:rsidRDefault="00245258" w:rsidP="00245258">
      <w:pPr>
        <w:rPr>
          <w:rFonts w:hint="eastAsia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7912AA94" wp14:editId="1C0D13EF">
            <wp:simplePos x="0" y="0"/>
            <wp:positionH relativeFrom="margin">
              <wp:align>left</wp:align>
            </wp:positionH>
            <wp:positionV relativeFrom="paragraph">
              <wp:posOffset>204318</wp:posOffset>
            </wp:positionV>
            <wp:extent cx="5597525" cy="3357245"/>
            <wp:effectExtent l="0" t="0" r="3175" b="0"/>
            <wp:wrapTopAndBottom/>
            <wp:docPr id="14768983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98318" name="图片 14768983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" t="5852" r="11168"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35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035F3" w14:textId="12D6E11B" w:rsidR="00245258" w:rsidRPr="00245258" w:rsidRDefault="00245258" w:rsidP="00245258">
      <w:pPr>
        <w:ind w:firstLineChars="100" w:firstLine="320"/>
        <w:rPr>
          <w:rFonts w:ascii="Times New Roman" w:hAnsi="Times New Roman" w:cs="Times New Roman"/>
          <w:sz w:val="32"/>
          <w:szCs w:val="36"/>
        </w:rPr>
      </w:pPr>
      <w:r w:rsidRPr="00F12F9E">
        <w:rPr>
          <w:rFonts w:ascii="Times New Roman" w:hAnsi="Times New Roman" w:cs="Times New Roman"/>
          <w:b/>
          <w:bCs/>
          <w:sz w:val="32"/>
          <w:szCs w:val="3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5</w:t>
      </w:r>
      <w:r w:rsidRPr="00245258"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. </w:t>
      </w:r>
      <w:r w:rsidRPr="00245258">
        <w:rPr>
          <w:rFonts w:ascii="Times New Roman" w:hAnsi="Times New Roman" w:cs="Times New Roman"/>
          <w:b/>
          <w:bCs/>
          <w:sz w:val="32"/>
          <w:szCs w:val="36"/>
        </w:rPr>
        <w:t>The effect of using small interfering RNA to inhibit Ctsh on free mitochondrial transfer</w:t>
      </w:r>
      <w:r w:rsidRPr="00245258">
        <w:rPr>
          <w:rFonts w:ascii="Times New Roman" w:hAnsi="Times New Roman" w:cs="Times New Roman" w:hint="eastAsia"/>
          <w:b/>
          <w:bCs/>
          <w:sz w:val="32"/>
          <w:szCs w:val="36"/>
        </w:rPr>
        <w:t>. (A)</w:t>
      </w:r>
      <w:r w:rsidRPr="00245258">
        <w:rPr>
          <w:rFonts w:ascii="Times New Roman" w:hAnsi="Times New Roman" w:cs="Times New Roman" w:hint="eastAsia"/>
          <w:sz w:val="32"/>
          <w:szCs w:val="36"/>
        </w:rPr>
        <w:t xml:space="preserve"> and </w:t>
      </w:r>
      <w:r w:rsidRPr="00245258">
        <w:rPr>
          <w:rFonts w:ascii="Times New Roman" w:hAnsi="Times New Roman" w:cs="Times New Roman" w:hint="eastAsia"/>
          <w:b/>
          <w:bCs/>
          <w:sz w:val="32"/>
          <w:szCs w:val="36"/>
        </w:rPr>
        <w:t>(B)</w:t>
      </w:r>
      <w:r w:rsidRPr="00245258">
        <w:rPr>
          <w:rFonts w:ascii="Times New Roman" w:hAnsi="Times New Roman" w:cs="Times New Roman" w:hint="eastAsia"/>
          <w:sz w:val="32"/>
          <w:szCs w:val="36"/>
        </w:rPr>
        <w:t xml:space="preserve"> </w:t>
      </w:r>
      <w:r w:rsidRPr="00245258">
        <w:rPr>
          <w:rFonts w:ascii="Times New Roman" w:hAnsi="Times New Roman" w:cs="Times New Roman"/>
          <w:sz w:val="32"/>
          <w:szCs w:val="36"/>
        </w:rPr>
        <w:t>ALP staining and quantification results after 9 days of osteogenic induction</w:t>
      </w:r>
      <w:r w:rsidRPr="00245258">
        <w:rPr>
          <w:rFonts w:ascii="Times New Roman" w:hAnsi="Times New Roman" w:cs="Times New Roman" w:hint="eastAsia"/>
          <w:sz w:val="32"/>
          <w:szCs w:val="36"/>
        </w:rPr>
        <w:t>;</w:t>
      </w:r>
      <w:r w:rsidRPr="00245258">
        <w:rPr>
          <w:rFonts w:ascii="Times New Roman" w:hAnsi="Times New Roman" w:cs="Times New Roman" w:hint="eastAsia"/>
          <w:b/>
          <w:bCs/>
          <w:sz w:val="32"/>
          <w:szCs w:val="36"/>
        </w:rPr>
        <w:t xml:space="preserve"> (C)</w:t>
      </w:r>
      <w:r w:rsidRPr="00245258">
        <w:rPr>
          <w:rFonts w:ascii="Times New Roman" w:hAnsi="Times New Roman" w:cs="Times New Roman" w:hint="eastAsia"/>
          <w:sz w:val="32"/>
          <w:szCs w:val="36"/>
        </w:rPr>
        <w:t xml:space="preserve"> and </w:t>
      </w:r>
      <w:r w:rsidRPr="00245258">
        <w:rPr>
          <w:rFonts w:ascii="Times New Roman" w:hAnsi="Times New Roman" w:cs="Times New Roman" w:hint="eastAsia"/>
          <w:b/>
          <w:bCs/>
          <w:sz w:val="32"/>
          <w:szCs w:val="36"/>
        </w:rPr>
        <w:t>(D)</w:t>
      </w:r>
      <w:r w:rsidRPr="00245258">
        <w:rPr>
          <w:rFonts w:ascii="Times New Roman" w:hAnsi="Times New Roman" w:cs="Times New Roman" w:hint="eastAsia"/>
          <w:sz w:val="32"/>
          <w:szCs w:val="36"/>
        </w:rPr>
        <w:t xml:space="preserve"> </w:t>
      </w:r>
      <w:r w:rsidRPr="00245258">
        <w:rPr>
          <w:rFonts w:ascii="Times New Roman" w:hAnsi="Times New Roman" w:cs="Times New Roman"/>
          <w:sz w:val="32"/>
          <w:szCs w:val="36"/>
        </w:rPr>
        <w:t>Protein expression levels and quantification results of 9-day osteogenic induction</w:t>
      </w:r>
      <w:r w:rsidRPr="00245258">
        <w:rPr>
          <w:rFonts w:ascii="Times New Roman" w:hAnsi="Times New Roman" w:cs="Times New Roman" w:hint="eastAsia"/>
          <w:sz w:val="32"/>
          <w:szCs w:val="36"/>
        </w:rPr>
        <w:t>. n=3,</w:t>
      </w:r>
      <w:r w:rsidRPr="00245258">
        <w:rPr>
          <w:rFonts w:ascii="Times New Roman" w:hAnsi="Times New Roman" w:cs="Times New Roman"/>
          <w:sz w:val="32"/>
          <w:szCs w:val="36"/>
        </w:rPr>
        <w:t xml:space="preserve"> Differences were determined using Student’s t-test or ANOVA. ns not statistically significant</w:t>
      </w:r>
      <w:r w:rsidRPr="00245258">
        <w:rPr>
          <w:rFonts w:ascii="Times New Roman" w:hAnsi="Times New Roman" w:cs="Times New Roman" w:hint="eastAsia"/>
          <w:sz w:val="32"/>
          <w:szCs w:val="36"/>
        </w:rPr>
        <w:t>,</w:t>
      </w:r>
      <w:r w:rsidRPr="00245258">
        <w:rPr>
          <w:rFonts w:ascii="Times New Roman" w:hAnsi="Times New Roman" w:cs="Times New Roman"/>
          <w:sz w:val="32"/>
          <w:szCs w:val="36"/>
        </w:rPr>
        <w:t xml:space="preserve"> </w:t>
      </w:r>
      <w:r w:rsidRPr="00245258">
        <w:rPr>
          <w:rFonts w:ascii="Times New Roman" w:hAnsi="Times New Roman" w:cs="Times New Roman" w:hint="eastAsia"/>
          <w:sz w:val="32"/>
          <w:szCs w:val="36"/>
        </w:rPr>
        <w:t>*</w:t>
      </w:r>
      <w:r w:rsidRPr="00245258">
        <w:rPr>
          <w:rFonts w:ascii="Times New Roman" w:hAnsi="Times New Roman" w:cs="Times New Roman"/>
          <w:sz w:val="32"/>
          <w:szCs w:val="36"/>
        </w:rPr>
        <w:t>*p &lt; 0.01</w:t>
      </w:r>
      <w:r w:rsidRPr="00245258">
        <w:rPr>
          <w:rFonts w:ascii="Times New Roman" w:hAnsi="Times New Roman" w:cs="Times New Roman" w:hint="eastAsia"/>
          <w:sz w:val="32"/>
          <w:szCs w:val="36"/>
        </w:rPr>
        <w:t>,</w:t>
      </w:r>
      <w:r w:rsidRPr="00245258">
        <w:rPr>
          <w:rFonts w:ascii="Times New Roman" w:hAnsi="Times New Roman" w:cs="Times New Roman"/>
          <w:sz w:val="32"/>
          <w:szCs w:val="36"/>
        </w:rPr>
        <w:t>*</w:t>
      </w:r>
      <w:r w:rsidRPr="00245258">
        <w:rPr>
          <w:rFonts w:ascii="Times New Roman" w:hAnsi="Times New Roman" w:cs="Times New Roman" w:hint="eastAsia"/>
          <w:sz w:val="32"/>
          <w:szCs w:val="36"/>
        </w:rPr>
        <w:t>*</w:t>
      </w:r>
      <w:r w:rsidRPr="00245258">
        <w:rPr>
          <w:rFonts w:ascii="Times New Roman" w:hAnsi="Times New Roman" w:cs="Times New Roman"/>
          <w:sz w:val="32"/>
          <w:szCs w:val="36"/>
        </w:rPr>
        <w:t>**p &lt; 0.00</w:t>
      </w:r>
      <w:r w:rsidRPr="00245258">
        <w:rPr>
          <w:rFonts w:ascii="Times New Roman" w:hAnsi="Times New Roman" w:cs="Times New Roman" w:hint="eastAsia"/>
          <w:sz w:val="32"/>
          <w:szCs w:val="36"/>
        </w:rPr>
        <w:t>0</w:t>
      </w:r>
      <w:r w:rsidRPr="00245258">
        <w:rPr>
          <w:rFonts w:ascii="Times New Roman" w:hAnsi="Times New Roman" w:cs="Times New Roman"/>
          <w:sz w:val="32"/>
          <w:szCs w:val="36"/>
        </w:rPr>
        <w:t>1</w:t>
      </w:r>
      <w:r w:rsidRPr="00245258">
        <w:rPr>
          <w:rFonts w:ascii="Times New Roman" w:hAnsi="Times New Roman" w:cs="Times New Roman" w:hint="eastAsia"/>
          <w:sz w:val="32"/>
          <w:szCs w:val="36"/>
        </w:rPr>
        <w:t>.</w:t>
      </w:r>
    </w:p>
    <w:p w14:paraId="75F3AC1A" w14:textId="77777777" w:rsidR="00F12F9E" w:rsidRPr="00245258" w:rsidRDefault="00F12F9E">
      <w:pPr>
        <w:rPr>
          <w:rFonts w:ascii="Times New Roman" w:hAnsi="Times New Roman" w:cs="Times New Roman" w:hint="eastAsia"/>
          <w:b/>
          <w:bCs/>
          <w:sz w:val="32"/>
          <w:szCs w:val="36"/>
        </w:rPr>
      </w:pPr>
    </w:p>
    <w:sectPr w:rsidR="00F12F9E" w:rsidRPr="00245258" w:rsidSect="00A60A38"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CE63" w14:textId="77777777" w:rsidR="00541D8C" w:rsidRDefault="00541D8C" w:rsidP="00F12F9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1D82F2" w14:textId="77777777" w:rsidR="00541D8C" w:rsidRDefault="00541D8C" w:rsidP="00F12F9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8C49" w14:textId="77777777" w:rsidR="00541D8C" w:rsidRDefault="00541D8C" w:rsidP="00F12F9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EFEC5CE" w14:textId="77777777" w:rsidR="00541D8C" w:rsidRDefault="00541D8C" w:rsidP="00F12F9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C2"/>
    <w:rsid w:val="00245258"/>
    <w:rsid w:val="003E71E9"/>
    <w:rsid w:val="00541D8C"/>
    <w:rsid w:val="00646255"/>
    <w:rsid w:val="00815AC2"/>
    <w:rsid w:val="008A25C2"/>
    <w:rsid w:val="00A509F4"/>
    <w:rsid w:val="00A60A38"/>
    <w:rsid w:val="00AF235F"/>
    <w:rsid w:val="00C25F92"/>
    <w:rsid w:val="00F1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547E9"/>
  <w15:chartTrackingRefBased/>
  <w15:docId w15:val="{47AE3B3A-0076-4038-B91C-D2CA682C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25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5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5C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5C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5C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5C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5C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5C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5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2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2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25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25C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25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25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25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25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25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2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5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25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2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25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25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25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2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25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25C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2F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2F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2F9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2F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jiayong diao</dc:creator>
  <cp:keywords/>
  <dc:description/>
  <cp:lastModifiedBy>jiayong diao</cp:lastModifiedBy>
  <cp:revision>3</cp:revision>
  <dcterms:created xsi:type="dcterms:W3CDTF">2026-05-03T02:15:00Z</dcterms:created>
  <dcterms:modified xsi:type="dcterms:W3CDTF">2026-05-03T02:27:00Z</dcterms:modified>
</cp:coreProperties>
</file>