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22.0" w:type="dxa"/>
        <w:jc w:val="left"/>
        <w:tblInd w:w="-8.000000000000007" w:type="dxa"/>
        <w:tblLayout w:type="fixed"/>
        <w:tblLook w:val="0000"/>
      </w:tblPr>
      <w:tblGrid>
        <w:gridCol w:w="794"/>
        <w:gridCol w:w="748"/>
        <w:gridCol w:w="683"/>
        <w:gridCol w:w="828"/>
        <w:gridCol w:w="1140"/>
        <w:gridCol w:w="1379"/>
        <w:gridCol w:w="1469"/>
        <w:gridCol w:w="1381"/>
        <w:tblGridChange w:id="0">
          <w:tblGrid>
            <w:gridCol w:w="794"/>
            <w:gridCol w:w="748"/>
            <w:gridCol w:w="683"/>
            <w:gridCol w:w="828"/>
            <w:gridCol w:w="1140"/>
            <w:gridCol w:w="1379"/>
            <w:gridCol w:w="1469"/>
            <w:gridCol w:w="1381"/>
          </w:tblGrid>
        </w:tblGridChange>
      </w:tblGrid>
      <w:tr>
        <w:trPr>
          <w:cantSplit w:val="0"/>
          <w:trHeight w:val="100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Supplementary Table 1</w:t>
              <w:br w:type="textWrapping"/>
              <w:t xml:space="preserve">Information of 8 patients for single-cell sequencing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Patient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HER2 Expression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Ki-67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2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Clinical TNM stage at diagnosis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Neoadjuvant </w:t>
              <w:br w:type="textWrapping"/>
              <w:t xml:space="preserve">Therapy Regimen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T3N1M0,stage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T2N3M0,stage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T2N3M0,stage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T2N2M0,stage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AC-TH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T2N1M0,stage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T4N2M0,stage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T2N2M0,stage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TCbH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T2N0M0,stage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AC-TH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Regimens:​​​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i w:val="1"/>
                <w:iCs w:val="1"/>
                <w:sz w:val="24"/>
                <w:szCs w:val="24"/>
                <w:rtl w:val="0"/>
              </w:rPr>
              <w:t xml:space="preserve">1. Radiologic responder,PR；Radiologic non-responder,SD.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rdo" w:cs="Cardo" w:eastAsia="Cardo" w:hAnsi="Cardo"/>
                <w:i w:val="1"/>
                <w:iCs w:val="1"/>
                <w:sz w:val="24"/>
                <w:szCs w:val="24"/>
                <w:rtl w:val="0"/>
              </w:rPr>
              <w:t xml:space="preserve">2. TCbH: docetaxel + carboplatin + trastuzumab; AC-TH, anthracyclines + cyclophosphamide → docetaxel + trastuzumab.​​</w:t>
            </w:r>
          </w:p>
        </w:tc>
      </w:tr>
    </w:tbl>
    <w:p w:rsidR="00000000" w:rsidDel="00000000" w:rsidP="00000000" w:rsidRDefault="00000000" w:rsidRPr="00000000" w14:paraId="0000005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