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64FC" w:rsidRPr="00436238" w:rsidRDefault="003264FC" w:rsidP="006E4324">
      <w:pP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Supplementary </w:t>
      </w:r>
      <w:r w:rsidR="006E4324"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m</w:t>
      </w: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aterials and </w:t>
      </w:r>
      <w:r w:rsidR="006E4324"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m</w:t>
      </w: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ethods</w:t>
      </w:r>
    </w:p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Dynamic light scattering (DLS)</w:t>
      </w:r>
    </w:p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DLS was performed to study the size of EVs using the </w:t>
      </w:r>
      <w:proofErr w:type="spellStart"/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Zetasizer</w:t>
      </w:r>
      <w:proofErr w:type="spellEnd"/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Nano ZS system (Malvern Instruments). 10 µl EV sample was diluted in 990 µl PBS. DTS 2.0 software was used for data acquisition and analysis.</w:t>
      </w:r>
    </w:p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bookmarkStart w:id="0" w:name="_Hlk205979532"/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Nanoparticle tracking analysis (NTA) </w:t>
      </w:r>
    </w:p>
    <w:bookmarkEnd w:id="0"/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EV concentration and size distribution were assessed using NTA. The EV samples were analyzed using the </w:t>
      </w:r>
      <w:proofErr w:type="spellStart"/>
      <w:r w:rsidRPr="00436238">
        <w:rPr>
          <w:rFonts w:ascii="Arial" w:hAnsi="Arial" w:cs="Arial"/>
          <w:bCs/>
          <w:color w:val="000000" w:themeColor="text1"/>
          <w:sz w:val="24"/>
          <w:szCs w:val="24"/>
        </w:rPr>
        <w:t>NanoSight</w:t>
      </w:r>
      <w:proofErr w:type="spellEnd"/>
      <w:r w:rsidRPr="00436238">
        <w:rPr>
          <w:rFonts w:ascii="Arial" w:hAnsi="Arial" w:cs="Arial"/>
          <w:bCs/>
          <w:color w:val="000000" w:themeColor="text1"/>
          <w:sz w:val="24"/>
          <w:szCs w:val="24"/>
        </w:rPr>
        <w:t xml:space="preserve"> NS300 (Malvern Instruments) system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. Data acquisition and analysis were carried out using NTA v3.00 software, following the manufacturer's instruction. </w:t>
      </w:r>
    </w:p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  <w:bookmarkStart w:id="1" w:name="_Hlk205979538"/>
      <w:r w:rsidRPr="00436238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Transmission electron microscopy (TEM)</w:t>
      </w:r>
    </w:p>
    <w:bookmarkEnd w:id="1"/>
    <w:p w:rsidR="00A7336F" w:rsidRPr="00436238" w:rsidRDefault="00A7336F" w:rsidP="00A7336F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EV samples were adsorbed onto carbon films on 300 mesh copper grids for 20 min</w:t>
      </w:r>
      <w:r w:rsidR="001302AE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at room temperature</w:t>
      </w:r>
      <w:r w:rsidR="00A8212B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(RT)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. Excess liquid was removed by gently soaking with 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>blotting paper. The grids were then stained with 2.5% uranyl acetate for 10 min, followed by a brief wash. Grids were again stained for 2 min</w:t>
      </w:r>
      <w:r w:rsidR="006D505A" w:rsidRPr="00436238">
        <w:rPr>
          <w:rFonts w:ascii="Arial" w:hAnsi="Arial" w:cs="Arial"/>
          <w:color w:val="000000" w:themeColor="text1"/>
          <w:sz w:val="24"/>
          <w:szCs w:val="24"/>
        </w:rPr>
        <w:t xml:space="preserve"> and dried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>. The grids were imaged using a JEOL-JEM 1230 microscope to visualize EV morphology</w:t>
      </w:r>
      <w:r w:rsidR="006D505A" w:rsidRPr="00436238">
        <w:rPr>
          <w:rFonts w:ascii="Arial" w:hAnsi="Arial" w:cs="Arial"/>
          <w:color w:val="000000" w:themeColor="text1"/>
          <w:sz w:val="24"/>
          <w:szCs w:val="24"/>
        </w:rPr>
        <w:t xml:space="preserve"> and size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B15941" w:rsidRPr="00436238" w:rsidRDefault="00B15941" w:rsidP="00B15941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Bioinformatics analysis</w:t>
      </w:r>
    </w:p>
    <w:p w:rsidR="00B15941" w:rsidRPr="00436238" w:rsidRDefault="00B15941" w:rsidP="006D7465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36238">
        <w:rPr>
          <w:rFonts w:ascii="Arial" w:hAnsi="Arial" w:cs="Arial"/>
          <w:color w:val="000000" w:themeColor="text1"/>
          <w:sz w:val="24"/>
          <w:szCs w:val="24"/>
        </w:rPr>
        <w:t>The Gene Expression Profiling Interactive Analysis 2 (GEPIA2) (</w:t>
      </w:r>
      <w:hyperlink r:id="rId6" w:anchor="index" w:history="1">
        <w:r w:rsidRPr="00436238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http://gepia2.cancer-pku.cn/index</w:t>
        </w:r>
      </w:hyperlink>
      <w:r w:rsidRPr="00436238">
        <w:rPr>
          <w:rFonts w:ascii="Arial" w:hAnsi="Arial" w:cs="Arial"/>
          <w:color w:val="000000" w:themeColor="text1"/>
          <w:sz w:val="24"/>
          <w:szCs w:val="24"/>
        </w:rPr>
        <w:t>), an interactive web server</w:t>
      </w:r>
      <w:r w:rsidR="001302AE">
        <w:rPr>
          <w:rFonts w:ascii="Arial" w:hAnsi="Arial" w:cs="Arial"/>
          <w:color w:val="000000" w:themeColor="text1"/>
          <w:sz w:val="24"/>
          <w:szCs w:val="24"/>
        </w:rPr>
        <w:t xml:space="preserve"> for analysing The Cancer Genom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e Atlas (TCGA) data, was used to assess </w:t>
      </w:r>
      <w:r w:rsidRPr="00436238">
        <w:rPr>
          <w:rFonts w:ascii="Arial" w:hAnsi="Arial" w:cs="Arial"/>
          <w:i/>
          <w:iCs/>
          <w:color w:val="000000" w:themeColor="text1"/>
          <w:sz w:val="24"/>
          <w:szCs w:val="24"/>
        </w:rPr>
        <w:t>L1CAM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 expression in the Stomach Adenocarcinoma (STAD) dataset for normal versus </w:t>
      </w:r>
      <w:proofErr w:type="spellStart"/>
      <w:r w:rsidRPr="00436238">
        <w:rPr>
          <w:rFonts w:ascii="Arial" w:hAnsi="Arial" w:cs="Arial"/>
          <w:color w:val="000000" w:themeColor="text1"/>
          <w:sz w:val="24"/>
          <w:szCs w:val="24"/>
        </w:rPr>
        <w:t>tumor</w:t>
      </w:r>
      <w:proofErr w:type="spellEnd"/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 samples. The correlation analysis module in GEPIA2 was utilized to assess the association between </w:t>
      </w:r>
      <w:r w:rsidRPr="00436238">
        <w:rPr>
          <w:rFonts w:ascii="Arial" w:hAnsi="Arial" w:cs="Arial"/>
          <w:i/>
          <w:iCs/>
          <w:color w:val="000000" w:themeColor="text1"/>
          <w:sz w:val="24"/>
          <w:szCs w:val="24"/>
        </w:rPr>
        <w:t>L1CAM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 and various integrins. Pearson's correlation test was applied to calculate the correlation coefficient (R) and mRNA expression values were normalized to GAPDH. The </w:t>
      </w:r>
      <w:proofErr w:type="spellStart"/>
      <w:r w:rsidRPr="00436238">
        <w:rPr>
          <w:rFonts w:ascii="Arial" w:hAnsi="Arial" w:cs="Arial"/>
          <w:color w:val="000000" w:themeColor="text1"/>
          <w:sz w:val="24"/>
          <w:szCs w:val="24"/>
        </w:rPr>
        <w:t>Tumor</w:t>
      </w:r>
      <w:proofErr w:type="spellEnd"/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 Immune Estimation Resource 2.0 (TIMER2.0) database 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lastRenderedPageBreak/>
        <w:t>(</w:t>
      </w:r>
      <w:hyperlink r:id="rId7" w:history="1">
        <w:r w:rsidRPr="00436238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http://timer.cistrome.org/</w:t>
        </w:r>
      </w:hyperlink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) was used to show </w:t>
      </w:r>
      <w:r w:rsidRPr="0043623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L1CAM 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>expression across cancers compared to normal tissues. The Human Protein Atlas (HPA) (</w:t>
      </w:r>
      <w:hyperlink r:id="rId8" w:history="1">
        <w:r w:rsidRPr="00436238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https://www.proteinatlas.org/</w:t>
        </w:r>
      </w:hyperlink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) was used to assess </w:t>
      </w:r>
      <w:r w:rsidRPr="0043623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L1CAM </w:t>
      </w:r>
      <w:r w:rsidRPr="00436238">
        <w:rPr>
          <w:rFonts w:ascii="Arial" w:hAnsi="Arial" w:cs="Arial"/>
          <w:color w:val="000000" w:themeColor="text1"/>
          <w:sz w:val="24"/>
          <w:szCs w:val="24"/>
        </w:rPr>
        <w:t>expression across various cell lines in GC. To explore potential molecular interactions between L1CAM and other molecules, such as integrins, the Search Tool for the Retrieval of Interacting Genes/Proteins (STRING) (</w:t>
      </w:r>
      <w:hyperlink r:id="rId9" w:history="1">
        <w:r w:rsidRPr="00436238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https://string-db.org/</w:t>
        </w:r>
      </w:hyperlink>
      <w:r w:rsidRPr="00436238">
        <w:rPr>
          <w:rFonts w:ascii="Arial" w:hAnsi="Arial" w:cs="Arial"/>
          <w:color w:val="000000" w:themeColor="text1"/>
          <w:sz w:val="24"/>
          <w:szCs w:val="24"/>
        </w:rPr>
        <w:t xml:space="preserve">) was used. </w:t>
      </w:r>
    </w:p>
    <w:p w:rsidR="009D20AE" w:rsidRPr="00436238" w:rsidRDefault="009D20AE" w:rsidP="009D20AE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EV treatment</w:t>
      </w:r>
    </w:p>
    <w:p w:rsidR="009D20AE" w:rsidRPr="00436238" w:rsidRDefault="009D20AE" w:rsidP="00D15CFF">
      <w:pPr>
        <w:spacing w:after="0" w:line="480" w:lineRule="auto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For performing various </w:t>
      </w:r>
      <w:r w:rsidRPr="001302AE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>in vitro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functional assays and </w:t>
      </w:r>
      <w:r w:rsidRPr="001302AE">
        <w:rPr>
          <w:rFonts w:ascii="Arial" w:hAnsi="Arial" w:cs="Arial"/>
          <w:iCs/>
          <w:color w:val="000000" w:themeColor="text1"/>
          <w:sz w:val="24"/>
          <w:szCs w:val="24"/>
          <w:lang w:val="en-US"/>
        </w:rPr>
        <w:t>in vivo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xenograft experiments, HFE145 </w:t>
      </w:r>
      <w:r w:rsidR="009F18C0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and AGS cells</w:t>
      </w:r>
      <w:r w:rsidR="00C93CF4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,</w:t>
      </w:r>
      <w:r w:rsidR="009F18C0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respectively</w:t>
      </w:r>
      <w:r w:rsidR="006D21FE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,</w:t>
      </w:r>
      <w:r w:rsidR="001302AE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were treated with 20 µg of EVs isolated from uninfected</w:t>
      </w:r>
      <w:r w:rsidR="00C93CF4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or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infected AGS cells, or </w:t>
      </w:r>
      <w:r w:rsidR="00C93CF4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from 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infected/uninfected empty vector- and L1CAM-stable AGS cells</w:t>
      </w:r>
      <w:r w:rsidR="00C93CF4"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>,</w:t>
      </w:r>
      <w:r w:rsidRPr="0043623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for 24 h. </w:t>
      </w:r>
    </w:p>
    <w:p w:rsidR="00D15CFF" w:rsidRPr="00436238" w:rsidRDefault="00140E72" w:rsidP="00D15CFF">
      <w:pPr>
        <w:spacing w:after="0" w:line="48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>Immunofluorescence/</w:t>
      </w:r>
      <w:r w:rsidR="00D15CFF" w:rsidRPr="00436238"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confocal microscopy </w:t>
      </w:r>
    </w:p>
    <w:p w:rsidR="001A6A46" w:rsidRPr="00436238" w:rsidRDefault="00D15CFF" w:rsidP="00D15CFF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0.2×10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vertAlign w:val="superscript"/>
          <w:lang w:val="en-US"/>
        </w:rPr>
        <w:t xml:space="preserve">6 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cells were plated </w:t>
      </w:r>
      <w:r w:rsidR="001A6A46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on coverslips 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in 6-well plates. </w:t>
      </w:r>
      <w:r w:rsidR="007410C3" w:rsidRPr="007410C3">
        <w:rPr>
          <w:rFonts w:ascii="Arial" w:hAnsi="Arial" w:cs="Arial"/>
          <w:bCs/>
          <w:color w:val="000000" w:themeColor="text1"/>
          <w:sz w:val="24"/>
          <w:szCs w:val="24"/>
        </w:rPr>
        <w:t>At the end of the experiment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, cells were fixed with 4% PFA for 15 min at RT.  Cells were</w:t>
      </w:r>
      <w:r w:rsidR="001A6A46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then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washed with PBS and permeabilized with Triton X-100 in PBS. Blocking was done using 5% </w:t>
      </w:r>
      <w:r w:rsidR="00C17F02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bovine serum albumin (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BSA</w:t>
      </w:r>
      <w:r w:rsidR="00C17F02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)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followed by </w:t>
      </w:r>
      <w:r w:rsidR="001A6A46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overnight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incubation with primary antibodies at 4 °C. The next day, cells were washed with PBST (0.1% tween20 in 1X PBS) and incubated with secondary antibodies in the dark. Lastly, cells were stained with DAPI and mounted with </w:t>
      </w:r>
      <w:proofErr w:type="spellStart"/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Fluoromount</w:t>
      </w:r>
      <w:proofErr w:type="spellEnd"/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-G. </w:t>
      </w:r>
    </w:p>
    <w:p w:rsidR="00F5434A" w:rsidRPr="00436238" w:rsidRDefault="00D15CFF" w:rsidP="00F5434A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For human biopsy samples and xenograft tissue samples, 5 µm-thick tissue sections were sliced using a cryostat. Staining was performed </w:t>
      </w:r>
      <w:r w:rsidR="001A6A46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in a similar manner </w:t>
      </w:r>
      <w:r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as described above.</w:t>
      </w:r>
      <w:r w:rsidR="001302AE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</w:t>
      </w:r>
      <w:r w:rsidR="00F94731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Cell or tissue images were captured using a confocal or fluorescence microscope</w:t>
      </w:r>
      <w:r w:rsidR="00C93CF4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>,</w:t>
      </w:r>
      <w:r w:rsidR="00F94731" w:rsidRPr="00436238">
        <w:rPr>
          <w:rFonts w:ascii="Arial" w:hAnsi="Arial" w:cs="Arial"/>
          <w:bCs/>
          <w:color w:val="000000" w:themeColor="text1"/>
          <w:sz w:val="24"/>
          <w:szCs w:val="24"/>
          <w:lang w:val="en-US"/>
        </w:rPr>
        <w:t xml:space="preserve"> respectively. </w:t>
      </w:r>
    </w:p>
    <w:p w:rsidR="005D16F1" w:rsidRPr="00436238" w:rsidRDefault="005D16F1" w:rsidP="00F5434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5D16F1" w:rsidRPr="00436238" w:rsidRDefault="005D16F1" w:rsidP="00F5434A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80D87" w:rsidRPr="00436238" w:rsidRDefault="00280D87" w:rsidP="00F5434A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n-US"/>
        </w:rPr>
      </w:pPr>
      <w:r w:rsidRPr="00436238">
        <w:rPr>
          <w:rFonts w:ascii="Arial" w:hAnsi="Arial" w:cs="Arial"/>
          <w:b/>
          <w:bCs/>
          <w:sz w:val="24"/>
          <w:szCs w:val="24"/>
        </w:rPr>
        <w:lastRenderedPageBreak/>
        <w:t>Supplementary Tables</w:t>
      </w:r>
    </w:p>
    <w:p w:rsidR="003264FC" w:rsidRPr="00436238" w:rsidRDefault="00B404D2" w:rsidP="00B404D2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36238">
        <w:rPr>
          <w:rFonts w:ascii="Arial" w:hAnsi="Arial" w:cs="Arial"/>
          <w:b/>
          <w:bCs/>
          <w:sz w:val="24"/>
          <w:szCs w:val="24"/>
        </w:rPr>
        <w:t>Table S1: List of reagents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8"/>
        <w:gridCol w:w="2641"/>
      </w:tblGrid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E416B3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Cell line/Bacterial strain/Reagent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Manufacturer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Cat. number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AGS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CRL-1739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Hp</w:t>
            </w: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26695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ATCC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700392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RPMI-1640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AL028A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FBS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Invitrogen 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10270106</w:t>
            </w:r>
          </w:p>
        </w:tc>
      </w:tr>
      <w:tr w:rsidR="00C17F02" w:rsidRPr="00436238" w:rsidTr="0071103D">
        <w:tc>
          <w:tcPr>
            <w:tcW w:w="3397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Trypsin-EDTA solution</w:t>
            </w:r>
          </w:p>
        </w:tc>
        <w:tc>
          <w:tcPr>
            <w:tcW w:w="2978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C17F02" w:rsidRPr="00436238" w:rsidRDefault="00824B5E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TCL007-500ML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Total exosome isolation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4478359</w:t>
            </w:r>
          </w:p>
        </w:tc>
      </w:tr>
      <w:tr w:rsidR="00824B5E" w:rsidRPr="00436238" w:rsidTr="0071103D">
        <w:tc>
          <w:tcPr>
            <w:tcW w:w="3397" w:type="dxa"/>
            <w:vAlign w:val="bottom"/>
          </w:tcPr>
          <w:p w:rsidR="00824B5E" w:rsidRPr="00436238" w:rsidRDefault="0014000A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Amicon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® Ultra Centrifugal Filter, 100 </w:t>
            </w: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kDa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MWCO</w:t>
            </w:r>
          </w:p>
        </w:tc>
        <w:tc>
          <w:tcPr>
            <w:tcW w:w="2978" w:type="dxa"/>
            <w:vAlign w:val="bottom"/>
          </w:tcPr>
          <w:p w:rsidR="00824B5E" w:rsidRPr="00436238" w:rsidRDefault="00824B5E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Merck Millipore</w:t>
            </w:r>
          </w:p>
        </w:tc>
        <w:tc>
          <w:tcPr>
            <w:tcW w:w="2641" w:type="dxa"/>
          </w:tcPr>
          <w:p w:rsidR="0014000A" w:rsidRPr="00436238" w:rsidRDefault="0014000A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24B5E" w:rsidRPr="00436238" w:rsidRDefault="00824B5E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UFC910096 </w:t>
            </w:r>
          </w:p>
        </w:tc>
      </w:tr>
      <w:tr w:rsidR="00C17F02" w:rsidRPr="00436238" w:rsidTr="0071103D">
        <w:tc>
          <w:tcPr>
            <w:tcW w:w="3397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Bovine serum albumin (BSA)</w:t>
            </w:r>
          </w:p>
        </w:tc>
        <w:tc>
          <w:tcPr>
            <w:tcW w:w="2978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GRM3151-100G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DAPI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D3571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GW280264X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Medchem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express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HY-115670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Fluoromount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-G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SouthernBiotech</w:t>
            </w:r>
            <w:proofErr w:type="spellEnd"/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0100-01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RIPA buffer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TCL131</w:t>
            </w:r>
          </w:p>
        </w:tc>
      </w:tr>
      <w:tr w:rsidR="00C17F02" w:rsidRPr="00436238" w:rsidTr="0071103D">
        <w:tc>
          <w:tcPr>
            <w:tcW w:w="3397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PBS</w:t>
            </w:r>
          </w:p>
        </w:tc>
        <w:tc>
          <w:tcPr>
            <w:tcW w:w="2978" w:type="dxa"/>
            <w:vAlign w:val="bottom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C17F02" w:rsidRPr="00436238" w:rsidRDefault="00C17F0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ML023-500ML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Protease inhibitor cocktail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ML051-1ML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Prestained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ladder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41" w:type="dxa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MBT092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Polyvinylidene difluoride membranes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Merck Millipore </w:t>
            </w:r>
          </w:p>
        </w:tc>
        <w:tc>
          <w:tcPr>
            <w:tcW w:w="2641" w:type="dxa"/>
          </w:tcPr>
          <w:p w:rsidR="0014000A" w:rsidRPr="00436238" w:rsidRDefault="0014000A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IPVH00010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5x loading buffer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ML021-6ML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Super Signal West </w:t>
            </w: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Femto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Chemiluminescent Substrate kit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71103D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Thermo</w:t>
            </w:r>
            <w:proofErr w:type="spellEnd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Fisher Scientific</w:t>
            </w:r>
          </w:p>
        </w:tc>
        <w:tc>
          <w:tcPr>
            <w:tcW w:w="2641" w:type="dxa"/>
          </w:tcPr>
          <w:p w:rsidR="00C30187" w:rsidRPr="00436238" w:rsidRDefault="00C30187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34095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Trypticase soy agar plates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Becton, Dickinson and Company; BD </w:t>
            </w:r>
          </w:p>
        </w:tc>
        <w:tc>
          <w:tcPr>
            <w:tcW w:w="2641" w:type="dxa"/>
          </w:tcPr>
          <w:p w:rsidR="00C30187" w:rsidRPr="00436238" w:rsidRDefault="00C30187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221261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Brucella broth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BD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211088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Paraformaldehyde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Sigma-Aldrich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P6148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300 mesh copper grids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Electron Microscopy Sciences; </w:t>
            </w: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EMS </w:t>
            </w:r>
          </w:p>
        </w:tc>
        <w:tc>
          <w:tcPr>
            <w:tcW w:w="2641" w:type="dxa"/>
          </w:tcPr>
          <w:p w:rsidR="0014000A" w:rsidRPr="00436238" w:rsidRDefault="0014000A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CF300-Cu-50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Uranyl acetate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EMS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22405</w:t>
            </w:r>
          </w:p>
        </w:tc>
      </w:tr>
      <w:tr w:rsidR="008D0555" w:rsidRPr="00436238" w:rsidTr="0071103D">
        <w:tc>
          <w:tcPr>
            <w:tcW w:w="3397" w:type="dxa"/>
            <w:vAlign w:val="bottom"/>
          </w:tcPr>
          <w:p w:rsidR="008D0555" w:rsidRPr="00436238" w:rsidRDefault="008D0555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16456">
              <w:rPr>
                <w:rFonts w:ascii="Arial" w:hAnsi="Arial" w:cs="Arial"/>
                <w:i/>
                <w:color w:val="000000"/>
                <w:sz w:val="20"/>
                <w:szCs w:val="20"/>
              </w:rPr>
              <w:t>phL1A</w:t>
            </w: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-pcDNA3</w:t>
            </w:r>
          </w:p>
        </w:tc>
        <w:tc>
          <w:tcPr>
            <w:tcW w:w="2978" w:type="dxa"/>
            <w:vAlign w:val="bottom"/>
          </w:tcPr>
          <w:p w:rsidR="008D0555" w:rsidRPr="00436238" w:rsidRDefault="008D0555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Addgene</w:t>
            </w:r>
            <w:proofErr w:type="spellEnd"/>
          </w:p>
        </w:tc>
        <w:tc>
          <w:tcPr>
            <w:tcW w:w="2641" w:type="dxa"/>
          </w:tcPr>
          <w:p w:rsidR="008D0555" w:rsidRPr="00436238" w:rsidRDefault="008D0555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12307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control siRNA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Santa Cruz Biotechnology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sc-37007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B16456">
              <w:rPr>
                <w:rFonts w:ascii="Arial" w:hAnsi="Arial" w:cs="Arial"/>
                <w:i/>
                <w:color w:val="000000"/>
                <w:sz w:val="20"/>
                <w:szCs w:val="20"/>
              </w:rPr>
              <w:t>NCAM-L1</w:t>
            </w: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 xml:space="preserve"> siRNA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Santa Cruz Biotechnology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sc-43172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G418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Sigma-Aldrich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G8168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Lipofectamine 3000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L3000001</w:t>
            </w:r>
          </w:p>
        </w:tc>
      </w:tr>
      <w:tr w:rsidR="00B404D2" w:rsidRPr="00436238" w:rsidTr="0071103D">
        <w:tc>
          <w:tcPr>
            <w:tcW w:w="3397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crystal violet solution</w:t>
            </w:r>
          </w:p>
        </w:tc>
        <w:tc>
          <w:tcPr>
            <w:tcW w:w="2978" w:type="dxa"/>
            <w:vAlign w:val="bottom"/>
          </w:tcPr>
          <w:p w:rsidR="00B404D2" w:rsidRPr="00436238" w:rsidRDefault="00B404D2" w:rsidP="00B404D2">
            <w:pPr>
              <w:spacing w:line="48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HiMedia</w:t>
            </w:r>
            <w:proofErr w:type="spellEnd"/>
          </w:p>
        </w:tc>
        <w:tc>
          <w:tcPr>
            <w:tcW w:w="2641" w:type="dxa"/>
          </w:tcPr>
          <w:p w:rsidR="00B404D2" w:rsidRPr="00436238" w:rsidRDefault="0071103D" w:rsidP="00B404D2">
            <w:pPr>
              <w:spacing w:line="48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6238">
              <w:rPr>
                <w:rFonts w:ascii="Arial" w:hAnsi="Arial" w:cs="Arial"/>
                <w:color w:val="000000"/>
                <w:sz w:val="20"/>
                <w:szCs w:val="20"/>
              </w:rPr>
              <w:t>S012</w:t>
            </w:r>
          </w:p>
        </w:tc>
      </w:tr>
    </w:tbl>
    <w:p w:rsidR="00065282" w:rsidRPr="00436238" w:rsidRDefault="00065282" w:rsidP="00D15CFF">
      <w:pPr>
        <w:spacing w:after="0" w:line="480" w:lineRule="auto"/>
        <w:jc w:val="both"/>
        <w:rPr>
          <w:rFonts w:ascii="Arial" w:hAnsi="Arial" w:cs="Arial"/>
          <w:bCs/>
          <w:color w:val="000000" w:themeColor="text1"/>
          <w:sz w:val="20"/>
          <w:szCs w:val="20"/>
          <w:lang w:val="en-US"/>
        </w:rPr>
      </w:pPr>
    </w:p>
    <w:p w:rsidR="0071103D" w:rsidRPr="00436238" w:rsidRDefault="0071103D" w:rsidP="0071103D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36238">
        <w:rPr>
          <w:rFonts w:ascii="Arial" w:hAnsi="Arial" w:cs="Arial"/>
          <w:b/>
          <w:bCs/>
          <w:sz w:val="24"/>
          <w:szCs w:val="24"/>
        </w:rPr>
        <w:t>Table S2: List of antibodies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3686"/>
        <w:gridCol w:w="3634"/>
      </w:tblGrid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b/>
                <w:bCs/>
                <w:sz w:val="20"/>
                <w:szCs w:val="20"/>
              </w:rPr>
              <w:t>Antibodies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b/>
                <w:bCs/>
                <w:sz w:val="20"/>
                <w:szCs w:val="20"/>
              </w:rPr>
              <w:t>Manufacturer (Cat. Number)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b/>
                <w:bCs/>
                <w:sz w:val="20"/>
                <w:szCs w:val="20"/>
              </w:rPr>
              <w:t>Application (Working dilution)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GAPDH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Abgenex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(10-10011)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ALIX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Santa Cruz Biotechnology (sc-53540)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HSPA8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Cell Signalling Technology (1:1000)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GM130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Novus Biologicals (NBP2-53420)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L1CAM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Abcam (ab24345)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&amp; IF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E-cadherin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Cell Signalling Technology (3195)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N-cadherin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Cell Signalling Technology (13116)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Snail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Cell Signalling Technology (3879)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Twist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Santa Cruz Biotechnology (sc-81417)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Integrin αV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ABclonal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(A2091)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(1:2000) &amp; IF (1:100)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Integrin α5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ABclonal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(A19069)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Integrin β1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ABclonal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(A23497)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(1:10000) &amp; IF (1:400)</w:t>
            </w:r>
          </w:p>
        </w:tc>
      </w:tr>
      <w:tr w:rsidR="0071103D" w:rsidRPr="00436238" w:rsidTr="00E416B3">
        <w:tc>
          <w:tcPr>
            <w:tcW w:w="169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Integrin β3</w:t>
            </w:r>
          </w:p>
        </w:tc>
        <w:tc>
          <w:tcPr>
            <w:tcW w:w="3686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Santa Cruz Biotechnology (sc-46655)</w:t>
            </w:r>
          </w:p>
        </w:tc>
        <w:tc>
          <w:tcPr>
            <w:tcW w:w="3634" w:type="dxa"/>
          </w:tcPr>
          <w:p w:rsidR="0071103D" w:rsidRPr="00436238" w:rsidRDefault="0071103D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ADAM10</w:t>
            </w:r>
          </w:p>
        </w:tc>
        <w:tc>
          <w:tcPr>
            <w:tcW w:w="3686" w:type="dxa"/>
          </w:tcPr>
          <w:p w:rsidR="00B16456" w:rsidRPr="00436238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ABclonal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(A25167)</w:t>
            </w:r>
          </w:p>
        </w:tc>
        <w:tc>
          <w:tcPr>
            <w:tcW w:w="3634" w:type="dxa"/>
          </w:tcPr>
          <w:p w:rsidR="00B16456" w:rsidRPr="00436238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ADAM17</w:t>
            </w:r>
          </w:p>
        </w:tc>
        <w:tc>
          <w:tcPr>
            <w:tcW w:w="3686" w:type="dxa"/>
          </w:tcPr>
          <w:p w:rsidR="00B16456" w:rsidRPr="00436238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ABclonal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(A0821)</w:t>
            </w:r>
          </w:p>
        </w:tc>
        <w:tc>
          <w:tcPr>
            <w:tcW w:w="3634" w:type="dxa"/>
          </w:tcPr>
          <w:p w:rsidR="00B16456" w:rsidRPr="00E416B3" w:rsidRDefault="00B16456" w:rsidP="0071241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(1:1000)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Anti-mouse</w:t>
            </w:r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 xml:space="preserve">Cell </w:t>
            </w: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Signaling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(7076S)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Anti-rabbit</w:t>
            </w:r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 xml:space="preserve">Cell </w:t>
            </w: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t>Signaling</w:t>
            </w:r>
            <w:proofErr w:type="spellEnd"/>
            <w:r w:rsidRPr="00436238">
              <w:rPr>
                <w:rFonts w:ascii="Arial" w:hAnsi="Arial" w:cs="Arial"/>
                <w:sz w:val="20"/>
                <w:szCs w:val="20"/>
              </w:rPr>
              <w:t xml:space="preserve"> Technology (7074S)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Western blotting (1:2000)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36238">
              <w:rPr>
                <w:rFonts w:ascii="Arial" w:hAnsi="Arial" w:cs="Arial"/>
                <w:sz w:val="20"/>
                <w:szCs w:val="20"/>
              </w:rPr>
              <w:lastRenderedPageBreak/>
              <w:t>EpCAM</w:t>
            </w:r>
            <w:proofErr w:type="spellEnd"/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Abcam (ab71916)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IF (1:160)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Ki67</w:t>
            </w:r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Abcam (ab15580)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IF (0.5µg/ml)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Alexa Fluor 488</w:t>
            </w:r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Invitrogen (A11055)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IF (1:2000)</w:t>
            </w:r>
          </w:p>
        </w:tc>
      </w:tr>
      <w:tr w:rsidR="00B16456" w:rsidRPr="00436238" w:rsidTr="00E416B3">
        <w:tc>
          <w:tcPr>
            <w:tcW w:w="169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Alexa Fluor 594</w:t>
            </w:r>
          </w:p>
        </w:tc>
        <w:tc>
          <w:tcPr>
            <w:tcW w:w="3686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Invitrogen (A21201)</w:t>
            </w:r>
          </w:p>
        </w:tc>
        <w:tc>
          <w:tcPr>
            <w:tcW w:w="3634" w:type="dxa"/>
          </w:tcPr>
          <w:p w:rsidR="00B16456" w:rsidRPr="00436238" w:rsidRDefault="00B16456" w:rsidP="00E416B3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36238">
              <w:rPr>
                <w:rFonts w:ascii="Arial" w:hAnsi="Arial" w:cs="Arial"/>
                <w:sz w:val="20"/>
                <w:szCs w:val="20"/>
              </w:rPr>
              <w:t>IF (1:2000)</w:t>
            </w:r>
          </w:p>
        </w:tc>
      </w:tr>
    </w:tbl>
    <w:p w:rsidR="00333E7C" w:rsidRPr="006369DA" w:rsidRDefault="00333E7C" w:rsidP="006369DA">
      <w:pPr>
        <w:spacing w:after="0" w:line="480" w:lineRule="auto"/>
        <w:jc w:val="both"/>
      </w:pPr>
    </w:p>
    <w:sectPr w:rsidR="00333E7C" w:rsidRPr="006369DA" w:rsidSect="009D0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87002" w:rsidRDefault="00687002" w:rsidP="006D7465">
      <w:pPr>
        <w:spacing w:after="0" w:line="240" w:lineRule="auto"/>
      </w:pPr>
      <w:r>
        <w:separator/>
      </w:r>
    </w:p>
  </w:endnote>
  <w:endnote w:type="continuationSeparator" w:id="0">
    <w:p w:rsidR="00687002" w:rsidRDefault="00687002" w:rsidP="006D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87002" w:rsidRDefault="00687002" w:rsidP="006D7465">
      <w:pPr>
        <w:spacing w:after="0" w:line="240" w:lineRule="auto"/>
      </w:pPr>
      <w:r>
        <w:separator/>
      </w:r>
    </w:p>
  </w:footnote>
  <w:footnote w:type="continuationSeparator" w:id="0">
    <w:p w:rsidR="00687002" w:rsidRDefault="00687002" w:rsidP="006D74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10D"/>
    <w:rsid w:val="000270BC"/>
    <w:rsid w:val="00037DC5"/>
    <w:rsid w:val="00065282"/>
    <w:rsid w:val="000671FB"/>
    <w:rsid w:val="000D1D6F"/>
    <w:rsid w:val="00121A6D"/>
    <w:rsid w:val="001302AE"/>
    <w:rsid w:val="0014000A"/>
    <w:rsid w:val="00140E72"/>
    <w:rsid w:val="001953AD"/>
    <w:rsid w:val="001A6A46"/>
    <w:rsid w:val="001F1AB4"/>
    <w:rsid w:val="001F4A5F"/>
    <w:rsid w:val="00210BB6"/>
    <w:rsid w:val="002524D5"/>
    <w:rsid w:val="00280D87"/>
    <w:rsid w:val="00284083"/>
    <w:rsid w:val="002E4643"/>
    <w:rsid w:val="00301CD4"/>
    <w:rsid w:val="0031510D"/>
    <w:rsid w:val="003264FC"/>
    <w:rsid w:val="00327DF6"/>
    <w:rsid w:val="00333E7C"/>
    <w:rsid w:val="0035181F"/>
    <w:rsid w:val="003628B5"/>
    <w:rsid w:val="00386438"/>
    <w:rsid w:val="003E1791"/>
    <w:rsid w:val="00425918"/>
    <w:rsid w:val="0042606E"/>
    <w:rsid w:val="00436238"/>
    <w:rsid w:val="0044024B"/>
    <w:rsid w:val="00472CEB"/>
    <w:rsid w:val="004931EA"/>
    <w:rsid w:val="004A659C"/>
    <w:rsid w:val="004E3778"/>
    <w:rsid w:val="004F2C8E"/>
    <w:rsid w:val="004F2FFD"/>
    <w:rsid w:val="005C711B"/>
    <w:rsid w:val="005D16F1"/>
    <w:rsid w:val="005E4D30"/>
    <w:rsid w:val="006031CE"/>
    <w:rsid w:val="00615EC2"/>
    <w:rsid w:val="006369DA"/>
    <w:rsid w:val="00687002"/>
    <w:rsid w:val="006D21FE"/>
    <w:rsid w:val="006D505A"/>
    <w:rsid w:val="006D7465"/>
    <w:rsid w:val="006E4324"/>
    <w:rsid w:val="007004A8"/>
    <w:rsid w:val="0071103D"/>
    <w:rsid w:val="0071551B"/>
    <w:rsid w:val="007410C3"/>
    <w:rsid w:val="007444F5"/>
    <w:rsid w:val="007721F4"/>
    <w:rsid w:val="00802C24"/>
    <w:rsid w:val="00822C92"/>
    <w:rsid w:val="00824B5E"/>
    <w:rsid w:val="008648EA"/>
    <w:rsid w:val="00871334"/>
    <w:rsid w:val="0087720A"/>
    <w:rsid w:val="00883953"/>
    <w:rsid w:val="008D0555"/>
    <w:rsid w:val="008D1B23"/>
    <w:rsid w:val="009C41AF"/>
    <w:rsid w:val="009C7028"/>
    <w:rsid w:val="009D0CF5"/>
    <w:rsid w:val="009D20AE"/>
    <w:rsid w:val="009F18C0"/>
    <w:rsid w:val="00A30C31"/>
    <w:rsid w:val="00A40C3B"/>
    <w:rsid w:val="00A705D9"/>
    <w:rsid w:val="00A7336F"/>
    <w:rsid w:val="00A81EA2"/>
    <w:rsid w:val="00A8212B"/>
    <w:rsid w:val="00AC3DE8"/>
    <w:rsid w:val="00AC6B9B"/>
    <w:rsid w:val="00B03BD6"/>
    <w:rsid w:val="00B15941"/>
    <w:rsid w:val="00B16456"/>
    <w:rsid w:val="00B404D2"/>
    <w:rsid w:val="00B65BD9"/>
    <w:rsid w:val="00BA6C89"/>
    <w:rsid w:val="00BB240B"/>
    <w:rsid w:val="00BB3B2E"/>
    <w:rsid w:val="00C00F7F"/>
    <w:rsid w:val="00C17F02"/>
    <w:rsid w:val="00C30187"/>
    <w:rsid w:val="00C32B73"/>
    <w:rsid w:val="00C57093"/>
    <w:rsid w:val="00C85870"/>
    <w:rsid w:val="00C93CF4"/>
    <w:rsid w:val="00CA04F1"/>
    <w:rsid w:val="00CA3A30"/>
    <w:rsid w:val="00CB333F"/>
    <w:rsid w:val="00CE7E70"/>
    <w:rsid w:val="00D151B1"/>
    <w:rsid w:val="00D15CFF"/>
    <w:rsid w:val="00D25149"/>
    <w:rsid w:val="00D413BA"/>
    <w:rsid w:val="00D438A0"/>
    <w:rsid w:val="00D802C4"/>
    <w:rsid w:val="00D957C3"/>
    <w:rsid w:val="00DE12E2"/>
    <w:rsid w:val="00DE32C8"/>
    <w:rsid w:val="00DF2EC2"/>
    <w:rsid w:val="00DF3C00"/>
    <w:rsid w:val="00E00AE5"/>
    <w:rsid w:val="00E416B3"/>
    <w:rsid w:val="00E41C6E"/>
    <w:rsid w:val="00E625E0"/>
    <w:rsid w:val="00E630C8"/>
    <w:rsid w:val="00E76E09"/>
    <w:rsid w:val="00E901A5"/>
    <w:rsid w:val="00EA5676"/>
    <w:rsid w:val="00EA56DE"/>
    <w:rsid w:val="00EB4F4C"/>
    <w:rsid w:val="00EF7BBD"/>
    <w:rsid w:val="00F1180B"/>
    <w:rsid w:val="00F242EA"/>
    <w:rsid w:val="00F5434A"/>
    <w:rsid w:val="00F94731"/>
    <w:rsid w:val="00FE4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B5E2C"/>
  <w15:docId w15:val="{AC8A24C5-3D58-394E-9958-F465ED6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746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7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65"/>
  </w:style>
  <w:style w:type="paragraph" w:styleId="Footer">
    <w:name w:val="footer"/>
    <w:basedOn w:val="Normal"/>
    <w:link w:val="FooterChar"/>
    <w:uiPriority w:val="99"/>
    <w:unhideWhenUsed/>
    <w:rsid w:val="006D74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465"/>
  </w:style>
  <w:style w:type="paragraph" w:styleId="NormalWeb">
    <w:name w:val="Normal (Web)"/>
    <w:basedOn w:val="Normal"/>
    <w:uiPriority w:val="99"/>
    <w:semiHidden/>
    <w:unhideWhenUsed/>
    <w:rsid w:val="00772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326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E37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teinatlas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imer.cistrome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epia2.cancer-pku.cn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tring-d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INDRAJIT POIRAH</dc:creator>
  <cp:keywords/>
  <dc:description/>
  <cp:lastModifiedBy>Microsoft Office User</cp:lastModifiedBy>
  <cp:revision>6</cp:revision>
  <dcterms:created xsi:type="dcterms:W3CDTF">2026-06-12T20:28:00Z</dcterms:created>
  <dcterms:modified xsi:type="dcterms:W3CDTF">2026-07-18T15:25:00Z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8a52a23c-db9d-4c41-89bb-536825909833</vt:lpwstr>
  </property>
</Properties>
</file>