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795E0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Supplementary Tables</w:t>
      </w:r>
    </w:p>
    <w:p w14:paraId="49AD9129">
      <w:pPr>
        <w:spacing w:line="360" w:lineRule="auto"/>
        <w:jc w:val="center"/>
        <w:rPr>
          <w:b/>
        </w:rPr>
      </w:pPr>
      <w:r>
        <w:rPr>
          <w:b/>
        </w:rPr>
        <w:t xml:space="preserve">Supplementary </w:t>
      </w:r>
      <w:r>
        <w:rPr>
          <w:rFonts w:hint="eastAsia"/>
          <w:b/>
        </w:rPr>
        <w:t>Table 1.</w:t>
      </w:r>
    </w:p>
    <w:p w14:paraId="22A6A31E">
      <w:pPr>
        <w:spacing w:line="360" w:lineRule="auto"/>
        <w:jc w:val="center"/>
        <w:rPr>
          <w:b/>
        </w:rPr>
      </w:pPr>
      <w:r>
        <w:rPr>
          <w:rFonts w:hint="eastAsia"/>
          <w:b/>
        </w:rPr>
        <w:t xml:space="preserve">Table S1. </w:t>
      </w:r>
      <w:r>
        <w:rPr>
          <w:b/>
        </w:rPr>
        <w:t>Primers for qRT-PCR detection</w:t>
      </w:r>
      <w:r>
        <w:rPr>
          <w:rFonts w:hint="eastAsia"/>
          <w:b/>
        </w:rPr>
        <w:t>.</w:t>
      </w:r>
    </w:p>
    <w:tbl>
      <w:tblPr>
        <w:tblStyle w:val="8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76"/>
        <w:gridCol w:w="3969"/>
        <w:gridCol w:w="1893"/>
      </w:tblGrid>
      <w:tr w14:paraId="242BC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  <w:bottom w:val="single" w:color="auto" w:sz="4" w:space="0"/>
            </w:tcBorders>
          </w:tcPr>
          <w:p w14:paraId="6DCC8BD7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Gene Name</w:t>
            </w: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</w:tcPr>
          <w:p w14:paraId="5B1D9E0E">
            <w:pPr>
              <w:spacing w:line="360" w:lineRule="auto"/>
              <w:jc w:val="center"/>
              <w:rPr>
                <w:rFonts w:cs="Times New Roman"/>
                <w:b/>
                <w:szCs w:val="21"/>
              </w:rPr>
            </w:pPr>
            <w:r>
              <w:rPr>
                <w:rFonts w:cs="Times New Roman"/>
                <w:b/>
                <w:sz w:val="21"/>
                <w:szCs w:val="21"/>
              </w:rPr>
              <w:t>Gene ID (NCBI)</w:t>
            </w:r>
          </w:p>
        </w:tc>
        <w:tc>
          <w:tcPr>
            <w:tcW w:w="3969" w:type="dxa"/>
            <w:tcBorders>
              <w:top w:val="single" w:color="auto" w:sz="4" w:space="0"/>
              <w:bottom w:val="single" w:color="auto" w:sz="4" w:space="0"/>
            </w:tcBorders>
          </w:tcPr>
          <w:p w14:paraId="1A456F1B">
            <w:pPr>
              <w:spacing w:line="360" w:lineRule="auto"/>
              <w:jc w:val="center"/>
              <w:rPr>
                <w:rFonts w:cs="Times New Roman"/>
                <w:b/>
                <w:szCs w:val="21"/>
                <w:shd w:val="clear" w:color="auto" w:fill="FFFFFF"/>
              </w:rPr>
            </w:pPr>
            <w:r>
              <w:rPr>
                <w:rFonts w:cs="Times New Roman"/>
                <w:b/>
                <w:sz w:val="21"/>
                <w:szCs w:val="21"/>
                <w:shd w:val="clear" w:color="auto" w:fill="FFFFFF"/>
              </w:rPr>
              <w:t>Primer Sequence</w:t>
            </w:r>
            <w:r>
              <w:rPr>
                <w:rFonts w:hint="eastAsia" w:cs="Times New Roman"/>
                <w:b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cs="Times New Roman"/>
                <w:b/>
                <w:sz w:val="21"/>
                <w:szCs w:val="21"/>
                <w:shd w:val="clear" w:color="auto" w:fill="FFFFFF"/>
              </w:rPr>
              <w:t>(5’ → 3’)</w:t>
            </w:r>
          </w:p>
        </w:tc>
        <w:tc>
          <w:tcPr>
            <w:tcW w:w="1893" w:type="dxa"/>
            <w:tcBorders>
              <w:top w:val="single" w:color="auto" w:sz="4" w:space="0"/>
              <w:bottom w:val="single" w:color="auto" w:sz="4" w:space="0"/>
            </w:tcBorders>
          </w:tcPr>
          <w:p w14:paraId="74C4277C">
            <w:pPr>
              <w:spacing w:line="360" w:lineRule="auto"/>
              <w:jc w:val="center"/>
              <w:rPr>
                <w:rFonts w:eastAsia="宋体" w:cs="Times New Roman"/>
                <w:b/>
                <w:bCs/>
                <w:szCs w:val="21"/>
              </w:rPr>
            </w:pPr>
            <w:r>
              <w:rPr>
                <w:rFonts w:cs="Times New Roman"/>
                <w:b/>
                <w:bCs/>
                <w:sz w:val="21"/>
                <w:szCs w:val="21"/>
              </w:rPr>
              <w:t>Product Size (bp)</w:t>
            </w:r>
          </w:p>
        </w:tc>
      </w:tr>
      <w:tr w14:paraId="762B0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top w:val="single" w:color="auto" w:sz="4" w:space="0"/>
            </w:tcBorders>
          </w:tcPr>
          <w:p w14:paraId="3E94DC53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Gapdh</w:t>
            </w:r>
          </w:p>
        </w:tc>
        <w:tc>
          <w:tcPr>
            <w:tcW w:w="1276" w:type="dxa"/>
            <w:tcBorders>
              <w:top w:val="single" w:color="auto" w:sz="4" w:space="0"/>
            </w:tcBorders>
          </w:tcPr>
          <w:p w14:paraId="6FD5284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317743</w:t>
            </w:r>
          </w:p>
        </w:tc>
        <w:tc>
          <w:tcPr>
            <w:tcW w:w="3969" w:type="dxa"/>
            <w:tcBorders>
              <w:top w:val="single" w:color="auto" w:sz="4" w:space="0"/>
            </w:tcBorders>
          </w:tcPr>
          <w:p w14:paraId="5F771A9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Fw: </w:t>
            </w:r>
            <w:r>
              <w:rPr>
                <w:sz w:val="21"/>
                <w:szCs w:val="21"/>
              </w:rPr>
              <w:t>AGGTCGGTGTGAACGGATTTG</w:t>
            </w:r>
          </w:p>
          <w:p w14:paraId="7744C562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GGGGTCGTTGATGGCAACA</w:t>
            </w:r>
          </w:p>
        </w:tc>
        <w:tc>
          <w:tcPr>
            <w:tcW w:w="1893" w:type="dxa"/>
            <w:tcBorders>
              <w:top w:val="single" w:color="auto" w:sz="4" w:space="0"/>
            </w:tcBorders>
          </w:tcPr>
          <w:p w14:paraId="2455445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95</w:t>
            </w:r>
          </w:p>
        </w:tc>
      </w:tr>
      <w:tr w14:paraId="5786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C41B537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Mettl3</w:t>
            </w:r>
          </w:p>
        </w:tc>
        <w:tc>
          <w:tcPr>
            <w:tcW w:w="1276" w:type="dxa"/>
          </w:tcPr>
          <w:p w14:paraId="2FD1FD16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56335</w:t>
            </w:r>
          </w:p>
        </w:tc>
        <w:tc>
          <w:tcPr>
            <w:tcW w:w="3969" w:type="dxa"/>
          </w:tcPr>
          <w:p w14:paraId="25E70372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CTGGGCACTTGGATTTAAGGAA</w:t>
            </w:r>
          </w:p>
          <w:p w14:paraId="2A7BE6B6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TGAGAGGTGGTGTAGCAACTT</w:t>
            </w:r>
          </w:p>
        </w:tc>
        <w:tc>
          <w:tcPr>
            <w:tcW w:w="1893" w:type="dxa"/>
          </w:tcPr>
          <w:p w14:paraId="6E4E93BB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173</w:t>
            </w:r>
          </w:p>
        </w:tc>
      </w:tr>
      <w:tr w14:paraId="4624A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68F3D81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Spp1</w:t>
            </w:r>
          </w:p>
        </w:tc>
        <w:tc>
          <w:tcPr>
            <w:tcW w:w="1276" w:type="dxa"/>
          </w:tcPr>
          <w:p w14:paraId="5037626B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20750</w:t>
            </w:r>
          </w:p>
        </w:tc>
        <w:tc>
          <w:tcPr>
            <w:tcW w:w="3969" w:type="dxa"/>
          </w:tcPr>
          <w:p w14:paraId="77C77391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AGCAAGAAACTCTTCCAAGCAA</w:t>
            </w:r>
          </w:p>
          <w:p w14:paraId="39A97391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TGAGATTCGTCAGATTCATCCG</w:t>
            </w:r>
          </w:p>
        </w:tc>
        <w:tc>
          <w:tcPr>
            <w:tcW w:w="1893" w:type="dxa"/>
          </w:tcPr>
          <w:p w14:paraId="34C35F1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134</w:t>
            </w:r>
          </w:p>
        </w:tc>
      </w:tr>
      <w:tr w14:paraId="7024D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677B645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Kat2a</w:t>
            </w:r>
          </w:p>
        </w:tc>
        <w:tc>
          <w:tcPr>
            <w:tcW w:w="1276" w:type="dxa"/>
          </w:tcPr>
          <w:p w14:paraId="39982EE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14534</w:t>
            </w:r>
          </w:p>
        </w:tc>
        <w:tc>
          <w:tcPr>
            <w:tcW w:w="3969" w:type="dxa"/>
          </w:tcPr>
          <w:p w14:paraId="1E4C832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AAGGCCAATGAAACCTGCAAG</w:t>
            </w:r>
          </w:p>
          <w:p w14:paraId="785129B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CTCACAGCTACGGCACAACTC</w:t>
            </w:r>
          </w:p>
        </w:tc>
        <w:tc>
          <w:tcPr>
            <w:tcW w:w="1893" w:type="dxa"/>
          </w:tcPr>
          <w:p w14:paraId="5CBA3F8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117</w:t>
            </w:r>
          </w:p>
        </w:tc>
      </w:tr>
      <w:tr w14:paraId="59340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070A89B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Kat2b</w:t>
            </w:r>
          </w:p>
        </w:tc>
        <w:tc>
          <w:tcPr>
            <w:tcW w:w="1276" w:type="dxa"/>
          </w:tcPr>
          <w:p w14:paraId="0D0124D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18519</w:t>
            </w:r>
          </w:p>
        </w:tc>
        <w:tc>
          <w:tcPr>
            <w:tcW w:w="3969" w:type="dxa"/>
          </w:tcPr>
          <w:p w14:paraId="7FEF2079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GAAGCCGCCATTTGAGAAGC</w:t>
            </w:r>
          </w:p>
          <w:p w14:paraId="13BDB008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AGTTGATGCGGTTCAGAAACA</w:t>
            </w:r>
          </w:p>
        </w:tc>
        <w:tc>
          <w:tcPr>
            <w:tcW w:w="1893" w:type="dxa"/>
          </w:tcPr>
          <w:p w14:paraId="6F16CFF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134</w:t>
            </w:r>
          </w:p>
        </w:tc>
      </w:tr>
      <w:tr w14:paraId="2EB3E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C7FA73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Crebbp</w:t>
            </w:r>
          </w:p>
        </w:tc>
        <w:tc>
          <w:tcPr>
            <w:tcW w:w="1276" w:type="dxa"/>
          </w:tcPr>
          <w:p w14:paraId="083F0A1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12914</w:t>
            </w:r>
          </w:p>
        </w:tc>
        <w:tc>
          <w:tcPr>
            <w:tcW w:w="3969" w:type="dxa"/>
          </w:tcPr>
          <w:p w14:paraId="757268F8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GGCTTCTCCGCGAATGACAA</w:t>
            </w:r>
          </w:p>
          <w:p w14:paraId="4131EBC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GTTTGGACGCAGCATCTGGA</w:t>
            </w:r>
          </w:p>
        </w:tc>
        <w:tc>
          <w:tcPr>
            <w:tcW w:w="1893" w:type="dxa"/>
          </w:tcPr>
          <w:p w14:paraId="332F0A8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136</w:t>
            </w:r>
          </w:p>
        </w:tc>
      </w:tr>
      <w:tr w14:paraId="3BBE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7271572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Ep300</w:t>
            </w:r>
          </w:p>
        </w:tc>
        <w:tc>
          <w:tcPr>
            <w:tcW w:w="1276" w:type="dxa"/>
          </w:tcPr>
          <w:p w14:paraId="416E81A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328572</w:t>
            </w:r>
          </w:p>
        </w:tc>
        <w:tc>
          <w:tcPr>
            <w:tcW w:w="3969" w:type="dxa"/>
          </w:tcPr>
          <w:p w14:paraId="47705881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AGCCAAGCGGCCTAAACTC</w:t>
            </w:r>
          </w:p>
          <w:p w14:paraId="3C00243B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CGCCACCATTGGTTAGTCCC</w:t>
            </w:r>
          </w:p>
        </w:tc>
        <w:tc>
          <w:tcPr>
            <w:tcW w:w="1893" w:type="dxa"/>
          </w:tcPr>
          <w:p w14:paraId="6C7ABD5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143</w:t>
            </w:r>
          </w:p>
        </w:tc>
      </w:tr>
      <w:tr w14:paraId="67655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9F0466E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Kat5</w:t>
            </w:r>
          </w:p>
        </w:tc>
        <w:tc>
          <w:tcPr>
            <w:tcW w:w="1276" w:type="dxa"/>
          </w:tcPr>
          <w:p w14:paraId="61CA907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81601</w:t>
            </w:r>
          </w:p>
        </w:tc>
        <w:tc>
          <w:tcPr>
            <w:tcW w:w="3969" w:type="dxa"/>
          </w:tcPr>
          <w:p w14:paraId="331559B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TCCCGGTCCAGATCACACTC</w:t>
            </w:r>
          </w:p>
          <w:p w14:paraId="55204ABA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ACCTTCCGTTTCGTTGAGCG</w:t>
            </w:r>
          </w:p>
        </w:tc>
        <w:tc>
          <w:tcPr>
            <w:tcW w:w="1893" w:type="dxa"/>
          </w:tcPr>
          <w:p w14:paraId="52DF9BB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130</w:t>
            </w:r>
          </w:p>
        </w:tc>
      </w:tr>
      <w:tr w14:paraId="58FC0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692BEE1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Kat6a</w:t>
            </w:r>
          </w:p>
        </w:tc>
        <w:tc>
          <w:tcPr>
            <w:tcW w:w="1276" w:type="dxa"/>
          </w:tcPr>
          <w:p w14:paraId="36B18D76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244349</w:t>
            </w:r>
          </w:p>
        </w:tc>
        <w:tc>
          <w:tcPr>
            <w:tcW w:w="3969" w:type="dxa"/>
          </w:tcPr>
          <w:p w14:paraId="548CCBE5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CCTCGTGCATTGGCTGTTC</w:t>
            </w:r>
          </w:p>
          <w:p w14:paraId="3876FCD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TCATGGCATTCAAGGTGTTCAT</w:t>
            </w:r>
          </w:p>
        </w:tc>
        <w:tc>
          <w:tcPr>
            <w:tcW w:w="1893" w:type="dxa"/>
          </w:tcPr>
          <w:p w14:paraId="47CE861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106</w:t>
            </w:r>
          </w:p>
        </w:tc>
      </w:tr>
      <w:tr w14:paraId="7E280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7C0B0A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Kat6b</w:t>
            </w:r>
          </w:p>
        </w:tc>
        <w:tc>
          <w:tcPr>
            <w:tcW w:w="1276" w:type="dxa"/>
          </w:tcPr>
          <w:p w14:paraId="1645C0D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54169</w:t>
            </w:r>
          </w:p>
        </w:tc>
        <w:tc>
          <w:tcPr>
            <w:tcW w:w="3969" w:type="dxa"/>
          </w:tcPr>
          <w:p w14:paraId="0D0417E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AGAAGAAAAGGGGTCGTAAACG</w:t>
            </w:r>
          </w:p>
          <w:p w14:paraId="7116C9CB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GTGGGAATGCTTTCCTCAGAA</w:t>
            </w:r>
          </w:p>
        </w:tc>
        <w:tc>
          <w:tcPr>
            <w:tcW w:w="1893" w:type="dxa"/>
          </w:tcPr>
          <w:p w14:paraId="124863C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195</w:t>
            </w:r>
          </w:p>
        </w:tc>
      </w:tr>
      <w:tr w14:paraId="6358C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FFFB5C7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Kat7</w:t>
            </w:r>
          </w:p>
        </w:tc>
        <w:tc>
          <w:tcPr>
            <w:tcW w:w="1276" w:type="dxa"/>
          </w:tcPr>
          <w:p w14:paraId="6FED8EB2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217127</w:t>
            </w:r>
          </w:p>
        </w:tc>
        <w:tc>
          <w:tcPr>
            <w:tcW w:w="3969" w:type="dxa"/>
          </w:tcPr>
          <w:p w14:paraId="0788491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CTCGAACTCCAACCGGAAATG</w:t>
            </w:r>
          </w:p>
          <w:p w14:paraId="1268A5B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TGTAGCTTTCGTGAAATCGACG</w:t>
            </w:r>
          </w:p>
        </w:tc>
        <w:tc>
          <w:tcPr>
            <w:tcW w:w="1893" w:type="dxa"/>
          </w:tcPr>
          <w:p w14:paraId="53AB07D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162</w:t>
            </w:r>
          </w:p>
        </w:tc>
      </w:tr>
      <w:tr w14:paraId="0861E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0F8ABF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Kat8</w:t>
            </w:r>
          </w:p>
        </w:tc>
        <w:tc>
          <w:tcPr>
            <w:tcW w:w="1276" w:type="dxa"/>
          </w:tcPr>
          <w:p w14:paraId="3EEA448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67773</w:t>
            </w:r>
          </w:p>
        </w:tc>
        <w:tc>
          <w:tcPr>
            <w:tcW w:w="3969" w:type="dxa"/>
          </w:tcPr>
          <w:p w14:paraId="3C52C28F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ACGAGGCGATCACCAAAGTG</w:t>
            </w:r>
          </w:p>
          <w:p w14:paraId="4DFEBC8B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AAGCGGTAGCTCTTCTCGAAC</w:t>
            </w:r>
          </w:p>
        </w:tc>
        <w:tc>
          <w:tcPr>
            <w:tcW w:w="1893" w:type="dxa"/>
          </w:tcPr>
          <w:p w14:paraId="4093FD1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166</w:t>
            </w:r>
          </w:p>
        </w:tc>
      </w:tr>
      <w:tr w14:paraId="1A983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2E2CE65A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Atat1</w:t>
            </w:r>
          </w:p>
        </w:tc>
        <w:tc>
          <w:tcPr>
            <w:tcW w:w="1276" w:type="dxa"/>
          </w:tcPr>
          <w:p w14:paraId="0B8DE6C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73242</w:t>
            </w:r>
          </w:p>
        </w:tc>
        <w:tc>
          <w:tcPr>
            <w:tcW w:w="3969" w:type="dxa"/>
          </w:tcPr>
          <w:p w14:paraId="5DDB698F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AGCAACCGGCACGTTATTTAC</w:t>
            </w:r>
          </w:p>
          <w:p w14:paraId="456D8A29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GCAAAGGGGTTCTACCTCATTGT</w:t>
            </w:r>
          </w:p>
        </w:tc>
        <w:tc>
          <w:tcPr>
            <w:tcW w:w="1893" w:type="dxa"/>
          </w:tcPr>
          <w:p w14:paraId="165A205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147</w:t>
            </w:r>
          </w:p>
        </w:tc>
      </w:tr>
      <w:tr w14:paraId="02208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DA6FB07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Esco1</w:t>
            </w:r>
          </w:p>
        </w:tc>
        <w:tc>
          <w:tcPr>
            <w:tcW w:w="1276" w:type="dxa"/>
          </w:tcPr>
          <w:p w14:paraId="69F92E42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77805</w:t>
            </w:r>
          </w:p>
        </w:tc>
        <w:tc>
          <w:tcPr>
            <w:tcW w:w="3969" w:type="dxa"/>
          </w:tcPr>
          <w:p w14:paraId="1770775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TGAAGACCCAAAGTATGCCCT</w:t>
            </w:r>
          </w:p>
          <w:p w14:paraId="509F0485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TCTGCAATTAGGCAACCAACTAC</w:t>
            </w:r>
          </w:p>
        </w:tc>
        <w:tc>
          <w:tcPr>
            <w:tcW w:w="1893" w:type="dxa"/>
          </w:tcPr>
          <w:p w14:paraId="7F7D39D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159</w:t>
            </w:r>
          </w:p>
        </w:tc>
      </w:tr>
      <w:tr w14:paraId="16CA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3E37DBF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Esco2</w:t>
            </w:r>
          </w:p>
        </w:tc>
        <w:tc>
          <w:tcPr>
            <w:tcW w:w="1276" w:type="dxa"/>
          </w:tcPr>
          <w:p w14:paraId="395BD1F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71988</w:t>
            </w:r>
          </w:p>
        </w:tc>
        <w:tc>
          <w:tcPr>
            <w:tcW w:w="3969" w:type="dxa"/>
          </w:tcPr>
          <w:p w14:paraId="1292EFD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ATGGCAACTTGTACTCCAAGAAA</w:t>
            </w:r>
          </w:p>
          <w:p w14:paraId="2A06B47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GTTGGTGGGAGCAAGACTTGT</w:t>
            </w:r>
          </w:p>
        </w:tc>
        <w:tc>
          <w:tcPr>
            <w:tcW w:w="1893" w:type="dxa"/>
          </w:tcPr>
          <w:p w14:paraId="5E44F72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184</w:t>
            </w:r>
          </w:p>
        </w:tc>
      </w:tr>
      <w:tr w14:paraId="6800E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32E8C4A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Hat1</w:t>
            </w:r>
          </w:p>
        </w:tc>
        <w:tc>
          <w:tcPr>
            <w:tcW w:w="1276" w:type="dxa"/>
          </w:tcPr>
          <w:p w14:paraId="2BC89AA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107435</w:t>
            </w:r>
          </w:p>
        </w:tc>
        <w:tc>
          <w:tcPr>
            <w:tcW w:w="3969" w:type="dxa"/>
          </w:tcPr>
          <w:p w14:paraId="49E27D45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AAGTGTAACACCAACACAGCA</w:t>
            </w:r>
          </w:p>
          <w:p w14:paraId="10ECA72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CGAAAGCAGTTTCATCATCCCC</w:t>
            </w:r>
          </w:p>
        </w:tc>
        <w:tc>
          <w:tcPr>
            <w:tcW w:w="1893" w:type="dxa"/>
          </w:tcPr>
          <w:p w14:paraId="61D5F41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127</w:t>
            </w:r>
          </w:p>
        </w:tc>
      </w:tr>
      <w:tr w14:paraId="26963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504F10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Hdac1</w:t>
            </w:r>
          </w:p>
        </w:tc>
        <w:tc>
          <w:tcPr>
            <w:tcW w:w="1276" w:type="dxa"/>
          </w:tcPr>
          <w:p w14:paraId="299F356B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433759</w:t>
            </w:r>
          </w:p>
        </w:tc>
        <w:tc>
          <w:tcPr>
            <w:tcW w:w="3969" w:type="dxa"/>
          </w:tcPr>
          <w:p w14:paraId="5BD11339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AGTCTGTTACTACTACGACGGG</w:t>
            </w:r>
          </w:p>
          <w:p w14:paraId="7EDB6B3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TGAGCAGCAAATTGTGAGTCAT</w:t>
            </w:r>
          </w:p>
        </w:tc>
        <w:tc>
          <w:tcPr>
            <w:tcW w:w="1893" w:type="dxa"/>
          </w:tcPr>
          <w:p w14:paraId="42ADF4D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101</w:t>
            </w:r>
          </w:p>
        </w:tc>
      </w:tr>
      <w:tr w14:paraId="3540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AFA7AF9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Hdac2</w:t>
            </w:r>
          </w:p>
        </w:tc>
        <w:tc>
          <w:tcPr>
            <w:tcW w:w="1276" w:type="dxa"/>
          </w:tcPr>
          <w:p w14:paraId="264C96F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15182</w:t>
            </w:r>
          </w:p>
        </w:tc>
        <w:tc>
          <w:tcPr>
            <w:tcW w:w="3969" w:type="dxa"/>
          </w:tcPr>
          <w:p w14:paraId="6348935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GGAGGAGGCTACACAATCCG</w:t>
            </w:r>
          </w:p>
          <w:p w14:paraId="7248617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TCTGGAGTGTTCTGGTTTGTCA</w:t>
            </w:r>
          </w:p>
        </w:tc>
        <w:tc>
          <w:tcPr>
            <w:tcW w:w="1893" w:type="dxa"/>
          </w:tcPr>
          <w:p w14:paraId="5DD0FB2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173</w:t>
            </w:r>
          </w:p>
        </w:tc>
      </w:tr>
      <w:tr w14:paraId="72C30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79F3994B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Hdac3</w:t>
            </w:r>
          </w:p>
        </w:tc>
        <w:tc>
          <w:tcPr>
            <w:tcW w:w="1276" w:type="dxa"/>
          </w:tcPr>
          <w:p w14:paraId="114CCF74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15183</w:t>
            </w:r>
          </w:p>
        </w:tc>
        <w:tc>
          <w:tcPr>
            <w:tcW w:w="3969" w:type="dxa"/>
          </w:tcPr>
          <w:p w14:paraId="4ABF5CB2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GCCAAGACCGTGGCGTATT</w:t>
            </w:r>
          </w:p>
          <w:p w14:paraId="2A54046A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GTCCAGCTCCATAGTGGAAGT</w:t>
            </w:r>
          </w:p>
        </w:tc>
        <w:tc>
          <w:tcPr>
            <w:tcW w:w="1893" w:type="dxa"/>
          </w:tcPr>
          <w:p w14:paraId="743A11A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61</w:t>
            </w:r>
          </w:p>
        </w:tc>
      </w:tr>
      <w:tr w14:paraId="14A7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FD7A095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Hdac8</w:t>
            </w:r>
          </w:p>
        </w:tc>
        <w:tc>
          <w:tcPr>
            <w:tcW w:w="1276" w:type="dxa"/>
          </w:tcPr>
          <w:p w14:paraId="4E38424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70315</w:t>
            </w:r>
          </w:p>
        </w:tc>
        <w:tc>
          <w:tcPr>
            <w:tcW w:w="3969" w:type="dxa"/>
          </w:tcPr>
          <w:p w14:paraId="5F5388F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ACTATTGCCGGAGATCCAATGT</w:t>
            </w:r>
          </w:p>
          <w:p w14:paraId="22B955A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CCTCCTAAAATCAGAGTTGCCAG</w:t>
            </w:r>
          </w:p>
        </w:tc>
        <w:tc>
          <w:tcPr>
            <w:tcW w:w="1893" w:type="dxa"/>
          </w:tcPr>
          <w:p w14:paraId="3B17A1D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107</w:t>
            </w:r>
          </w:p>
        </w:tc>
      </w:tr>
      <w:tr w14:paraId="16FFC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78FD7E31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Hdac4</w:t>
            </w:r>
          </w:p>
        </w:tc>
        <w:tc>
          <w:tcPr>
            <w:tcW w:w="1276" w:type="dxa"/>
          </w:tcPr>
          <w:p w14:paraId="2FDF0D5F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208727</w:t>
            </w:r>
          </w:p>
        </w:tc>
        <w:tc>
          <w:tcPr>
            <w:tcW w:w="3969" w:type="dxa"/>
          </w:tcPr>
          <w:p w14:paraId="1B10BAD3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CTGCAAGTGGCCCCTACAG</w:t>
            </w:r>
          </w:p>
          <w:p w14:paraId="6BDBE4C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CTGCTCATGTTGACGCTGGA</w:t>
            </w:r>
          </w:p>
        </w:tc>
        <w:tc>
          <w:tcPr>
            <w:tcW w:w="1893" w:type="dxa"/>
          </w:tcPr>
          <w:p w14:paraId="6DE5767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177</w:t>
            </w:r>
          </w:p>
        </w:tc>
      </w:tr>
      <w:tr w14:paraId="2DE83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C972A03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Hdac5</w:t>
            </w:r>
          </w:p>
        </w:tc>
        <w:tc>
          <w:tcPr>
            <w:tcW w:w="1276" w:type="dxa"/>
          </w:tcPr>
          <w:p w14:paraId="7E33B0B8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15184</w:t>
            </w:r>
          </w:p>
        </w:tc>
        <w:tc>
          <w:tcPr>
            <w:tcW w:w="3969" w:type="dxa"/>
          </w:tcPr>
          <w:p w14:paraId="200F77F5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AGCACCGAGGTAAAGCTGAG</w:t>
            </w:r>
          </w:p>
          <w:p w14:paraId="0C79C84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GAACTCTGGTCCAAAGAAGCG</w:t>
            </w:r>
          </w:p>
        </w:tc>
        <w:tc>
          <w:tcPr>
            <w:tcW w:w="1893" w:type="dxa"/>
          </w:tcPr>
          <w:p w14:paraId="3703F55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137</w:t>
            </w:r>
          </w:p>
        </w:tc>
      </w:tr>
      <w:tr w14:paraId="7F4F2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087ED1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Hdac7</w:t>
            </w:r>
          </w:p>
        </w:tc>
        <w:tc>
          <w:tcPr>
            <w:tcW w:w="1276" w:type="dxa"/>
          </w:tcPr>
          <w:p w14:paraId="399F405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56233</w:t>
            </w:r>
          </w:p>
        </w:tc>
        <w:tc>
          <w:tcPr>
            <w:tcW w:w="3969" w:type="dxa"/>
          </w:tcPr>
          <w:p w14:paraId="2D73C077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TTCCTGGCAGGCTTACACC</w:t>
            </w:r>
          </w:p>
          <w:p w14:paraId="4CAB68E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ATGGACTGTTCTCTCAAGGGC</w:t>
            </w:r>
          </w:p>
        </w:tc>
        <w:tc>
          <w:tcPr>
            <w:tcW w:w="1893" w:type="dxa"/>
          </w:tcPr>
          <w:p w14:paraId="66E521D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225</w:t>
            </w:r>
          </w:p>
        </w:tc>
      </w:tr>
      <w:tr w14:paraId="5654E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19B0C654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Hdac9</w:t>
            </w:r>
          </w:p>
        </w:tc>
        <w:tc>
          <w:tcPr>
            <w:tcW w:w="1276" w:type="dxa"/>
          </w:tcPr>
          <w:p w14:paraId="2DB53E49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79211</w:t>
            </w:r>
          </w:p>
        </w:tc>
        <w:tc>
          <w:tcPr>
            <w:tcW w:w="3969" w:type="dxa"/>
          </w:tcPr>
          <w:p w14:paraId="1D235216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GCGGTCCAGGTTAAAACAGAA</w:t>
            </w:r>
          </w:p>
          <w:p w14:paraId="6F10C81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GCCACCTCAAACACTCGCTT</w:t>
            </w:r>
          </w:p>
        </w:tc>
        <w:tc>
          <w:tcPr>
            <w:tcW w:w="1893" w:type="dxa"/>
          </w:tcPr>
          <w:p w14:paraId="71DA149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108</w:t>
            </w:r>
          </w:p>
        </w:tc>
      </w:tr>
      <w:tr w14:paraId="162CD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1171475F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Hdac10</w:t>
            </w:r>
          </w:p>
        </w:tc>
        <w:tc>
          <w:tcPr>
            <w:tcW w:w="1276" w:type="dxa"/>
          </w:tcPr>
          <w:p w14:paraId="41CBCCE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170787</w:t>
            </w:r>
          </w:p>
        </w:tc>
        <w:tc>
          <w:tcPr>
            <w:tcW w:w="3969" w:type="dxa"/>
          </w:tcPr>
          <w:p w14:paraId="42804EAC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ACAGCCACTCGACTGCTCT</w:t>
            </w:r>
          </w:p>
          <w:p w14:paraId="4F570263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GATGCCTCACAAGCTGACAAA</w:t>
            </w:r>
          </w:p>
        </w:tc>
        <w:tc>
          <w:tcPr>
            <w:tcW w:w="1893" w:type="dxa"/>
          </w:tcPr>
          <w:p w14:paraId="58036B0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134</w:t>
            </w:r>
          </w:p>
        </w:tc>
      </w:tr>
      <w:tr w14:paraId="35D9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0B853DE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Hdac11</w:t>
            </w:r>
          </w:p>
        </w:tc>
        <w:tc>
          <w:tcPr>
            <w:tcW w:w="1276" w:type="dxa"/>
          </w:tcPr>
          <w:p w14:paraId="4A763FD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232232</w:t>
            </w:r>
          </w:p>
        </w:tc>
        <w:tc>
          <w:tcPr>
            <w:tcW w:w="3969" w:type="dxa"/>
          </w:tcPr>
          <w:p w14:paraId="357D07C8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GTGTACTCACCACGTTACAACA</w:t>
            </w:r>
          </w:p>
          <w:p w14:paraId="18A05F39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GCTCGTTGAGATAGCGCCTC</w:t>
            </w:r>
          </w:p>
        </w:tc>
        <w:tc>
          <w:tcPr>
            <w:tcW w:w="1893" w:type="dxa"/>
          </w:tcPr>
          <w:p w14:paraId="5B71BFD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193</w:t>
            </w:r>
          </w:p>
        </w:tc>
      </w:tr>
      <w:tr w14:paraId="4C48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9E27BBE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Hdac6</w:t>
            </w:r>
          </w:p>
        </w:tc>
        <w:tc>
          <w:tcPr>
            <w:tcW w:w="1276" w:type="dxa"/>
          </w:tcPr>
          <w:p w14:paraId="30B215DF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15185</w:t>
            </w:r>
          </w:p>
        </w:tc>
        <w:tc>
          <w:tcPr>
            <w:tcW w:w="3969" w:type="dxa"/>
          </w:tcPr>
          <w:p w14:paraId="3AFDCA6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TCCACCGGCCAAGATTCTTC</w:t>
            </w:r>
          </w:p>
          <w:p w14:paraId="354B9D34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GCCTTTCTTCTTTACCTCCGCT</w:t>
            </w:r>
          </w:p>
        </w:tc>
        <w:tc>
          <w:tcPr>
            <w:tcW w:w="1893" w:type="dxa"/>
          </w:tcPr>
          <w:p w14:paraId="30DA930E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153</w:t>
            </w:r>
          </w:p>
        </w:tc>
      </w:tr>
      <w:tr w14:paraId="47E8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F63C2A0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Sirt1</w:t>
            </w:r>
          </w:p>
        </w:tc>
        <w:tc>
          <w:tcPr>
            <w:tcW w:w="1276" w:type="dxa"/>
          </w:tcPr>
          <w:p w14:paraId="012E3012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93759</w:t>
            </w:r>
          </w:p>
        </w:tc>
        <w:tc>
          <w:tcPr>
            <w:tcW w:w="3969" w:type="dxa"/>
          </w:tcPr>
          <w:p w14:paraId="63F6E20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TGATTGGCACCGATCCTCG</w:t>
            </w:r>
          </w:p>
          <w:p w14:paraId="11491470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CCACAGCGTCATATCATCCAG</w:t>
            </w:r>
          </w:p>
        </w:tc>
        <w:tc>
          <w:tcPr>
            <w:tcW w:w="1893" w:type="dxa"/>
          </w:tcPr>
          <w:p w14:paraId="3BA1C3F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86</w:t>
            </w:r>
          </w:p>
        </w:tc>
      </w:tr>
      <w:tr w14:paraId="6BA15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C10884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Sirt2</w:t>
            </w:r>
          </w:p>
        </w:tc>
        <w:tc>
          <w:tcPr>
            <w:tcW w:w="1276" w:type="dxa"/>
          </w:tcPr>
          <w:p w14:paraId="6148C6C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64383</w:t>
            </w:r>
          </w:p>
        </w:tc>
        <w:tc>
          <w:tcPr>
            <w:tcW w:w="3969" w:type="dxa"/>
          </w:tcPr>
          <w:p w14:paraId="3FFDFEC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GCGGGTATCCCTGACTTCC</w:t>
            </w:r>
          </w:p>
          <w:p w14:paraId="0E25081F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CGTGTCTATGTTCTGCGTGTAG</w:t>
            </w:r>
          </w:p>
        </w:tc>
        <w:tc>
          <w:tcPr>
            <w:tcW w:w="1893" w:type="dxa"/>
          </w:tcPr>
          <w:p w14:paraId="3DB5343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243</w:t>
            </w:r>
          </w:p>
        </w:tc>
      </w:tr>
      <w:tr w14:paraId="1250B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2803D688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Sirt3</w:t>
            </w:r>
          </w:p>
        </w:tc>
        <w:tc>
          <w:tcPr>
            <w:tcW w:w="1276" w:type="dxa"/>
          </w:tcPr>
          <w:p w14:paraId="3649D595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64384</w:t>
            </w:r>
          </w:p>
        </w:tc>
        <w:tc>
          <w:tcPr>
            <w:tcW w:w="3969" w:type="dxa"/>
          </w:tcPr>
          <w:p w14:paraId="4993751E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GAGCGGCCTCTACAGCAAC</w:t>
            </w:r>
          </w:p>
          <w:p w14:paraId="3900DE62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GGAAGTAGTGAGTGACATTGGG</w:t>
            </w:r>
          </w:p>
        </w:tc>
        <w:tc>
          <w:tcPr>
            <w:tcW w:w="1893" w:type="dxa"/>
          </w:tcPr>
          <w:p w14:paraId="7160315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155</w:t>
            </w:r>
          </w:p>
        </w:tc>
      </w:tr>
      <w:tr w14:paraId="43E61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C8F90F0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Sirt4</w:t>
            </w:r>
          </w:p>
        </w:tc>
        <w:tc>
          <w:tcPr>
            <w:tcW w:w="1276" w:type="dxa"/>
          </w:tcPr>
          <w:p w14:paraId="6AB825BF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75387</w:t>
            </w:r>
          </w:p>
        </w:tc>
        <w:tc>
          <w:tcPr>
            <w:tcW w:w="3969" w:type="dxa"/>
          </w:tcPr>
          <w:p w14:paraId="358CF311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GATTGACTTTCAGGCCGACAA</w:t>
            </w:r>
          </w:p>
          <w:p w14:paraId="7B55B57A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GCGGCACAAATAACCCCGA</w:t>
            </w:r>
          </w:p>
        </w:tc>
        <w:tc>
          <w:tcPr>
            <w:tcW w:w="1893" w:type="dxa"/>
          </w:tcPr>
          <w:p w14:paraId="22201583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87</w:t>
            </w:r>
          </w:p>
        </w:tc>
      </w:tr>
      <w:tr w14:paraId="2AAE7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6D03037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Sirt5</w:t>
            </w:r>
          </w:p>
        </w:tc>
        <w:tc>
          <w:tcPr>
            <w:tcW w:w="1276" w:type="dxa"/>
          </w:tcPr>
          <w:p w14:paraId="27A8A58D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68346</w:t>
            </w:r>
          </w:p>
        </w:tc>
        <w:tc>
          <w:tcPr>
            <w:tcW w:w="3969" w:type="dxa"/>
          </w:tcPr>
          <w:p w14:paraId="0BE3EA6B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CCAGTTGTGTTGTAGACGAAAGC</w:t>
            </w:r>
          </w:p>
          <w:p w14:paraId="41A4B654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TTCCGAAAGTCTGCCATATTTGA</w:t>
            </w:r>
          </w:p>
        </w:tc>
        <w:tc>
          <w:tcPr>
            <w:tcW w:w="1893" w:type="dxa"/>
          </w:tcPr>
          <w:p w14:paraId="66F39BD7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96</w:t>
            </w:r>
          </w:p>
        </w:tc>
      </w:tr>
      <w:tr w14:paraId="1B959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18FF5A6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Sirt6</w:t>
            </w:r>
          </w:p>
        </w:tc>
        <w:tc>
          <w:tcPr>
            <w:tcW w:w="1276" w:type="dxa"/>
          </w:tcPr>
          <w:p w14:paraId="0ACF7FE1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50721</w:t>
            </w:r>
          </w:p>
        </w:tc>
        <w:tc>
          <w:tcPr>
            <w:tcW w:w="3969" w:type="dxa"/>
          </w:tcPr>
          <w:p w14:paraId="55699269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ATGTCGGTGAATTATGCAGCA</w:t>
            </w:r>
          </w:p>
          <w:p w14:paraId="4E22A9E9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GCTGGAGGACTGCCACATTA</w:t>
            </w:r>
          </w:p>
        </w:tc>
        <w:tc>
          <w:tcPr>
            <w:tcW w:w="1893" w:type="dxa"/>
          </w:tcPr>
          <w:p w14:paraId="22DD370C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138</w:t>
            </w:r>
          </w:p>
        </w:tc>
      </w:tr>
      <w:tr w14:paraId="21F7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tcBorders>
              <w:bottom w:val="single" w:color="auto" w:sz="4" w:space="0"/>
            </w:tcBorders>
          </w:tcPr>
          <w:p w14:paraId="54678971">
            <w:pPr>
              <w:spacing w:line="360" w:lineRule="auto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Sirt7</w:t>
            </w:r>
          </w:p>
        </w:tc>
        <w:tc>
          <w:tcPr>
            <w:tcW w:w="1276" w:type="dxa"/>
            <w:tcBorders>
              <w:bottom w:val="single" w:color="auto" w:sz="4" w:space="0"/>
            </w:tcBorders>
          </w:tcPr>
          <w:p w14:paraId="23109FB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209011</w:t>
            </w:r>
          </w:p>
        </w:tc>
        <w:tc>
          <w:tcPr>
            <w:tcW w:w="3969" w:type="dxa"/>
            <w:tcBorders>
              <w:bottom w:val="single" w:color="auto" w:sz="4" w:space="0"/>
            </w:tcBorders>
          </w:tcPr>
          <w:p w14:paraId="4FCC56B8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Fw:</w:t>
            </w:r>
            <w:r>
              <w:t xml:space="preserve"> </w:t>
            </w:r>
            <w:r>
              <w:rPr>
                <w:sz w:val="21"/>
                <w:szCs w:val="21"/>
              </w:rPr>
              <w:t>AGCATCACCCGTTTGCATGA</w:t>
            </w:r>
          </w:p>
          <w:p w14:paraId="6D27BADD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Rv:</w:t>
            </w:r>
            <w:r>
              <w:t xml:space="preserve"> </w:t>
            </w:r>
            <w:r>
              <w:rPr>
                <w:sz w:val="21"/>
                <w:szCs w:val="21"/>
              </w:rPr>
              <w:t>GGCAGTACGCTCAGTCACAT</w:t>
            </w:r>
          </w:p>
        </w:tc>
        <w:tc>
          <w:tcPr>
            <w:tcW w:w="1893" w:type="dxa"/>
            <w:tcBorders>
              <w:bottom w:val="single" w:color="auto" w:sz="4" w:space="0"/>
            </w:tcBorders>
          </w:tcPr>
          <w:p w14:paraId="2838B150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195</w:t>
            </w:r>
          </w:p>
        </w:tc>
      </w:tr>
    </w:tbl>
    <w:p w14:paraId="1FF2B48F">
      <w:pPr>
        <w:spacing w:line="360" w:lineRule="auto"/>
      </w:pPr>
    </w:p>
    <w:p w14:paraId="3D059C0E">
      <w:r>
        <w:br w:type="page"/>
      </w:r>
    </w:p>
    <w:p w14:paraId="1B409137">
      <w:pPr>
        <w:spacing w:line="360" w:lineRule="auto"/>
      </w:pPr>
    </w:p>
    <w:p w14:paraId="170FB370">
      <w:pPr>
        <w:spacing w:line="360" w:lineRule="auto"/>
        <w:jc w:val="center"/>
        <w:rPr>
          <w:b/>
        </w:rPr>
      </w:pPr>
      <w:r>
        <w:rPr>
          <w:b/>
        </w:rPr>
        <w:t xml:space="preserve">Supplementary </w:t>
      </w:r>
      <w:r>
        <w:rPr>
          <w:rFonts w:hint="eastAsia"/>
          <w:b/>
        </w:rPr>
        <w:t>Table 2.</w:t>
      </w:r>
    </w:p>
    <w:p w14:paraId="50639BF7">
      <w:pPr>
        <w:spacing w:line="360" w:lineRule="auto"/>
        <w:jc w:val="center"/>
        <w:rPr>
          <w:b/>
        </w:rPr>
      </w:pPr>
      <w:r>
        <w:rPr>
          <w:rFonts w:hint="eastAsia"/>
          <w:b/>
        </w:rPr>
        <w:t xml:space="preserve">Table S2. Clinicopathologic characteristics of NSCLC patients </w:t>
      </w:r>
      <w:r>
        <w:rPr>
          <w:b/>
        </w:rPr>
        <w:t xml:space="preserve">stratified by response to </w:t>
      </w:r>
      <w:r>
        <w:rPr>
          <w:rFonts w:hint="eastAsia"/>
          <w:b/>
        </w:rPr>
        <w:t>anti-PD-1 therapy.</w:t>
      </w:r>
    </w:p>
    <w:tbl>
      <w:tblPr>
        <w:tblStyle w:val="8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013"/>
        <w:gridCol w:w="1764"/>
        <w:gridCol w:w="2227"/>
      </w:tblGrid>
      <w:tr w14:paraId="478EC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single" w:color="auto" w:sz="4" w:space="0"/>
              <w:bottom w:val="single" w:color="auto" w:sz="4" w:space="0"/>
            </w:tcBorders>
          </w:tcPr>
          <w:p w14:paraId="18632920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Characteristic</w:t>
            </w:r>
          </w:p>
        </w:tc>
        <w:tc>
          <w:tcPr>
            <w:tcW w:w="2013" w:type="dxa"/>
            <w:tcBorders>
              <w:top w:val="single" w:color="auto" w:sz="4" w:space="0"/>
              <w:bottom w:val="single" w:color="auto" w:sz="4" w:space="0"/>
            </w:tcBorders>
          </w:tcPr>
          <w:p w14:paraId="45934534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Sensitive</w:t>
            </w:r>
            <w:r>
              <w:rPr>
                <w:rFonts w:hint="eastAsia"/>
                <w:b/>
              </w:rPr>
              <w:t xml:space="preserve"> </w:t>
            </w:r>
          </w:p>
          <w:p w14:paraId="2F2D74A9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(N=</w:t>
            </w:r>
            <w:r>
              <w:rPr>
                <w:b/>
              </w:rPr>
              <w:t>18</w:t>
            </w:r>
            <w:r>
              <w:rPr>
                <w:rFonts w:hint="eastAsia"/>
                <w:b/>
              </w:rPr>
              <w:t>)</w:t>
            </w:r>
          </w:p>
        </w:tc>
        <w:tc>
          <w:tcPr>
            <w:tcW w:w="1764" w:type="dxa"/>
            <w:tcBorders>
              <w:top w:val="single" w:color="auto" w:sz="4" w:space="0"/>
              <w:bottom w:val="single" w:color="auto" w:sz="4" w:space="0"/>
            </w:tcBorders>
          </w:tcPr>
          <w:p w14:paraId="42AFD9E1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R</w:t>
            </w:r>
            <w:r>
              <w:rPr>
                <w:b/>
              </w:rPr>
              <w:t>esistant (N=17)</w:t>
            </w:r>
          </w:p>
        </w:tc>
        <w:tc>
          <w:tcPr>
            <w:tcW w:w="2227" w:type="dxa"/>
            <w:tcBorders>
              <w:top w:val="single" w:color="auto" w:sz="4" w:space="0"/>
              <w:bottom w:val="single" w:color="auto" w:sz="4" w:space="0"/>
            </w:tcBorders>
          </w:tcPr>
          <w:p w14:paraId="7DE14E88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P value*</w:t>
            </w:r>
          </w:p>
        </w:tc>
      </w:tr>
      <w:tr w14:paraId="299B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single" w:color="auto" w:sz="4" w:space="0"/>
            </w:tcBorders>
          </w:tcPr>
          <w:p w14:paraId="4A93BD12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Age (year)</w:t>
            </w:r>
          </w:p>
        </w:tc>
        <w:tc>
          <w:tcPr>
            <w:tcW w:w="2013" w:type="dxa"/>
            <w:tcBorders>
              <w:top w:val="single" w:color="auto" w:sz="4" w:space="0"/>
            </w:tcBorders>
          </w:tcPr>
          <w:p w14:paraId="20C92A37">
            <w:pPr>
              <w:spacing w:line="360" w:lineRule="auto"/>
              <w:jc w:val="center"/>
            </w:pPr>
          </w:p>
        </w:tc>
        <w:tc>
          <w:tcPr>
            <w:tcW w:w="1764" w:type="dxa"/>
            <w:tcBorders>
              <w:top w:val="single" w:color="auto" w:sz="4" w:space="0"/>
            </w:tcBorders>
          </w:tcPr>
          <w:p w14:paraId="77EBCF30">
            <w:pPr>
              <w:spacing w:line="360" w:lineRule="auto"/>
              <w:jc w:val="center"/>
            </w:pPr>
          </w:p>
        </w:tc>
        <w:tc>
          <w:tcPr>
            <w:tcW w:w="2227" w:type="dxa"/>
            <w:tcBorders>
              <w:top w:val="single" w:color="auto" w:sz="4" w:space="0"/>
            </w:tcBorders>
          </w:tcPr>
          <w:p w14:paraId="60654F2E">
            <w:pPr>
              <w:spacing w:line="360" w:lineRule="auto"/>
              <w:jc w:val="center"/>
            </w:pPr>
            <w:r>
              <w:rPr>
                <w:rFonts w:hint="eastAsia"/>
              </w:rPr>
              <w:t>0</w:t>
            </w:r>
            <w:r>
              <w:t>.68</w:t>
            </w:r>
            <w:r>
              <w:rPr>
                <w:rFonts w:ascii="宋体" w:hAnsi="宋体" w:eastAsia="宋体" w:cs="宋体"/>
              </w:rPr>
              <w:t>†</w:t>
            </w:r>
          </w:p>
        </w:tc>
      </w:tr>
      <w:tr w14:paraId="3F293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B576048">
            <w:pPr>
              <w:spacing w:line="360" w:lineRule="auto"/>
              <w:jc w:val="center"/>
            </w:pPr>
            <w:r>
              <w:rPr>
                <w:rFonts w:hint="eastAsia"/>
              </w:rPr>
              <w:t>Median (IQR)</w:t>
            </w:r>
          </w:p>
        </w:tc>
        <w:tc>
          <w:tcPr>
            <w:tcW w:w="2013" w:type="dxa"/>
          </w:tcPr>
          <w:p w14:paraId="72158FE8">
            <w:pPr>
              <w:spacing w:line="360" w:lineRule="auto"/>
              <w:jc w:val="center"/>
            </w:pPr>
            <w:r>
              <w:rPr>
                <w:rFonts w:hint="eastAsia"/>
              </w:rPr>
              <w:t>60</w:t>
            </w:r>
            <w:r>
              <w:t>.5</w:t>
            </w:r>
            <w:r>
              <w:rPr>
                <w:rFonts w:hint="eastAsia"/>
              </w:rPr>
              <w:t xml:space="preserve"> (</w:t>
            </w:r>
            <w:r>
              <w:t>48.75</w:t>
            </w:r>
            <w:r>
              <w:rPr>
                <w:rFonts w:hint="eastAsia"/>
              </w:rPr>
              <w:t>-63)</w:t>
            </w:r>
          </w:p>
        </w:tc>
        <w:tc>
          <w:tcPr>
            <w:tcW w:w="1764" w:type="dxa"/>
          </w:tcPr>
          <w:p w14:paraId="21E1F784">
            <w:pPr>
              <w:spacing w:line="360" w:lineRule="auto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60 (</w:t>
            </w:r>
            <w:r>
              <w:rPr>
                <w:bCs/>
              </w:rPr>
              <w:t>51</w:t>
            </w:r>
            <w:r>
              <w:rPr>
                <w:rFonts w:hint="eastAsia"/>
                <w:bCs/>
              </w:rPr>
              <w:t>-6</w:t>
            </w:r>
            <w:r>
              <w:rPr>
                <w:bCs/>
              </w:rPr>
              <w:t>9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2227" w:type="dxa"/>
          </w:tcPr>
          <w:p w14:paraId="403EAABF">
            <w:pPr>
              <w:spacing w:line="360" w:lineRule="auto"/>
              <w:jc w:val="center"/>
            </w:pPr>
          </w:p>
        </w:tc>
      </w:tr>
      <w:tr w14:paraId="0B2B4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B4DB7B1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Gender</w:t>
            </w:r>
          </w:p>
        </w:tc>
        <w:tc>
          <w:tcPr>
            <w:tcW w:w="2013" w:type="dxa"/>
          </w:tcPr>
          <w:p w14:paraId="5F8CD871">
            <w:pPr>
              <w:spacing w:line="360" w:lineRule="auto"/>
              <w:jc w:val="center"/>
            </w:pPr>
          </w:p>
        </w:tc>
        <w:tc>
          <w:tcPr>
            <w:tcW w:w="1764" w:type="dxa"/>
          </w:tcPr>
          <w:p w14:paraId="02C61F89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2227" w:type="dxa"/>
          </w:tcPr>
          <w:p w14:paraId="39584A68">
            <w:pPr>
              <w:spacing w:line="360" w:lineRule="auto"/>
              <w:jc w:val="center"/>
            </w:pPr>
            <w:r>
              <w:t>0.74</w:t>
            </w:r>
          </w:p>
        </w:tc>
      </w:tr>
      <w:tr w14:paraId="1796B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7125C02">
            <w:pPr>
              <w:spacing w:line="360" w:lineRule="auto"/>
              <w:jc w:val="center"/>
            </w:pPr>
            <w:r>
              <w:rPr>
                <w:rFonts w:hint="eastAsia"/>
              </w:rPr>
              <w:t>Male</w:t>
            </w:r>
          </w:p>
          <w:p w14:paraId="366069CE">
            <w:pPr>
              <w:spacing w:line="360" w:lineRule="auto"/>
              <w:jc w:val="center"/>
            </w:pPr>
            <w:r>
              <w:rPr>
                <w:rFonts w:hint="eastAsia"/>
              </w:rPr>
              <w:t>Female</w:t>
            </w:r>
          </w:p>
          <w:p w14:paraId="2BC7DCB4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Smoking</w:t>
            </w:r>
          </w:p>
        </w:tc>
        <w:tc>
          <w:tcPr>
            <w:tcW w:w="2013" w:type="dxa"/>
          </w:tcPr>
          <w:p w14:paraId="2D6AA934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  <w:p w14:paraId="6FE9F220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64" w:type="dxa"/>
          </w:tcPr>
          <w:p w14:paraId="2F6FC5D8">
            <w:pPr>
              <w:spacing w:line="360" w:lineRule="auto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bCs/>
              </w:rPr>
              <w:t>0</w:t>
            </w:r>
          </w:p>
          <w:p w14:paraId="7A6CF0C3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7</w:t>
            </w:r>
          </w:p>
        </w:tc>
        <w:tc>
          <w:tcPr>
            <w:tcW w:w="2227" w:type="dxa"/>
          </w:tcPr>
          <w:p w14:paraId="7CFAA557">
            <w:pPr>
              <w:spacing w:line="360" w:lineRule="auto"/>
              <w:jc w:val="center"/>
            </w:pPr>
          </w:p>
          <w:p w14:paraId="14B461D5">
            <w:pPr>
              <w:spacing w:line="360" w:lineRule="auto"/>
              <w:jc w:val="center"/>
            </w:pPr>
          </w:p>
          <w:p w14:paraId="36A5F437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0.76</w:t>
            </w:r>
          </w:p>
        </w:tc>
      </w:tr>
      <w:tr w14:paraId="6A82E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B90C5E6">
            <w:pPr>
              <w:spacing w:line="360" w:lineRule="auto"/>
              <w:jc w:val="center"/>
            </w:pPr>
            <w:r>
              <w:rPr>
                <w:rFonts w:hint="eastAsia"/>
              </w:rPr>
              <w:t>No smoker</w:t>
            </w:r>
          </w:p>
          <w:p w14:paraId="4C04B1B1">
            <w:pPr>
              <w:spacing w:line="360" w:lineRule="auto"/>
              <w:jc w:val="center"/>
            </w:pPr>
            <w:r>
              <w:rPr>
                <w:rFonts w:hint="eastAsia"/>
              </w:rPr>
              <w:t>Smoker</w:t>
            </w:r>
          </w:p>
          <w:p w14:paraId="6B21A26C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Histologic type</w:t>
            </w:r>
          </w:p>
          <w:p w14:paraId="0461023F">
            <w:pPr>
              <w:spacing w:line="360" w:lineRule="auto"/>
              <w:jc w:val="center"/>
            </w:pPr>
            <w:r>
              <w:rPr>
                <w:rFonts w:hint="eastAsia"/>
              </w:rPr>
              <w:t>Adenocarcinoma</w:t>
            </w:r>
          </w:p>
          <w:p w14:paraId="189FEBDA">
            <w:pPr>
              <w:spacing w:line="360" w:lineRule="auto"/>
              <w:jc w:val="center"/>
            </w:pPr>
            <w:r>
              <w:rPr>
                <w:rFonts w:hint="eastAsia"/>
              </w:rPr>
              <w:t>Squamous carcinoma</w:t>
            </w:r>
          </w:p>
          <w:p w14:paraId="4A27D02E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TNM stage</w:t>
            </w:r>
          </w:p>
          <w:p w14:paraId="746A4136">
            <w:pPr>
              <w:spacing w:line="360" w:lineRule="auto"/>
              <w:jc w:val="center"/>
            </w:pPr>
            <w:r>
              <w:rPr>
                <w:rFonts w:hint="eastAsia"/>
              </w:rPr>
              <w:t>Stage 1+2</w:t>
            </w:r>
          </w:p>
        </w:tc>
        <w:tc>
          <w:tcPr>
            <w:tcW w:w="2013" w:type="dxa"/>
          </w:tcPr>
          <w:p w14:paraId="2B549FEB">
            <w:pPr>
              <w:spacing w:line="360" w:lineRule="auto"/>
              <w:jc w:val="center"/>
            </w:pPr>
            <w:r>
              <w:t>6</w:t>
            </w:r>
          </w:p>
          <w:p w14:paraId="6887B20A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  <w:p w14:paraId="38C62843">
            <w:pPr>
              <w:spacing w:line="360" w:lineRule="auto"/>
            </w:pPr>
          </w:p>
          <w:p w14:paraId="25036B22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8</w:t>
            </w:r>
          </w:p>
          <w:p w14:paraId="0F31B432">
            <w:pPr>
              <w:spacing w:line="360" w:lineRule="auto"/>
              <w:jc w:val="center"/>
            </w:pPr>
            <w:r>
              <w:rPr>
                <w:rFonts w:hint="eastAsia"/>
              </w:rPr>
              <w:t>0</w:t>
            </w:r>
          </w:p>
          <w:p w14:paraId="00DAA887">
            <w:pPr>
              <w:spacing w:line="360" w:lineRule="auto"/>
            </w:pPr>
          </w:p>
          <w:p w14:paraId="5F7FE5A9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764" w:type="dxa"/>
          </w:tcPr>
          <w:p w14:paraId="23CAA77C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  <w:p w14:paraId="409061D5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  <w:p w14:paraId="711D6E25">
            <w:pPr>
              <w:spacing w:line="360" w:lineRule="auto"/>
            </w:pPr>
          </w:p>
          <w:p w14:paraId="05584F7F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6</w:t>
            </w:r>
          </w:p>
          <w:p w14:paraId="1D7DB83B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  <w:p w14:paraId="66B0036F">
            <w:pPr>
              <w:spacing w:line="360" w:lineRule="auto"/>
            </w:pPr>
          </w:p>
          <w:p w14:paraId="598DAC93">
            <w:pPr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227" w:type="dxa"/>
          </w:tcPr>
          <w:p w14:paraId="3F4EC809">
            <w:pPr>
              <w:spacing w:line="360" w:lineRule="auto"/>
              <w:jc w:val="center"/>
            </w:pPr>
          </w:p>
          <w:p w14:paraId="1EEA4E64"/>
          <w:p w14:paraId="08C0A7F6"/>
          <w:p w14:paraId="0C2DB2DC">
            <w:pPr>
              <w:jc w:val="center"/>
            </w:pPr>
            <w:r>
              <w:t>0.49</w:t>
            </w:r>
          </w:p>
          <w:p w14:paraId="5B20EA15"/>
          <w:p w14:paraId="3EE0D016"/>
          <w:p w14:paraId="5C95E9D1"/>
          <w:p w14:paraId="0859724F">
            <w:pPr>
              <w:spacing w:line="360" w:lineRule="auto"/>
              <w:jc w:val="center"/>
            </w:pPr>
            <w:r>
              <w:t>0.74</w:t>
            </w:r>
          </w:p>
        </w:tc>
      </w:tr>
      <w:tr w14:paraId="3DF13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bottom w:val="single" w:color="auto" w:sz="4" w:space="0"/>
            </w:tcBorders>
          </w:tcPr>
          <w:p w14:paraId="3A9F4DE3">
            <w:pPr>
              <w:spacing w:line="360" w:lineRule="auto"/>
              <w:jc w:val="center"/>
            </w:pPr>
            <w:r>
              <w:rPr>
                <w:rFonts w:hint="eastAsia"/>
              </w:rPr>
              <w:t>Stage 3+4</w:t>
            </w:r>
          </w:p>
          <w:p w14:paraId="0C7BC314">
            <w:pPr>
              <w:spacing w:line="360" w:lineRule="auto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I</w:t>
            </w:r>
            <w:r>
              <w:rPr>
                <w:rFonts w:hint="eastAsia"/>
                <w:b/>
                <w:shd w:val="clear" w:color="auto" w:fill="FFFFFF"/>
              </w:rPr>
              <w:t xml:space="preserve">nitiation of </w:t>
            </w:r>
            <w:r>
              <w:rPr>
                <w:b/>
                <w:shd w:val="clear" w:color="auto" w:fill="FFFFFF"/>
              </w:rPr>
              <w:t>anti-PD-1</w:t>
            </w:r>
          </w:p>
          <w:p w14:paraId="02F77FEE">
            <w:pPr>
              <w:spacing w:line="360" w:lineRule="auto"/>
              <w:jc w:val="center"/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Initial</w:t>
            </w:r>
          </w:p>
          <w:p w14:paraId="6BF380A2">
            <w:pPr>
              <w:spacing w:line="360" w:lineRule="auto"/>
              <w:jc w:val="center"/>
            </w:pPr>
            <w:r>
              <w:rPr>
                <w:shd w:val="clear" w:color="auto" w:fill="FFFFFF"/>
              </w:rPr>
              <w:t>subsequent treatment</w:t>
            </w:r>
          </w:p>
        </w:tc>
        <w:tc>
          <w:tcPr>
            <w:tcW w:w="2013" w:type="dxa"/>
            <w:tcBorders>
              <w:bottom w:val="single" w:color="auto" w:sz="4" w:space="0"/>
            </w:tcBorders>
          </w:tcPr>
          <w:p w14:paraId="779AC960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  <w:p w14:paraId="082C68D5">
            <w:pPr>
              <w:spacing w:line="360" w:lineRule="auto"/>
            </w:pPr>
          </w:p>
          <w:p w14:paraId="2ABE57B9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  <w:p w14:paraId="63380B5A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764" w:type="dxa"/>
            <w:tcBorders>
              <w:bottom w:val="single" w:color="auto" w:sz="4" w:space="0"/>
            </w:tcBorders>
          </w:tcPr>
          <w:p w14:paraId="5A66A166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  <w:p w14:paraId="00D09B43">
            <w:pPr>
              <w:spacing w:line="360" w:lineRule="auto"/>
            </w:pPr>
          </w:p>
          <w:p w14:paraId="7C873B67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  <w:p w14:paraId="60CA4069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2227" w:type="dxa"/>
            <w:tcBorders>
              <w:bottom w:val="single" w:color="auto" w:sz="4" w:space="0"/>
            </w:tcBorders>
          </w:tcPr>
          <w:p w14:paraId="318D5273">
            <w:pPr>
              <w:spacing w:line="360" w:lineRule="auto"/>
            </w:pPr>
          </w:p>
          <w:p w14:paraId="366D96AE">
            <w:pPr>
              <w:spacing w:line="360" w:lineRule="auto"/>
              <w:jc w:val="center"/>
            </w:pPr>
            <w:r>
              <w:t>0.82</w:t>
            </w:r>
          </w:p>
          <w:p w14:paraId="4CE4A67F"/>
          <w:p w14:paraId="3C82F5FD"/>
          <w:p w14:paraId="2658F665">
            <w:pPr>
              <w:jc w:val="center"/>
            </w:pPr>
          </w:p>
        </w:tc>
      </w:tr>
    </w:tbl>
    <w:p w14:paraId="2F75292A">
      <w:pPr>
        <w:jc w:val="both"/>
        <w:rPr>
          <w:sz w:val="21"/>
          <w:szCs w:val="21"/>
          <w:shd w:val="clear" w:color="auto" w:fill="FFFFFF"/>
        </w:rPr>
      </w:pPr>
      <w:r>
        <w:rPr>
          <w:sz w:val="21"/>
          <w:szCs w:val="21"/>
          <w:shd w:val="clear" w:color="auto" w:fill="FFFFFF"/>
        </w:rPr>
        <w:t>*p values were calculated using Fisher’s exact test for categorical variables. † For age, Mann</w:t>
      </w:r>
      <w:r>
        <w:rPr>
          <w:sz w:val="21"/>
          <w:szCs w:val="21"/>
          <w:shd w:val="clear" w:color="auto" w:fill="FFFFFF"/>
        </w:rPr>
        <w:noBreakHyphen/>
      </w:r>
      <w:r>
        <w:rPr>
          <w:sz w:val="21"/>
          <w:szCs w:val="21"/>
          <w:shd w:val="clear" w:color="auto" w:fill="FFFFFF"/>
        </w:rPr>
        <w:t>Whitney U test was used.</w:t>
      </w:r>
    </w:p>
    <w:p w14:paraId="4C375D11">
      <w:pPr>
        <w:jc w:val="both"/>
        <w:rPr>
          <w:sz w:val="21"/>
          <w:szCs w:val="21"/>
          <w:shd w:val="clear" w:color="auto" w:fill="FFFFFF"/>
          <w:vertAlign w:val="superscript"/>
        </w:rPr>
      </w:pPr>
      <w:r>
        <w:rPr>
          <w:rFonts w:hint="eastAsia"/>
          <w:sz w:val="21"/>
          <w:szCs w:val="21"/>
          <w:shd w:val="clear" w:color="auto" w:fill="FFFFFF"/>
        </w:rPr>
        <w:t>a)</w:t>
      </w:r>
      <w:r>
        <w:rPr>
          <w:sz w:val="21"/>
          <w:szCs w:val="21"/>
          <w:shd w:val="clear" w:color="auto" w:fill="FFFFFF"/>
        </w:rPr>
        <w:t xml:space="preserve"> </w:t>
      </w:r>
      <w:r>
        <w:rPr>
          <w:rFonts w:hint="eastAsia"/>
          <w:sz w:val="21"/>
          <w:szCs w:val="21"/>
          <w:shd w:val="clear" w:color="auto" w:fill="FFFFFF"/>
        </w:rPr>
        <w:t>P</w:t>
      </w:r>
      <w:r>
        <w:rPr>
          <w:sz w:val="21"/>
          <w:szCs w:val="21"/>
          <w:shd w:val="clear" w:color="auto" w:fill="FFFFFF"/>
        </w:rPr>
        <w:t>atients receiv</w:t>
      </w:r>
      <w:r>
        <w:rPr>
          <w:rFonts w:hint="eastAsia"/>
          <w:sz w:val="21"/>
          <w:szCs w:val="21"/>
          <w:shd w:val="clear" w:color="auto" w:fill="FFFFFF"/>
        </w:rPr>
        <w:t>ed</w:t>
      </w:r>
      <w:r>
        <w:rPr>
          <w:sz w:val="21"/>
          <w:szCs w:val="21"/>
          <w:shd w:val="clear" w:color="auto" w:fill="FFFFFF"/>
        </w:rPr>
        <w:t xml:space="preserve"> anti-PD-1 monotherapy either as initial or subsequent treatment</w:t>
      </w:r>
      <w:r>
        <w:rPr>
          <w:rFonts w:hint="eastAsia"/>
          <w:sz w:val="21"/>
          <w:szCs w:val="21"/>
          <w:shd w:val="clear" w:color="auto" w:fill="FFFFFF"/>
        </w:rPr>
        <w:t xml:space="preserve"> (after prior </w:t>
      </w:r>
      <w:r>
        <w:rPr>
          <w:bCs/>
          <w:sz w:val="21"/>
          <w:szCs w:val="21"/>
        </w:rPr>
        <w:t>chemotherapy or targeted therapy</w:t>
      </w:r>
      <w:r>
        <w:rPr>
          <w:rFonts w:hint="eastAsia"/>
          <w:sz w:val="21"/>
          <w:szCs w:val="21"/>
          <w:shd w:val="clear" w:color="auto" w:fill="FFFFFF"/>
        </w:rPr>
        <w:t>)</w:t>
      </w:r>
      <w:r>
        <w:rPr>
          <w:sz w:val="21"/>
          <w:szCs w:val="21"/>
          <w:shd w:val="clear" w:color="auto" w:fill="FFFFFF"/>
        </w:rPr>
        <w:t>.</w:t>
      </w:r>
    </w:p>
    <w:p w14:paraId="02FA34F0">
      <w:pPr>
        <w:jc w:val="both"/>
        <w:rPr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 xml:space="preserve">b) </w:t>
      </w:r>
      <w:r>
        <w:rPr>
          <w:sz w:val="21"/>
          <w:szCs w:val="21"/>
          <w:shd w:val="clear" w:color="auto" w:fill="FFFFFF"/>
        </w:rPr>
        <w:t>Tumor response was evaluated after approximately 4-6 treatment cycles by measuring changes in the sum of the longest diameters of target lesions between baseline and follow-up imaging. Patients achieving partial</w:t>
      </w:r>
      <w:r>
        <w:rPr>
          <w:rFonts w:hint="eastAsia"/>
          <w:sz w:val="21"/>
          <w:szCs w:val="21"/>
          <w:shd w:val="clear" w:color="auto" w:fill="FFFFFF"/>
        </w:rPr>
        <w:t xml:space="preserve"> </w:t>
      </w:r>
      <w:r>
        <w:rPr>
          <w:sz w:val="21"/>
          <w:szCs w:val="21"/>
          <w:shd w:val="clear" w:color="auto" w:fill="FFFFFF"/>
        </w:rPr>
        <w:t>or complete response (≥</w:t>
      </w:r>
      <w:r>
        <w:rPr>
          <w:rFonts w:hint="eastAsia"/>
          <w:sz w:val="21"/>
          <w:szCs w:val="21"/>
          <w:shd w:val="clear" w:color="auto" w:fill="FFFFFF"/>
        </w:rPr>
        <w:t>3</w:t>
      </w:r>
      <w:r>
        <w:rPr>
          <w:sz w:val="21"/>
          <w:szCs w:val="21"/>
          <w:shd w:val="clear" w:color="auto" w:fill="FFFFFF"/>
        </w:rPr>
        <w:t>0% reduction in the sum of diameters)</w:t>
      </w:r>
      <w:r>
        <w:rPr>
          <w:rFonts w:hint="eastAsia"/>
          <w:sz w:val="21"/>
          <w:szCs w:val="21"/>
          <w:shd w:val="clear" w:color="auto" w:fill="FFFFFF"/>
        </w:rPr>
        <w:t xml:space="preserve"> </w:t>
      </w:r>
      <w:r>
        <w:rPr>
          <w:sz w:val="21"/>
          <w:szCs w:val="21"/>
          <w:shd w:val="clear" w:color="auto" w:fill="FFFFFF"/>
        </w:rPr>
        <w:t>were categorized as treatment-sensitive, whereas those with stable or progressive disease (&lt;</w:t>
      </w:r>
      <w:r>
        <w:rPr>
          <w:rFonts w:hint="eastAsia"/>
          <w:sz w:val="21"/>
          <w:szCs w:val="21"/>
          <w:shd w:val="clear" w:color="auto" w:fill="FFFFFF"/>
        </w:rPr>
        <w:t>3</w:t>
      </w:r>
      <w:r>
        <w:rPr>
          <w:sz w:val="21"/>
          <w:szCs w:val="21"/>
          <w:shd w:val="clear" w:color="auto" w:fill="FFFFFF"/>
        </w:rPr>
        <w:t>0% reduction or any increase) were classified as treatment-resistant.</w:t>
      </w:r>
    </w:p>
    <w:p w14:paraId="53CD93E8">
      <w:pPr>
        <w:spacing w:line="360" w:lineRule="auto"/>
        <w:jc w:val="center"/>
        <w:rPr>
          <w:b/>
        </w:rPr>
      </w:pPr>
      <w:r>
        <w:br w:type="page"/>
      </w:r>
      <w:r>
        <w:rPr>
          <w:b/>
        </w:rPr>
        <w:t xml:space="preserve">Supplementary </w:t>
      </w:r>
      <w:r>
        <w:rPr>
          <w:rFonts w:hint="eastAsia"/>
          <w:b/>
        </w:rPr>
        <w:t>Table 3.</w:t>
      </w:r>
    </w:p>
    <w:p w14:paraId="10B01862">
      <w:pPr>
        <w:spacing w:line="360" w:lineRule="auto"/>
        <w:jc w:val="center"/>
        <w:rPr>
          <w:b/>
        </w:rPr>
      </w:pPr>
      <w:r>
        <w:rPr>
          <w:rFonts w:hint="eastAsia"/>
          <w:b/>
        </w:rPr>
        <w:t>Table S3. Clinicopathologic characteristics of NSCLC patients.</w:t>
      </w:r>
    </w:p>
    <w:tbl>
      <w:tblPr>
        <w:tblStyle w:val="8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 w14:paraId="49745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  <w:bottom w:val="single" w:color="auto" w:sz="4" w:space="0"/>
            </w:tcBorders>
          </w:tcPr>
          <w:p w14:paraId="4EA41DB3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Characteristic</w:t>
            </w:r>
          </w:p>
        </w:tc>
        <w:tc>
          <w:tcPr>
            <w:tcW w:w="2841" w:type="dxa"/>
            <w:tcBorders>
              <w:top w:val="single" w:color="auto" w:sz="4" w:space="0"/>
              <w:bottom w:val="single" w:color="auto" w:sz="4" w:space="0"/>
            </w:tcBorders>
          </w:tcPr>
          <w:p w14:paraId="09143B6A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All patients (N=70)</w:t>
            </w:r>
          </w:p>
        </w:tc>
        <w:tc>
          <w:tcPr>
            <w:tcW w:w="2841" w:type="dxa"/>
            <w:tcBorders>
              <w:top w:val="single" w:color="auto" w:sz="4" w:space="0"/>
              <w:bottom w:val="single" w:color="auto" w:sz="4" w:space="0"/>
            </w:tcBorders>
          </w:tcPr>
          <w:p w14:paraId="68380DBF">
            <w:pPr>
              <w:spacing w:line="36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Percentage</w:t>
            </w:r>
          </w:p>
        </w:tc>
      </w:tr>
      <w:tr w14:paraId="72E63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op w:val="single" w:color="auto" w:sz="4" w:space="0"/>
            </w:tcBorders>
          </w:tcPr>
          <w:p w14:paraId="0FB0E7F2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Age (year)</w:t>
            </w:r>
          </w:p>
        </w:tc>
        <w:tc>
          <w:tcPr>
            <w:tcW w:w="2841" w:type="dxa"/>
            <w:tcBorders>
              <w:top w:val="single" w:color="auto" w:sz="4" w:space="0"/>
            </w:tcBorders>
          </w:tcPr>
          <w:p w14:paraId="10BEDC40">
            <w:pPr>
              <w:spacing w:line="360" w:lineRule="auto"/>
              <w:jc w:val="center"/>
            </w:pPr>
          </w:p>
        </w:tc>
        <w:tc>
          <w:tcPr>
            <w:tcW w:w="2841" w:type="dxa"/>
            <w:tcBorders>
              <w:top w:val="single" w:color="auto" w:sz="4" w:space="0"/>
            </w:tcBorders>
          </w:tcPr>
          <w:p w14:paraId="0514329C">
            <w:pPr>
              <w:spacing w:line="360" w:lineRule="auto"/>
              <w:jc w:val="center"/>
            </w:pPr>
          </w:p>
        </w:tc>
      </w:tr>
      <w:tr w14:paraId="2443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4C016EE">
            <w:pPr>
              <w:spacing w:line="360" w:lineRule="auto"/>
              <w:jc w:val="center"/>
            </w:pPr>
            <w:r>
              <w:rPr>
                <w:rFonts w:hint="eastAsia"/>
              </w:rPr>
              <w:t>Median (IQR)</w:t>
            </w:r>
          </w:p>
        </w:tc>
        <w:tc>
          <w:tcPr>
            <w:tcW w:w="2841" w:type="dxa"/>
          </w:tcPr>
          <w:p w14:paraId="583C623B">
            <w:pPr>
              <w:spacing w:line="360" w:lineRule="auto"/>
              <w:jc w:val="center"/>
            </w:pPr>
            <w:r>
              <w:rPr>
                <w:rFonts w:hint="eastAsia"/>
              </w:rPr>
              <w:t>60 (54-66)</w:t>
            </w:r>
          </w:p>
        </w:tc>
        <w:tc>
          <w:tcPr>
            <w:tcW w:w="2841" w:type="dxa"/>
          </w:tcPr>
          <w:p w14:paraId="1F914D00">
            <w:pPr>
              <w:spacing w:line="360" w:lineRule="auto"/>
              <w:jc w:val="center"/>
            </w:pPr>
          </w:p>
        </w:tc>
      </w:tr>
      <w:tr w14:paraId="3AEA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308D852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Gender</w:t>
            </w:r>
          </w:p>
        </w:tc>
        <w:tc>
          <w:tcPr>
            <w:tcW w:w="2841" w:type="dxa"/>
          </w:tcPr>
          <w:p w14:paraId="155F98A2">
            <w:pPr>
              <w:spacing w:line="360" w:lineRule="auto"/>
              <w:jc w:val="center"/>
            </w:pPr>
          </w:p>
        </w:tc>
        <w:tc>
          <w:tcPr>
            <w:tcW w:w="2841" w:type="dxa"/>
          </w:tcPr>
          <w:p w14:paraId="0F6F4656">
            <w:pPr>
              <w:spacing w:line="360" w:lineRule="auto"/>
              <w:jc w:val="center"/>
            </w:pPr>
          </w:p>
        </w:tc>
      </w:tr>
      <w:tr w14:paraId="4028E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06785A2">
            <w:pPr>
              <w:spacing w:line="360" w:lineRule="auto"/>
              <w:jc w:val="center"/>
            </w:pPr>
            <w:r>
              <w:rPr>
                <w:rFonts w:hint="eastAsia"/>
              </w:rPr>
              <w:t>Male</w:t>
            </w:r>
          </w:p>
          <w:p w14:paraId="5E7E7D61">
            <w:pPr>
              <w:spacing w:line="360" w:lineRule="auto"/>
              <w:jc w:val="center"/>
            </w:pPr>
            <w:r>
              <w:rPr>
                <w:rFonts w:hint="eastAsia"/>
              </w:rPr>
              <w:t>Female</w:t>
            </w:r>
          </w:p>
          <w:p w14:paraId="359CD0CC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Smoking</w:t>
            </w:r>
          </w:p>
        </w:tc>
        <w:tc>
          <w:tcPr>
            <w:tcW w:w="2841" w:type="dxa"/>
          </w:tcPr>
          <w:p w14:paraId="5C0304CA">
            <w:pPr>
              <w:spacing w:line="360" w:lineRule="auto"/>
              <w:jc w:val="center"/>
            </w:pPr>
            <w:r>
              <w:rPr>
                <w:rFonts w:hint="eastAsia"/>
              </w:rPr>
              <w:t>39</w:t>
            </w:r>
          </w:p>
          <w:p w14:paraId="7ADB9BAF">
            <w:pPr>
              <w:spacing w:line="360" w:lineRule="auto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2841" w:type="dxa"/>
          </w:tcPr>
          <w:p w14:paraId="55F094C4">
            <w:pPr>
              <w:spacing w:line="360" w:lineRule="auto"/>
              <w:jc w:val="center"/>
            </w:pPr>
            <w:r>
              <w:rPr>
                <w:rFonts w:hint="eastAsia"/>
              </w:rPr>
              <w:t>55.7%</w:t>
            </w:r>
          </w:p>
          <w:p w14:paraId="0987F75A">
            <w:pPr>
              <w:spacing w:line="360" w:lineRule="auto"/>
              <w:jc w:val="center"/>
            </w:pPr>
            <w:r>
              <w:rPr>
                <w:rFonts w:hint="eastAsia"/>
              </w:rPr>
              <w:t>44.3%</w:t>
            </w:r>
          </w:p>
        </w:tc>
      </w:tr>
      <w:tr w14:paraId="6CCF3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CB8E9D1">
            <w:pPr>
              <w:spacing w:line="360" w:lineRule="auto"/>
              <w:jc w:val="center"/>
            </w:pPr>
            <w:r>
              <w:rPr>
                <w:rFonts w:hint="eastAsia"/>
              </w:rPr>
              <w:t>No smoker</w:t>
            </w:r>
          </w:p>
          <w:p w14:paraId="5CEEF567">
            <w:pPr>
              <w:spacing w:line="360" w:lineRule="auto"/>
              <w:jc w:val="center"/>
            </w:pPr>
            <w:r>
              <w:rPr>
                <w:rFonts w:hint="eastAsia"/>
              </w:rPr>
              <w:t>Smoker</w:t>
            </w:r>
          </w:p>
          <w:p w14:paraId="564961A2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Histologic type</w:t>
            </w:r>
          </w:p>
          <w:p w14:paraId="58336F4C">
            <w:pPr>
              <w:spacing w:line="360" w:lineRule="auto"/>
              <w:jc w:val="center"/>
            </w:pPr>
            <w:r>
              <w:rPr>
                <w:rFonts w:hint="eastAsia"/>
              </w:rPr>
              <w:t>Adenocarcinoma</w:t>
            </w:r>
          </w:p>
          <w:p w14:paraId="4841A295">
            <w:pPr>
              <w:spacing w:line="360" w:lineRule="auto"/>
              <w:jc w:val="center"/>
            </w:pPr>
            <w:r>
              <w:rPr>
                <w:rFonts w:hint="eastAsia"/>
              </w:rPr>
              <w:t>Squamous carcinoma</w:t>
            </w:r>
          </w:p>
          <w:p w14:paraId="1906FE28">
            <w:pPr>
              <w:spacing w:line="360" w:lineRule="auto"/>
              <w:rPr>
                <w:b/>
              </w:rPr>
            </w:pPr>
            <w:r>
              <w:rPr>
                <w:rFonts w:hint="eastAsia"/>
                <w:b/>
              </w:rPr>
              <w:t>TNM stage</w:t>
            </w:r>
          </w:p>
          <w:p w14:paraId="3C50F7B5">
            <w:pPr>
              <w:spacing w:line="360" w:lineRule="auto"/>
              <w:jc w:val="center"/>
            </w:pPr>
            <w:r>
              <w:rPr>
                <w:rFonts w:hint="eastAsia"/>
              </w:rPr>
              <w:t>Stage 1+2</w:t>
            </w:r>
          </w:p>
        </w:tc>
        <w:tc>
          <w:tcPr>
            <w:tcW w:w="2841" w:type="dxa"/>
          </w:tcPr>
          <w:p w14:paraId="093BB6EB">
            <w:pPr>
              <w:spacing w:line="360" w:lineRule="auto"/>
              <w:jc w:val="center"/>
            </w:pPr>
            <w:r>
              <w:rPr>
                <w:rFonts w:hint="eastAsia"/>
              </w:rPr>
              <w:t>36</w:t>
            </w:r>
          </w:p>
          <w:p w14:paraId="52E518E1">
            <w:pPr>
              <w:spacing w:line="360" w:lineRule="auto"/>
              <w:jc w:val="center"/>
            </w:pPr>
            <w:r>
              <w:rPr>
                <w:rFonts w:hint="eastAsia"/>
              </w:rPr>
              <w:t>34</w:t>
            </w:r>
          </w:p>
          <w:p w14:paraId="39F862D4">
            <w:pPr>
              <w:spacing w:line="360" w:lineRule="auto"/>
            </w:pPr>
          </w:p>
          <w:p w14:paraId="08F438DC">
            <w:pPr>
              <w:spacing w:line="360" w:lineRule="auto"/>
              <w:jc w:val="center"/>
            </w:pPr>
            <w:r>
              <w:rPr>
                <w:rFonts w:hint="eastAsia"/>
              </w:rPr>
              <w:t>63</w:t>
            </w:r>
          </w:p>
          <w:p w14:paraId="1C35FB3C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  <w:p w14:paraId="5DF3DFD2">
            <w:pPr>
              <w:spacing w:line="360" w:lineRule="auto"/>
            </w:pPr>
          </w:p>
          <w:p w14:paraId="6FDE6FE0">
            <w:pPr>
              <w:spacing w:line="360" w:lineRule="auto"/>
              <w:jc w:val="center"/>
            </w:pPr>
            <w:r>
              <w:rPr>
                <w:rFonts w:hint="eastAsia"/>
              </w:rPr>
              <w:t>37</w:t>
            </w:r>
          </w:p>
        </w:tc>
        <w:tc>
          <w:tcPr>
            <w:tcW w:w="2841" w:type="dxa"/>
          </w:tcPr>
          <w:p w14:paraId="4376D67E">
            <w:pPr>
              <w:spacing w:line="360" w:lineRule="auto"/>
              <w:jc w:val="center"/>
            </w:pPr>
            <w:r>
              <w:rPr>
                <w:rFonts w:hint="eastAsia"/>
              </w:rPr>
              <w:t>51.4%</w:t>
            </w:r>
          </w:p>
          <w:p w14:paraId="410F6BD3">
            <w:pPr>
              <w:spacing w:line="360" w:lineRule="auto"/>
              <w:jc w:val="center"/>
            </w:pPr>
            <w:r>
              <w:rPr>
                <w:rFonts w:hint="eastAsia"/>
              </w:rPr>
              <w:t>48.6%</w:t>
            </w:r>
          </w:p>
          <w:p w14:paraId="07A86582">
            <w:pPr>
              <w:spacing w:line="360" w:lineRule="auto"/>
            </w:pPr>
          </w:p>
          <w:p w14:paraId="624AD642">
            <w:pPr>
              <w:spacing w:line="360" w:lineRule="auto"/>
              <w:jc w:val="center"/>
            </w:pPr>
            <w:r>
              <w:rPr>
                <w:rFonts w:hint="eastAsia"/>
              </w:rPr>
              <w:t>90.0%</w:t>
            </w:r>
          </w:p>
          <w:p w14:paraId="6C0A9E5B">
            <w:pPr>
              <w:spacing w:line="360" w:lineRule="auto"/>
              <w:jc w:val="center"/>
            </w:pPr>
            <w:r>
              <w:rPr>
                <w:rFonts w:hint="eastAsia"/>
              </w:rPr>
              <w:t>10.0%</w:t>
            </w:r>
          </w:p>
          <w:p w14:paraId="6E69F6FA">
            <w:pPr>
              <w:spacing w:line="360" w:lineRule="auto"/>
            </w:pPr>
          </w:p>
          <w:p w14:paraId="7234C0A4">
            <w:pPr>
              <w:spacing w:line="360" w:lineRule="auto"/>
              <w:jc w:val="center"/>
            </w:pPr>
            <w:r>
              <w:rPr>
                <w:rFonts w:hint="eastAsia"/>
              </w:rPr>
              <w:t>52.9%</w:t>
            </w:r>
          </w:p>
        </w:tc>
      </w:tr>
      <w:tr w14:paraId="40560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bottom w:val="single" w:color="auto" w:sz="4" w:space="0"/>
            </w:tcBorders>
          </w:tcPr>
          <w:p w14:paraId="65419A45">
            <w:pPr>
              <w:spacing w:line="360" w:lineRule="auto"/>
              <w:jc w:val="center"/>
            </w:pPr>
            <w:r>
              <w:rPr>
                <w:rFonts w:hint="eastAsia"/>
              </w:rPr>
              <w:t>Stage 3+4</w:t>
            </w:r>
          </w:p>
        </w:tc>
        <w:tc>
          <w:tcPr>
            <w:tcW w:w="2841" w:type="dxa"/>
            <w:tcBorders>
              <w:bottom w:val="single" w:color="auto" w:sz="4" w:space="0"/>
            </w:tcBorders>
          </w:tcPr>
          <w:p w14:paraId="20C82767">
            <w:pPr>
              <w:spacing w:line="360" w:lineRule="auto"/>
              <w:jc w:val="center"/>
            </w:pPr>
            <w:r>
              <w:rPr>
                <w:rFonts w:hint="eastAsia"/>
              </w:rPr>
              <w:t>33</w:t>
            </w:r>
          </w:p>
        </w:tc>
        <w:tc>
          <w:tcPr>
            <w:tcW w:w="2841" w:type="dxa"/>
            <w:tcBorders>
              <w:bottom w:val="single" w:color="auto" w:sz="4" w:space="0"/>
            </w:tcBorders>
          </w:tcPr>
          <w:p w14:paraId="399C6832">
            <w:pPr>
              <w:spacing w:line="360" w:lineRule="auto"/>
              <w:jc w:val="center"/>
            </w:pPr>
            <w:r>
              <w:rPr>
                <w:rFonts w:hint="eastAsia"/>
              </w:rPr>
              <w:t>47.1%</w:t>
            </w:r>
          </w:p>
        </w:tc>
      </w:tr>
    </w:tbl>
    <w:p w14:paraId="4075F64C"/>
    <w:p w14:paraId="0876A03F">
      <w:pPr>
        <w:spacing w:line="360" w:lineRule="auto"/>
      </w:pPr>
    </w:p>
    <w:p w14:paraId="49EE542C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571FFA2B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Supplementary Figure and Legend</w:t>
      </w:r>
    </w:p>
    <w:p w14:paraId="00CD29D4">
      <w:pPr>
        <w:jc w:val="center"/>
      </w:pPr>
    </w:p>
    <w:p w14:paraId="59CA5433">
      <w:pPr>
        <w:jc w:val="center"/>
      </w:pPr>
      <w:r>
        <w:drawing>
          <wp:inline distT="0" distB="0" distL="0" distR="0">
            <wp:extent cx="5274310" cy="22694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D0C7C">
      <w:pPr>
        <w:widowControl w:val="0"/>
        <w:numPr>
          <w:ilvl w:val="0"/>
          <w:numId w:val="0"/>
        </w:numPr>
        <w:spacing w:line="480" w:lineRule="auto"/>
        <w:jc w:val="both"/>
        <w:rPr>
          <w:rFonts w:cs="Times New Roman"/>
        </w:rPr>
      </w:pPr>
      <w:r>
        <w:rPr>
          <w:b/>
          <w:bCs/>
        </w:rPr>
        <w:t>Figure S</w:t>
      </w:r>
      <w:r>
        <w:rPr>
          <w:rFonts w:hint="eastAsia"/>
          <w:b/>
          <w:bCs/>
        </w:rPr>
        <w:t>1</w:t>
      </w:r>
      <w:r>
        <w:rPr>
          <w:b/>
          <w:bCs/>
        </w:rPr>
        <w:t xml:space="preserve">. METTL3 depletion </w:t>
      </w:r>
      <w:r>
        <w:rPr>
          <w:rFonts w:hint="eastAsia"/>
          <w:b/>
          <w:bCs/>
        </w:rPr>
        <w:t>enhances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cell </w:t>
      </w:r>
      <w:r>
        <w:rPr>
          <w:b/>
          <w:bCs/>
        </w:rPr>
        <w:t>apoptosis of mouse lung cancer</w:t>
      </w:r>
      <w:r>
        <w:rPr>
          <w:rFonts w:hint="eastAsia"/>
          <w:b/>
          <w:bCs/>
        </w:rPr>
        <w:t>s.</w:t>
      </w:r>
      <w:r>
        <w:rPr>
          <w:b/>
          <w:bCs/>
        </w:rPr>
        <w:t xml:space="preserve"> </w:t>
      </w:r>
      <w:r>
        <w:t xml:space="preserve">Subcutaneous tumor models </w:t>
      </w:r>
      <w:r>
        <w:rPr>
          <w:rFonts w:hint="eastAsia"/>
        </w:rPr>
        <w:t>using</w:t>
      </w:r>
      <w:r>
        <w:rPr>
          <w:rFonts w:cs="Times New Roman"/>
        </w:rPr>
        <w:t xml:space="preserve"> LLC cells with METTL3 knockdown (LLC-shM) and control cells</w:t>
      </w:r>
      <w:r>
        <w:rPr>
          <w:rFonts w:hint="eastAsia" w:cs="Times New Roman"/>
        </w:rPr>
        <w:t xml:space="preserve"> </w:t>
      </w:r>
      <w:r>
        <w:rPr>
          <w:rFonts w:cs="Times New Roman"/>
        </w:rPr>
        <w:t>(LLC-sh</w:t>
      </w:r>
      <w:r>
        <w:rPr>
          <w:rFonts w:hint="eastAsia" w:cs="Times New Roman"/>
        </w:rPr>
        <w:t>NC</w:t>
      </w:r>
      <w:r>
        <w:rPr>
          <w:rFonts w:cs="Times New Roman"/>
        </w:rPr>
        <w:t>) were</w:t>
      </w:r>
      <w:r>
        <w:rPr>
          <w:rFonts w:hint="eastAsia" w:cs="Times New Roman"/>
        </w:rPr>
        <w:t xml:space="preserve"> established</w:t>
      </w:r>
      <w:r>
        <w:rPr>
          <w:rFonts w:cs="Times New Roman"/>
        </w:rPr>
        <w:t xml:space="preserve">. </w:t>
      </w:r>
      <w:r>
        <w:rPr>
          <w:rFonts w:cs="Times New Roman"/>
          <w:shd w:val="clear" w:color="auto" w:fill="FFFFFF"/>
        </w:rPr>
        <w:t xml:space="preserve">Tumors were harvested at endpoint, fixed, and subjected to apoptosis analysis using TUNEL assay. (A) Representative TUNEL staining images of tumor sections; (B) </w:t>
      </w:r>
      <w:r>
        <w:rPr>
          <w:rFonts w:hint="eastAsia" w:cs="Times New Roman"/>
          <w:shd w:val="clear" w:color="auto" w:fill="FFFFFF"/>
        </w:rPr>
        <w:t>the average</w:t>
      </w:r>
      <w:r>
        <w:rPr>
          <w:rFonts w:cs="Times New Roman"/>
          <w:shd w:val="clear" w:color="auto" w:fill="FFFFFF"/>
        </w:rPr>
        <w:t xml:space="preserve"> </w:t>
      </w:r>
      <w:r>
        <w:rPr>
          <w:rFonts w:hint="eastAsia" w:cs="Times New Roman"/>
          <w:shd w:val="clear" w:color="auto" w:fill="FFFFFF"/>
        </w:rPr>
        <w:t xml:space="preserve">percentage of </w:t>
      </w:r>
      <w:r>
        <w:rPr>
          <w:rFonts w:cs="Times New Roman"/>
          <w:shd w:val="clear" w:color="auto" w:fill="FFFFFF"/>
        </w:rPr>
        <w:t>TUNEL-positive cells</w:t>
      </w:r>
      <w:r>
        <w:rPr>
          <w:rFonts w:hint="eastAsia" w:cs="Times New Roman"/>
          <w:shd w:val="clear" w:color="auto" w:fill="FFFFFF"/>
        </w:rPr>
        <w:t xml:space="preserve"> in tumor sections</w:t>
      </w:r>
      <w:r>
        <w:rPr>
          <w:rFonts w:cs="Times New Roman"/>
          <w:shd w:val="clear" w:color="auto" w:fill="FFFFFF"/>
        </w:rPr>
        <w:t xml:space="preserve">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Statistical analyses used unpaired t-tests (2 groups).</w:t>
      </w:r>
      <w:r>
        <w:rPr>
          <w:rFonts w:hint="eastAsia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rPr>
          <w:rFonts w:cs="Times New Roman"/>
          <w:i/>
        </w:rPr>
        <w:t>*</w:t>
      </w:r>
      <w:r>
        <w:rPr>
          <w:rFonts w:hint="eastAsia" w:cs="Times New Roman"/>
          <w:i/>
        </w:rPr>
        <w:t xml:space="preserve">p </w:t>
      </w:r>
      <w:r>
        <w:rPr>
          <w:rFonts w:cs="Times New Roman"/>
        </w:rPr>
        <w:t>&lt;</w:t>
      </w:r>
      <w:r>
        <w:rPr>
          <w:rFonts w:hint="eastAsia" w:cs="Times New Roman"/>
        </w:rPr>
        <w:t xml:space="preserve"> </w:t>
      </w:r>
      <w:r>
        <w:rPr>
          <w:rFonts w:cs="Times New Roman"/>
        </w:rPr>
        <w:t>0.05</w:t>
      </w:r>
      <w:r>
        <w:rPr>
          <w:rFonts w:hint="eastAsia" w:cs="Times New Roman"/>
        </w:rPr>
        <w:t>,</w:t>
      </w:r>
      <w:r>
        <w:rPr>
          <w:rFonts w:cs="Times New Roman"/>
        </w:rPr>
        <w:t xml:space="preserve"> significan</w:t>
      </w:r>
      <w:r>
        <w:rPr>
          <w:rFonts w:hint="eastAsia" w:cs="Times New Roman"/>
        </w:rPr>
        <w:t>t</w:t>
      </w:r>
      <w:r>
        <w:rPr>
          <w:rFonts w:cs="Times New Roman"/>
        </w:rPr>
        <w:t>.</w:t>
      </w:r>
    </w:p>
    <w:p w14:paraId="09A4BBD4">
      <w:pPr>
        <w:jc w:val="both"/>
      </w:pPr>
    </w:p>
    <w:p w14:paraId="0FC67222"/>
    <w:p w14:paraId="4B154C15"/>
    <w:p w14:paraId="0B149148"/>
    <w:p w14:paraId="2F162DDB"/>
    <w:p w14:paraId="00E9F4F7">
      <w:pPr>
        <w:jc w:val="center"/>
      </w:pPr>
    </w:p>
    <w:p w14:paraId="2A67695F">
      <w:pPr>
        <w:jc w:val="center"/>
      </w:pPr>
      <w:r>
        <w:drawing>
          <wp:inline distT="0" distB="0" distL="0" distR="0">
            <wp:extent cx="5274310" cy="43389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3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88352">
      <w:pPr>
        <w:spacing w:line="360" w:lineRule="auto"/>
        <w:jc w:val="both"/>
      </w:pPr>
      <w:r>
        <w:rPr>
          <w:rFonts w:cs="Times New Roman"/>
          <w:b/>
          <w:bCs/>
        </w:rPr>
        <w:t>Figure S</w:t>
      </w:r>
      <w:r>
        <w:rPr>
          <w:rFonts w:hint="eastAsia" w:cs="Times New Roman"/>
          <w:b/>
          <w:bCs/>
        </w:rPr>
        <w:t>2</w:t>
      </w:r>
      <w:r>
        <w:rPr>
          <w:rFonts w:cs="Times New Roman"/>
          <w:b/>
          <w:bCs/>
        </w:rPr>
        <w:t xml:space="preserve">. </w:t>
      </w:r>
      <w:r>
        <w:rPr>
          <w:rStyle w:val="91"/>
          <w:rFonts w:hint="eastAsia" w:cs="Times New Roman"/>
          <w:shd w:val="clear" w:color="auto" w:fill="FFFFFF"/>
        </w:rPr>
        <w:t>T cell subclustering and population analysis.</w:t>
      </w:r>
      <w:r>
        <w:rPr>
          <w:rFonts w:hint="eastAsia" w:cs="Times New Roman"/>
        </w:rPr>
        <w:t xml:space="preserve"> </w:t>
      </w:r>
      <w:r>
        <w:t xml:space="preserve">T cells were computationally reclustered to identify subpopulations. </w:t>
      </w:r>
      <w:r>
        <w:rPr>
          <w:rFonts w:cs="Times New Roman"/>
        </w:rPr>
        <w:t xml:space="preserve"> (A) UMAP projection of T cell subtypes, annotated by cluster identity (color-coded)</w:t>
      </w:r>
      <w:r>
        <w:rPr>
          <w:rFonts w:hint="eastAsia" w:cs="Times New Roman"/>
        </w:rPr>
        <w:t>.</w:t>
      </w:r>
      <w:r>
        <w:rPr>
          <w:rFonts w:cs="Times New Roman"/>
        </w:rPr>
        <w:t xml:space="preserve"> (B) Dot plot showing expression of marker genes for specific subpopulations </w:t>
      </w:r>
      <w:r>
        <w:rPr>
          <w:shd w:val="clear" w:color="auto" w:fill="FFFFFF"/>
        </w:rPr>
        <w:t>(dot size: expression percentage; color: expression level)</w:t>
      </w:r>
      <w:r>
        <w:rPr>
          <w:rFonts w:hint="eastAsia" w:cs="Times New Roman"/>
        </w:rPr>
        <w:t>.</w:t>
      </w:r>
      <w:r>
        <w:rPr>
          <w:rFonts w:cs="Times New Roman"/>
        </w:rPr>
        <w:t xml:space="preserve"> </w:t>
      </w:r>
      <w:r>
        <w:rPr>
          <w:rStyle w:val="91"/>
          <w:b w:val="0"/>
          <w:bCs w:val="0"/>
        </w:rPr>
        <w:t>(C)</w:t>
      </w:r>
      <w:r>
        <w:rPr>
          <w:b/>
        </w:rPr>
        <w:t xml:space="preserve"> </w:t>
      </w:r>
      <w:r>
        <w:t xml:space="preserve">Composition of T cell subsets across groups. Left: stacked bar plots showing mean proportions of each subset per group. Right: bar plots comparing each subset between groups, with individual data points and group means indicated. </w:t>
      </w:r>
      <w:r>
        <w:rPr>
          <w:rStyle w:val="91"/>
          <w:b w:val="0"/>
          <w:bCs w:val="0"/>
        </w:rPr>
        <w:t xml:space="preserve">(D) </w:t>
      </w:r>
      <w:r>
        <w:t>CD4</w:t>
      </w:r>
      <w:r>
        <w:rPr>
          <w:vertAlign w:val="superscript"/>
        </w:rPr>
        <w:t>+</w:t>
      </w:r>
      <w:r>
        <w:t>/CD8</w:t>
      </w:r>
      <w:r>
        <w:rPr>
          <w:vertAlign w:val="superscript"/>
        </w:rPr>
        <w:t>+</w:t>
      </w:r>
      <w:r>
        <w:t xml:space="preserve"> T cell ratios across groups, shown as bar plots with individual data points and group means. </w:t>
      </w:r>
      <w:r>
        <w:rPr>
          <w:rStyle w:val="91"/>
          <w:b w:val="0"/>
          <w:bCs w:val="0"/>
        </w:rPr>
        <w:t>(E)</w:t>
      </w:r>
      <w:r>
        <w:t xml:space="preserve"> Treg proportions among CD4</w:t>
      </w:r>
      <w:r>
        <w:rPr>
          <w:vertAlign w:val="superscript"/>
        </w:rPr>
        <w:t>+</w:t>
      </w:r>
      <w:r>
        <w:t xml:space="preserve"> T cells across groups, with individual data points and group means.</w:t>
      </w:r>
    </w:p>
    <w:p w14:paraId="0332DE13"/>
    <w:p w14:paraId="517E26FD"/>
    <w:p w14:paraId="6FAA9891"/>
    <w:p w14:paraId="7EABEFA7"/>
    <w:p w14:paraId="2515D8F9"/>
    <w:p w14:paraId="5231934F">
      <w:pPr>
        <w:jc w:val="center"/>
      </w:pPr>
      <w:r>
        <w:drawing>
          <wp:inline distT="0" distB="0" distL="0" distR="0">
            <wp:extent cx="5274310" cy="38354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D2925">
      <w:pPr>
        <w:widowControl w:val="0"/>
        <w:numPr>
          <w:ilvl w:val="0"/>
          <w:numId w:val="0"/>
        </w:numPr>
        <w:spacing w:line="480" w:lineRule="auto"/>
        <w:jc w:val="both"/>
      </w:pPr>
      <w:r>
        <w:rPr>
          <w:b/>
          <w:bCs/>
        </w:rPr>
        <w:t>Figure S</w:t>
      </w:r>
      <w:r>
        <w:rPr>
          <w:rFonts w:hint="eastAsia"/>
          <w:b/>
          <w:bCs/>
        </w:rPr>
        <w:t>3</w:t>
      </w:r>
      <w:r>
        <w:rPr>
          <w:b/>
          <w:bCs/>
        </w:rPr>
        <w:t xml:space="preserve">. METTL3 </w:t>
      </w:r>
      <w:r>
        <w:rPr>
          <w:rFonts w:hint="eastAsia"/>
          <w:b/>
          <w:bCs/>
        </w:rPr>
        <w:t>knockdown fails</w:t>
      </w:r>
      <w:r>
        <w:rPr>
          <w:b/>
          <w:bCs/>
        </w:rPr>
        <w:t xml:space="preserve"> to alter the m</w:t>
      </w:r>
      <w:r>
        <w:rPr>
          <w:b/>
          <w:bCs/>
          <w:vertAlign w:val="superscript"/>
        </w:rPr>
        <w:t>6</w:t>
      </w:r>
      <w:r>
        <w:rPr>
          <w:b/>
          <w:bCs/>
        </w:rPr>
        <w:t xml:space="preserve">A </w:t>
      </w:r>
      <w:r>
        <w:rPr>
          <w:rFonts w:hint="eastAsia"/>
          <w:b/>
          <w:bCs/>
        </w:rPr>
        <w:t>modification</w:t>
      </w:r>
      <w:r>
        <w:rPr>
          <w:b/>
          <w:bCs/>
        </w:rPr>
        <w:t xml:space="preserve"> of SPP1 mRNA. </w:t>
      </w:r>
      <w:r>
        <w:rPr>
          <w:rFonts w:cs="Times New Roman"/>
        </w:rPr>
        <w:t>Total RNA was isolated form METTL3</w:t>
      </w:r>
      <w:r>
        <w:rPr>
          <w:rFonts w:hint="eastAsia" w:cs="Times New Roman"/>
        </w:rPr>
        <w:t>-</w:t>
      </w:r>
      <w:r>
        <w:rPr>
          <w:rFonts w:cs="Times New Roman"/>
        </w:rPr>
        <w:t>knockdown mouse lung cancer cells (LLC-shM</w:t>
      </w:r>
      <w:r>
        <w:rPr>
          <w:rFonts w:hint="eastAsia" w:cs="Times New Roman"/>
        </w:rPr>
        <w:t xml:space="preserve"> and </w:t>
      </w:r>
      <w:r>
        <w:rPr>
          <w:rFonts w:cs="Times New Roman"/>
        </w:rPr>
        <w:t>CMT167-shM) and control cells, followed by quantification of m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>A modification levels in total RNA</w:t>
      </w:r>
      <w:r>
        <w:rPr>
          <w:rFonts w:hint="eastAsia" w:cs="Times New Roman"/>
        </w:rPr>
        <w:t xml:space="preserve"> using a</w:t>
      </w:r>
      <w:r>
        <w:rPr>
          <w:rFonts w:cs="Times New Roman"/>
        </w:rPr>
        <w:t>n</w:t>
      </w:r>
      <w:r>
        <w:rPr>
          <w:rFonts w:hint="eastAsia" w:cs="Times New Roman"/>
        </w:rPr>
        <w:t xml:space="preserve"> </w:t>
      </w:r>
      <w:r>
        <w:rPr>
          <w:rFonts w:cs="Times New Roman"/>
        </w:rPr>
        <w:t>EpiQuik™ m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>A RNA Methylation</w:t>
      </w:r>
      <w:r>
        <w:rPr>
          <w:rFonts w:hint="eastAsia" w:cs="Times New Roman"/>
        </w:rPr>
        <w:t xml:space="preserve"> </w:t>
      </w:r>
      <w:r>
        <w:rPr>
          <w:rFonts w:cs="Times New Roman"/>
        </w:rPr>
        <w:t>Quantification Kit (Colorimetric)</w:t>
      </w:r>
      <w:r>
        <w:rPr>
          <w:rFonts w:hint="eastAsia" w:cs="Times New Roman"/>
        </w:rPr>
        <w:t xml:space="preserve">. </w:t>
      </w:r>
      <w:r>
        <w:rPr>
          <w:rStyle w:val="91"/>
          <w:rFonts w:cs="Times New Roman"/>
          <w:b w:val="0"/>
          <w:shd w:val="clear" w:color="auto" w:fill="FFFFFF"/>
        </w:rPr>
        <w:t>(</w:t>
      </w:r>
      <w:r>
        <w:rPr>
          <w:rStyle w:val="91"/>
          <w:rFonts w:hint="eastAsia" w:cs="Times New Roman"/>
          <w:b w:val="0"/>
          <w:shd w:val="clear" w:color="auto" w:fill="FFFFFF"/>
        </w:rPr>
        <w:t>A</w:t>
      </w:r>
      <w:r>
        <w:rPr>
          <w:rStyle w:val="91"/>
          <w:rFonts w:cs="Times New Roman"/>
          <w:b w:val="0"/>
          <w:shd w:val="clear" w:color="auto" w:fill="FFFFFF"/>
        </w:rPr>
        <w:t>)</w:t>
      </w:r>
      <w:r>
        <w:rPr>
          <w:rFonts w:hint="eastAsia" w:cs="Times New Roman"/>
          <w:b/>
          <w:shd w:val="clear" w:color="auto" w:fill="FFFFFF"/>
        </w:rPr>
        <w:t xml:space="preserve"> </w:t>
      </w:r>
      <w:r>
        <w:rPr>
          <w:rFonts w:cs="Times New Roman"/>
        </w:rPr>
        <w:t xml:space="preserve">Bar graph showing the changes in the </w:t>
      </w:r>
      <w:r>
        <w:rPr>
          <w:rFonts w:cs="Times New Roman"/>
          <w:shd w:val="clear" w:color="auto" w:fill="FFFFFF"/>
        </w:rPr>
        <w:t>percentage of m</w:t>
      </w:r>
      <w:r>
        <w:rPr>
          <w:rFonts w:cs="Times New Roman"/>
          <w:shd w:val="clear" w:color="auto" w:fill="FFFFFF"/>
          <w:vertAlign w:val="superscript"/>
        </w:rPr>
        <w:t>6</w:t>
      </w:r>
      <w:r>
        <w:rPr>
          <w:rFonts w:cs="Times New Roman"/>
          <w:shd w:val="clear" w:color="auto" w:fill="FFFFFF"/>
        </w:rPr>
        <w:t>A modifications</w:t>
      </w:r>
      <w:r>
        <w:rPr>
          <w:rFonts w:cs="Times New Roman"/>
        </w:rPr>
        <w:t xml:space="preserve"> (%m</w:t>
      </w:r>
      <w:r>
        <w:rPr>
          <w:rFonts w:cs="Times New Roman"/>
          <w:vertAlign w:val="superscript"/>
        </w:rPr>
        <w:t>6</w:t>
      </w:r>
      <w:r>
        <w:rPr>
          <w:rFonts w:cs="Times New Roman"/>
        </w:rPr>
        <w:t xml:space="preserve">A) in total RNA after METTL3 knockdown. </w:t>
      </w:r>
      <w:r>
        <w:rPr>
          <w:rStyle w:val="91"/>
          <w:rFonts w:cs="Times New Roman"/>
          <w:b w:val="0"/>
          <w:shd w:val="clear" w:color="auto" w:fill="FFFFFF"/>
        </w:rPr>
        <w:t>(B)</w:t>
      </w:r>
      <w:r>
        <w:rPr>
          <w:rFonts w:cs="Times New Roman"/>
          <w:b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Identification of two high-confidence potential m</w:t>
      </w:r>
      <w:r>
        <w:rPr>
          <w:rFonts w:cs="Times New Roman"/>
          <w:shd w:val="clear" w:color="auto" w:fill="FFFFFF"/>
          <w:vertAlign w:val="superscript"/>
        </w:rPr>
        <w:t>6</w:t>
      </w:r>
      <w:r>
        <w:rPr>
          <w:rFonts w:cs="Times New Roman"/>
          <w:shd w:val="clear" w:color="auto" w:fill="FFFFFF"/>
        </w:rPr>
        <w:t xml:space="preserve">A methylation sites </w:t>
      </w:r>
      <w:r>
        <w:rPr>
          <w:rFonts w:hint="eastAsia" w:cs="Times New Roman"/>
          <w:shd w:val="clear" w:color="auto" w:fill="FFFFFF"/>
        </w:rPr>
        <w:t xml:space="preserve">on </w:t>
      </w:r>
      <w:r>
        <w:rPr>
          <w:rFonts w:cs="Times New Roman"/>
          <w:shd w:val="clear" w:color="auto" w:fill="FFFFFF"/>
        </w:rPr>
        <w:t>SPP1 mRNA</w:t>
      </w:r>
      <w:r>
        <w:rPr>
          <w:rFonts w:hint="eastAsia" w:cs="Times New Roman"/>
          <w:shd w:val="clear" w:color="auto" w:fill="FFFFFF"/>
        </w:rPr>
        <w:t xml:space="preserve">, which were </w:t>
      </w:r>
      <w:r>
        <w:rPr>
          <w:rFonts w:cs="Times New Roman"/>
          <w:shd w:val="clear" w:color="auto" w:fill="FFFFFF"/>
        </w:rPr>
        <w:t>predicted using the SRAMP online tool</w:t>
      </w:r>
      <w:r>
        <w:rPr>
          <w:rFonts w:hint="eastAsia" w:cs="Times New Roman"/>
          <w:shd w:val="clear" w:color="auto" w:fill="FFFFFF"/>
        </w:rPr>
        <w:t xml:space="preserve"> (</w:t>
      </w:r>
      <w:r>
        <w:rPr>
          <w:rFonts w:cs="Times New Roman"/>
          <w:shd w:val="clear" w:color="auto" w:fill="FFFFFF"/>
        </w:rPr>
        <w:t>www.</w:t>
      </w:r>
      <w:r>
        <w:rPr>
          <w:rFonts w:hint="eastAsia"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cuilab.</w:t>
      </w:r>
      <w:r>
        <w:rPr>
          <w:rFonts w:hint="eastAsia"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cn/deepsramp</w:t>
      </w:r>
      <w:r>
        <w:rPr>
          <w:rFonts w:hint="eastAsia" w:cs="Times New Roman"/>
          <w:shd w:val="clear" w:color="auto" w:fill="FFFFFF"/>
        </w:rPr>
        <w:t>);</w:t>
      </w:r>
      <w:r>
        <w:rPr>
          <w:rFonts w:cs="Times New Roman"/>
          <w:shd w:val="clear" w:color="auto" w:fill="FFFFFF"/>
        </w:rPr>
        <w:t xml:space="preserve"> </w:t>
      </w:r>
      <w:r>
        <w:rPr>
          <w:rStyle w:val="91"/>
          <w:rFonts w:cs="Times New Roman"/>
          <w:b w:val="0"/>
          <w:shd w:val="clear" w:color="auto" w:fill="FFFFFF"/>
        </w:rPr>
        <w:t>(C)</w:t>
      </w:r>
      <w:r>
        <w:rPr>
          <w:rFonts w:hint="eastAsia" w:cs="Times New Roman"/>
          <w:b/>
          <w:shd w:val="clear" w:color="auto" w:fill="FFFFFF"/>
        </w:rPr>
        <w:t xml:space="preserve"> </w:t>
      </w:r>
      <w:r>
        <w:rPr>
          <w:rFonts w:hint="eastAsia" w:cs="Times New Roman"/>
          <w:bCs/>
        </w:rPr>
        <w:t>t</w:t>
      </w:r>
      <w:r>
        <w:rPr>
          <w:rFonts w:cs="Times New Roman"/>
          <w:bCs/>
        </w:rPr>
        <w:t>he schematic diagram illustrates the location and specific sequence context of</w:t>
      </w:r>
      <w:r>
        <w:rPr>
          <w:rFonts w:hint="eastAsia" w:cs="Times New Roman"/>
          <w:bCs/>
        </w:rPr>
        <w:t xml:space="preserve"> the</w:t>
      </w:r>
      <w:r>
        <w:rPr>
          <w:rFonts w:cs="Times New Roman"/>
          <w:bCs/>
        </w:rPr>
        <w:t xml:space="preserve"> two high-confidence predicted m</w:t>
      </w:r>
      <w:r>
        <w:rPr>
          <w:rFonts w:cs="Times New Roman"/>
          <w:bCs/>
          <w:vertAlign w:val="superscript"/>
        </w:rPr>
        <w:t>6</w:t>
      </w:r>
      <w:r>
        <w:rPr>
          <w:rFonts w:cs="Times New Roman"/>
          <w:bCs/>
        </w:rPr>
        <w:t>A modification sites on SPP1 mRNA.</w:t>
      </w:r>
      <w:r>
        <w:rPr>
          <w:rFonts w:hint="eastAsia" w:cs="Times New Roman"/>
        </w:rPr>
        <w:t xml:space="preserve"> </w:t>
      </w:r>
      <w:r>
        <w:rPr>
          <w:rStyle w:val="91"/>
          <w:rFonts w:cs="Times New Roman"/>
          <w:b w:val="0"/>
          <w:shd w:val="clear" w:color="auto" w:fill="FFFFFF"/>
        </w:rPr>
        <w:t>(</w:t>
      </w:r>
      <w:r>
        <w:rPr>
          <w:rStyle w:val="91"/>
          <w:rFonts w:hint="eastAsia" w:cs="Times New Roman"/>
          <w:b w:val="0"/>
          <w:shd w:val="clear" w:color="auto" w:fill="FFFFFF"/>
        </w:rPr>
        <w:t>D</w:t>
      </w:r>
      <w:r>
        <w:rPr>
          <w:rStyle w:val="91"/>
          <w:rFonts w:cs="Times New Roman"/>
          <w:b w:val="0"/>
          <w:shd w:val="clear" w:color="auto" w:fill="FFFFFF"/>
        </w:rPr>
        <w:t>)</w:t>
      </w:r>
      <w:r>
        <w:rPr>
          <w:rStyle w:val="91"/>
          <w:rFonts w:hint="eastAsia" w:cs="Times New Roman"/>
          <w:b w:val="0"/>
          <w:shd w:val="clear" w:color="auto" w:fill="FFFFFF"/>
        </w:rPr>
        <w:t xml:space="preserve"> </w:t>
      </w:r>
      <w:r>
        <w:rPr>
          <w:rFonts w:hint="eastAsia" w:cs="Times New Roman"/>
          <w:shd w:val="clear" w:color="auto" w:fill="FFFFFF"/>
        </w:rPr>
        <w:t>B</w:t>
      </w:r>
      <w:r>
        <w:rPr>
          <w:rFonts w:cs="Times New Roman"/>
          <w:shd w:val="clear" w:color="auto" w:fill="FFFFFF"/>
        </w:rPr>
        <w:t>ar graph displaying</w:t>
      </w:r>
      <w:r>
        <w:rPr>
          <w:rFonts w:hint="eastAsia" w:cs="Times New Roman"/>
          <w:shd w:val="clear" w:color="auto" w:fill="FFFFFF"/>
        </w:rPr>
        <w:t xml:space="preserve"> relative</w:t>
      </w:r>
      <w:r>
        <w:rPr>
          <w:rFonts w:cs="Times New Roman"/>
          <w:shd w:val="clear" w:color="auto" w:fill="FFFFFF"/>
        </w:rPr>
        <w:t xml:space="preserve"> m</w:t>
      </w:r>
      <w:r>
        <w:rPr>
          <w:rFonts w:cs="Times New Roman"/>
          <w:shd w:val="clear" w:color="auto" w:fill="FFFFFF"/>
          <w:vertAlign w:val="superscript"/>
        </w:rPr>
        <w:t>6</w:t>
      </w:r>
      <w:r>
        <w:rPr>
          <w:rFonts w:cs="Times New Roman"/>
          <w:shd w:val="clear" w:color="auto" w:fill="FFFFFF"/>
        </w:rPr>
        <w:t xml:space="preserve">A levels at the predicted sites, </w:t>
      </w:r>
      <w:r>
        <w:rPr>
          <w:rFonts w:hint="eastAsia" w:cs="Times New Roman"/>
          <w:shd w:val="clear" w:color="auto" w:fill="FFFFFF"/>
        </w:rPr>
        <w:t>detected</w:t>
      </w:r>
      <w:r>
        <w:rPr>
          <w:rFonts w:cs="Times New Roman"/>
          <w:shd w:val="clear" w:color="auto" w:fill="FFFFFF"/>
        </w:rPr>
        <w:t xml:space="preserve"> via m</w:t>
      </w:r>
      <w:r>
        <w:rPr>
          <w:rFonts w:cs="Times New Roman"/>
          <w:shd w:val="clear" w:color="auto" w:fill="FFFFFF"/>
          <w:vertAlign w:val="superscript"/>
        </w:rPr>
        <w:t>6</w:t>
      </w:r>
      <w:r>
        <w:rPr>
          <w:rFonts w:cs="Times New Roman"/>
          <w:shd w:val="clear" w:color="auto" w:fill="FFFFFF"/>
        </w:rPr>
        <w:t>A RIP-qPCR for site-specific validation.</w:t>
      </w:r>
      <w:r>
        <w:rPr>
          <w:rFonts w:hint="eastAsia" w:cs="Times New Roman"/>
          <w:shd w:val="clear" w:color="auto" w:fill="FFFFFF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Statistical analyses used unpaired t-tests (2 groups).</w:t>
      </w:r>
      <w:r>
        <w:rPr>
          <w:rFonts w:hint="eastAsia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</w:t>
      </w:r>
      <w:r>
        <w:t>**</w:t>
      </w:r>
      <w:r>
        <w:rPr>
          <w:rFonts w:hint="eastAsia"/>
          <w:i/>
        </w:rPr>
        <w:t xml:space="preserve">p </w:t>
      </w:r>
      <w:r>
        <w:t>&lt;</w:t>
      </w:r>
      <w:r>
        <w:rPr>
          <w:rFonts w:hint="eastAsia"/>
        </w:rPr>
        <w:t xml:space="preserve"> </w:t>
      </w:r>
      <w:r>
        <w:t>0.0</w:t>
      </w:r>
      <w:r>
        <w:rPr>
          <w:rFonts w:hint="eastAsia"/>
        </w:rPr>
        <w:t>1</w:t>
      </w:r>
      <w:r>
        <w:t>, signifi</w:t>
      </w:r>
      <w:bookmarkStart w:id="0" w:name="_GoBack"/>
      <w:bookmarkEnd w:id="0"/>
      <w:r>
        <w:t xml:space="preserve">cant difference; </w:t>
      </w:r>
      <w:r>
        <w:rPr>
          <w:i/>
        </w:rPr>
        <w:t>NS</w:t>
      </w:r>
      <w:r>
        <w:t>, not significant.</w:t>
      </w:r>
    </w:p>
    <w:p w14:paraId="6F505C69">
      <w:pPr>
        <w:spacing w:line="360" w:lineRule="auto"/>
        <w:jc w:val="both"/>
        <w:rPr>
          <w:rFonts w:cs="Times New Roman"/>
        </w:rPr>
      </w:pPr>
    </w:p>
    <w:p w14:paraId="78F61E87"/>
    <w:p w14:paraId="14FE20F3">
      <w:pPr>
        <w:jc w:val="center"/>
      </w:pPr>
      <w:r>
        <w:drawing>
          <wp:inline distT="0" distB="0" distL="0" distR="0">
            <wp:extent cx="5274310" cy="508254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8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2C026">
      <w:pPr>
        <w:spacing w:line="360" w:lineRule="auto"/>
        <w:jc w:val="both"/>
        <w:rPr>
          <w:rFonts w:cs="Times New Roman"/>
        </w:rPr>
      </w:pPr>
      <w:r>
        <w:rPr>
          <w:rStyle w:val="91"/>
          <w:rFonts w:cs="Times New Roman"/>
          <w:shd w:val="clear" w:color="auto" w:fill="FFFFFF"/>
        </w:rPr>
        <w:t>Figure S</w:t>
      </w:r>
      <w:r>
        <w:rPr>
          <w:rStyle w:val="91"/>
          <w:rFonts w:hint="eastAsia" w:cs="Times New Roman"/>
          <w:shd w:val="clear" w:color="auto" w:fill="FFFFFF"/>
        </w:rPr>
        <w:t>4</w:t>
      </w:r>
      <w:r>
        <w:rPr>
          <w:rStyle w:val="91"/>
          <w:rFonts w:cs="Times New Roman"/>
          <w:shd w:val="clear" w:color="auto" w:fill="FFFFFF"/>
        </w:rPr>
        <w:t>. Generation and validation of lentiviral overexpression plasmids encoding wild-type METTL3</w:t>
      </w:r>
      <w:r>
        <w:rPr>
          <w:rStyle w:val="91"/>
          <w:rFonts w:hint="eastAsia" w:cs="Times New Roman"/>
          <w:shd w:val="clear" w:color="auto" w:fill="FFFFFF"/>
        </w:rPr>
        <w:t xml:space="preserve"> </w:t>
      </w:r>
      <w:r>
        <w:rPr>
          <w:rStyle w:val="91"/>
          <w:rFonts w:cs="Times New Roman"/>
          <w:shd w:val="clear" w:color="auto" w:fill="FFFFFF"/>
        </w:rPr>
        <w:t>and enzymatically inactive</w:t>
      </w:r>
      <w:r>
        <w:rPr>
          <w:rStyle w:val="91"/>
          <w:rFonts w:hint="eastAsia" w:cs="Times New Roman"/>
          <w:shd w:val="clear" w:color="auto" w:fill="FFFFFF"/>
        </w:rPr>
        <w:t xml:space="preserve"> mutant</w:t>
      </w:r>
      <w:r>
        <w:rPr>
          <w:rStyle w:val="91"/>
          <w:rFonts w:cs="Times New Roman"/>
          <w:shd w:val="clear" w:color="auto" w:fill="FFFFFF"/>
        </w:rPr>
        <w:t xml:space="preserve">. </w:t>
      </w:r>
      <w:r>
        <w:rPr>
          <w:rStyle w:val="91"/>
          <w:rFonts w:cs="Times New Roman"/>
          <w:b w:val="0"/>
          <w:shd w:val="clear" w:color="auto" w:fill="FFFFFF"/>
        </w:rPr>
        <w:t>(A)</w:t>
      </w:r>
      <w:r>
        <w:rPr>
          <w:rFonts w:cs="Times New Roman"/>
          <w:shd w:val="clear" w:color="auto" w:fill="FFFFFF"/>
        </w:rPr>
        <w:t xml:space="preserve"> Schematic representation of lentiviral plasmid constructs for overexpression of wild-type METTL3 (Mettl3-WT) and methyltransferase</w:t>
      </w:r>
      <w:r>
        <w:rPr>
          <w:rFonts w:hint="eastAsia" w:cs="Times New Roman"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catalytically deficient mutants (Mettl3-Mut</w:t>
      </w:r>
      <w:r>
        <w:rPr>
          <w:rFonts w:hint="eastAsia" w:cs="Times New Roman"/>
          <w:shd w:val="clear" w:color="auto" w:fill="FFFFFF"/>
        </w:rPr>
        <w:t>,</w:t>
      </w:r>
      <w:r>
        <w:t xml:space="preserve"> aa395-398, DPPW</w:t>
      </w:r>
      <w:r>
        <w:rPr>
          <w:rFonts w:hint="eastAsia"/>
        </w:rPr>
        <w:t xml:space="preserve"> </w:t>
      </w:r>
      <w:r>
        <w:t>&gt;</w:t>
      </w:r>
      <w:r>
        <w:rPr>
          <w:rFonts w:hint="eastAsia"/>
        </w:rPr>
        <w:t xml:space="preserve"> </w:t>
      </w:r>
      <w:r>
        <w:t>APPA</w:t>
      </w:r>
      <w:r>
        <w:rPr>
          <w:rFonts w:cs="Times New Roman"/>
          <w:shd w:val="clear" w:color="auto" w:fill="FFFFFF"/>
        </w:rPr>
        <w:t>).</w:t>
      </w:r>
      <w:r>
        <w:rPr>
          <w:rFonts w:hint="eastAsia" w:cs="Times New Roman"/>
        </w:rPr>
        <w:t xml:space="preserve"> </w:t>
      </w:r>
      <w:r>
        <w:rPr>
          <w:rStyle w:val="91"/>
          <w:rFonts w:cs="Times New Roman"/>
          <w:b w:val="0"/>
          <w:shd w:val="clear" w:color="auto" w:fill="FFFFFF"/>
        </w:rPr>
        <w:t>(B)</w:t>
      </w:r>
      <w:r>
        <w:rPr>
          <w:rFonts w:cs="Times New Roman"/>
          <w:b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Sanger sequencing validation of METTL3 sequences within plasmids, with representative chromatograms confirming correct mutagenesis.</w:t>
      </w:r>
    </w:p>
    <w:p w14:paraId="3FD262A6"/>
    <w:p w14:paraId="051F4310"/>
    <w:p w14:paraId="1B5C7E9A"/>
    <w:p w14:paraId="46719FDA"/>
    <w:p w14:paraId="100E5A18"/>
    <w:p w14:paraId="11A313C7">
      <w:pPr>
        <w:spacing w:line="360" w:lineRule="auto"/>
        <w:jc w:val="center"/>
        <w:rPr>
          <w:b/>
          <w:bCs/>
        </w:rPr>
      </w:pPr>
      <w:r>
        <w:rPr>
          <w:b/>
          <w:bCs/>
        </w:rPr>
        <w:drawing>
          <wp:inline distT="0" distB="0" distL="0" distR="0">
            <wp:extent cx="5274310" cy="360616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A7097">
      <w:pPr>
        <w:spacing w:line="360" w:lineRule="auto"/>
        <w:jc w:val="both"/>
      </w:pPr>
      <w:r>
        <w:rPr>
          <w:b/>
          <w:bCs/>
        </w:rPr>
        <w:t>Figure S</w:t>
      </w:r>
      <w:r>
        <w:rPr>
          <w:rFonts w:hint="eastAsia"/>
          <w:b/>
          <w:bCs/>
        </w:rPr>
        <w:t>5</w:t>
      </w:r>
      <w:r>
        <w:rPr>
          <w:b/>
          <w:bCs/>
        </w:rPr>
        <w:t xml:space="preserve">. METTL3 is located both in the cytoplasm and nuclear of lung cancer cells. </w:t>
      </w:r>
      <w:r>
        <w:t>METTL3 expression in human lung cancer tissue was detected by IHC</w:t>
      </w:r>
      <w:r>
        <w:rPr>
          <w:rFonts w:hint="eastAsia"/>
        </w:rPr>
        <w:t xml:space="preserve"> method</w:t>
      </w:r>
      <w:r>
        <w:t xml:space="preserve">. (A) Representative IHC images showing METTL3 localization </w:t>
      </w:r>
      <w:r>
        <w:rPr>
          <w:rFonts w:hint="eastAsia"/>
        </w:rPr>
        <w:t xml:space="preserve">both </w:t>
      </w:r>
      <w:r>
        <w:t xml:space="preserve">in the cytoplasm and nucleus of </w:t>
      </w:r>
      <w:r>
        <w:rPr>
          <w:rFonts w:hint="eastAsia"/>
        </w:rPr>
        <w:t xml:space="preserve">lung </w:t>
      </w:r>
      <w:r>
        <w:t>cancer cells.</w:t>
      </w:r>
      <w:r>
        <w:rPr>
          <w:rFonts w:hint="eastAsia"/>
        </w:rPr>
        <w:t xml:space="preserve"> </w:t>
      </w:r>
      <w:r>
        <w:rPr>
          <w:rStyle w:val="91"/>
          <w:rFonts w:cs="Times New Roman"/>
          <w:b w:val="0"/>
          <w:shd w:val="clear" w:color="auto" w:fill="FFFFFF"/>
        </w:rPr>
        <w:t>(</w:t>
      </w:r>
      <w:r>
        <w:rPr>
          <w:rStyle w:val="91"/>
          <w:rFonts w:hint="eastAsia" w:cs="Times New Roman"/>
          <w:b w:val="0"/>
          <w:shd w:val="clear" w:color="auto" w:fill="FFFFFF"/>
        </w:rPr>
        <w:t>B</w:t>
      </w:r>
      <w:r>
        <w:rPr>
          <w:rStyle w:val="91"/>
          <w:rFonts w:cs="Times New Roman"/>
          <w:b w:val="0"/>
          <w:shd w:val="clear" w:color="auto" w:fill="FFFFFF"/>
        </w:rPr>
        <w:t>)</w:t>
      </w:r>
      <w:r>
        <w:rPr>
          <w:rFonts w:cs="Times New Roman"/>
          <w:b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 xml:space="preserve">Cytosolic and nuclear protein fractions were isolated from mouse lung cancer cells (LLC and CMT167), followed by analysis of METTL3 protein levels in each fraction via </w:t>
      </w:r>
      <w:r>
        <w:rPr>
          <w:rFonts w:hint="eastAsia" w:cs="Times New Roman"/>
          <w:shd w:val="clear" w:color="auto" w:fill="FFFFFF"/>
        </w:rPr>
        <w:t>W</w:t>
      </w:r>
      <w:r>
        <w:rPr>
          <w:rFonts w:cs="Times New Roman"/>
          <w:shd w:val="clear" w:color="auto" w:fill="FFFFFF"/>
        </w:rPr>
        <w:t>estern blotting.</w:t>
      </w:r>
      <w:r>
        <w:rPr>
          <w:rFonts w:hint="eastAsia" w:cs="Times New Roman"/>
        </w:rPr>
        <w:t xml:space="preserve"> </w:t>
      </w:r>
      <w:r>
        <w:rPr>
          <w:rStyle w:val="91"/>
          <w:rFonts w:cs="Times New Roman"/>
          <w:b w:val="0"/>
          <w:shd w:val="clear" w:color="auto" w:fill="FFFFFF"/>
        </w:rPr>
        <w:t>(</w:t>
      </w:r>
      <w:r>
        <w:rPr>
          <w:rStyle w:val="91"/>
          <w:rFonts w:hint="eastAsia" w:cs="Times New Roman"/>
          <w:b w:val="0"/>
          <w:shd w:val="clear" w:color="auto" w:fill="FFFFFF"/>
        </w:rPr>
        <w:t>C</w:t>
      </w:r>
      <w:r>
        <w:rPr>
          <w:rStyle w:val="91"/>
          <w:rFonts w:cs="Times New Roman"/>
          <w:b w:val="0"/>
          <w:shd w:val="clear" w:color="auto" w:fill="FFFFFF"/>
        </w:rPr>
        <w:t>)</w:t>
      </w:r>
      <w:r>
        <w:rPr>
          <w:rFonts w:cs="Times New Roman"/>
          <w:shd w:val="clear" w:color="auto" w:fill="FFFFFF"/>
        </w:rPr>
        <w:t xml:space="preserve"> Intracellular localization of METTL3 protein in mouse lung cancer cells (LLC) was assessed by immunofluorescence staining with DAPI nuclear counterstain.</w:t>
      </w:r>
    </w:p>
    <w:p w14:paraId="34FE2CA5"/>
    <w:p w14:paraId="16037CFA"/>
    <w:p w14:paraId="1EDE3DCB">
      <w:r>
        <w:br w:type="page"/>
      </w:r>
    </w:p>
    <w:p w14:paraId="4EF54659">
      <w:r>
        <w:drawing>
          <wp:inline distT="0" distB="0" distL="0" distR="0">
            <wp:extent cx="5274310" cy="47815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8A79D">
      <w:pPr>
        <w:spacing w:line="360" w:lineRule="auto"/>
        <w:jc w:val="both"/>
        <w:rPr>
          <w:rFonts w:cs="Times New Roman"/>
        </w:rPr>
      </w:pPr>
      <w:r>
        <w:rPr>
          <w:rStyle w:val="91"/>
          <w:rFonts w:cs="Times New Roman"/>
          <w:shd w:val="clear" w:color="auto" w:fill="FFFFFF"/>
        </w:rPr>
        <w:t>Figure S</w:t>
      </w:r>
      <w:r>
        <w:rPr>
          <w:rStyle w:val="91"/>
          <w:rFonts w:hint="eastAsia" w:cs="Times New Roman"/>
          <w:shd w:val="clear" w:color="auto" w:fill="FFFFFF"/>
        </w:rPr>
        <w:t>6</w:t>
      </w:r>
      <w:r>
        <w:rPr>
          <w:rStyle w:val="91"/>
          <w:rFonts w:cs="Times New Roman"/>
          <w:shd w:val="clear" w:color="auto" w:fill="FFFFFF"/>
        </w:rPr>
        <w:t xml:space="preserve">. Generation and validation of overexpression plasmids encoding </w:t>
      </w:r>
      <w:r>
        <w:rPr>
          <w:rFonts w:cs="Times New Roman"/>
          <w:b/>
          <w:bCs/>
        </w:rPr>
        <w:t xml:space="preserve">N-terminally </w:t>
      </w:r>
      <w:r>
        <w:rPr>
          <w:rFonts w:hint="eastAsia" w:cs="Times New Roman"/>
          <w:b/>
          <w:bCs/>
        </w:rPr>
        <w:t>f</w:t>
      </w:r>
      <w:r>
        <w:rPr>
          <w:rFonts w:cs="Times New Roman"/>
          <w:b/>
          <w:bCs/>
        </w:rPr>
        <w:t>lag-tagged</w:t>
      </w:r>
      <w:r>
        <w:rPr>
          <w:rStyle w:val="104"/>
          <w:rFonts w:cs="Times New Roman"/>
          <w:shd w:val="clear" w:color="auto" w:fill="FFFFFF"/>
        </w:rPr>
        <w:t xml:space="preserve"> </w:t>
      </w:r>
      <w:r>
        <w:rPr>
          <w:rStyle w:val="91"/>
          <w:rFonts w:cs="Times New Roman"/>
          <w:shd w:val="clear" w:color="auto" w:fill="FFFFFF"/>
        </w:rPr>
        <w:t xml:space="preserve">wild-type </w:t>
      </w:r>
      <w:r>
        <w:rPr>
          <w:rStyle w:val="91"/>
          <w:rFonts w:hint="eastAsia" w:cs="Times New Roman"/>
          <w:shd w:val="clear" w:color="auto" w:fill="FFFFFF"/>
        </w:rPr>
        <w:t xml:space="preserve">METTL3 </w:t>
      </w:r>
      <w:r>
        <w:rPr>
          <w:rStyle w:val="91"/>
          <w:rFonts w:cs="Times New Roman"/>
          <w:shd w:val="clear" w:color="auto" w:fill="FFFFFF"/>
        </w:rPr>
        <w:t xml:space="preserve">and </w:t>
      </w:r>
      <w:r>
        <w:rPr>
          <w:b/>
          <w:bCs/>
        </w:rPr>
        <w:t>K177R</w:t>
      </w:r>
      <w:r>
        <w:rPr>
          <w:rStyle w:val="91"/>
          <w:rFonts w:cs="Times New Roman"/>
          <w:shd w:val="clear" w:color="auto" w:fill="FFFFFF"/>
        </w:rPr>
        <w:t xml:space="preserve"> mutant. </w:t>
      </w:r>
      <w:r>
        <w:rPr>
          <w:rStyle w:val="91"/>
          <w:rFonts w:cs="Times New Roman"/>
          <w:b w:val="0"/>
          <w:shd w:val="clear" w:color="auto" w:fill="FFFFFF"/>
        </w:rPr>
        <w:t>(A)</w:t>
      </w:r>
      <w:r>
        <w:rPr>
          <w:rFonts w:cs="Times New Roman"/>
          <w:shd w:val="clear" w:color="auto" w:fill="FFFFFF"/>
        </w:rPr>
        <w:t xml:space="preserve"> Schematic representation of plasmid constructs for overexpression of </w:t>
      </w:r>
      <w:r>
        <w:rPr>
          <w:rFonts w:cs="Times New Roman"/>
          <w:bCs/>
        </w:rPr>
        <w:t xml:space="preserve">N-terminally </w:t>
      </w:r>
      <w:r>
        <w:rPr>
          <w:rFonts w:hint="eastAsia" w:cs="Times New Roman"/>
          <w:bCs/>
        </w:rPr>
        <w:t>f</w:t>
      </w:r>
      <w:r>
        <w:rPr>
          <w:rFonts w:cs="Times New Roman"/>
          <w:bCs/>
        </w:rPr>
        <w:t>lag-tagged</w:t>
      </w:r>
      <w:r>
        <w:rPr>
          <w:rFonts w:cs="Times New Roman"/>
          <w:shd w:val="clear" w:color="auto" w:fill="FFFFFF"/>
        </w:rPr>
        <w:t xml:space="preserve"> wild-type METTL3 (M</w:t>
      </w:r>
      <w:r>
        <w:rPr>
          <w:rFonts w:hint="eastAsia" w:cs="Times New Roman"/>
          <w:shd w:val="clear" w:color="auto" w:fill="FFFFFF"/>
        </w:rPr>
        <w:t>ETTL3</w:t>
      </w:r>
      <w:r>
        <w:rPr>
          <w:rFonts w:cs="Times New Roman"/>
          <w:shd w:val="clear" w:color="auto" w:fill="FFFFFF"/>
        </w:rPr>
        <w:t>-WT</w:t>
      </w:r>
      <w:r>
        <w:rPr>
          <w:rFonts w:hint="eastAsia" w:cs="Times New Roman"/>
          <w:shd w:val="clear" w:color="auto" w:fill="FFFFFF"/>
        </w:rPr>
        <w:t>-Flag</w:t>
      </w:r>
      <w:r>
        <w:rPr>
          <w:rFonts w:cs="Times New Roman"/>
          <w:shd w:val="clear" w:color="auto" w:fill="FFFFFF"/>
        </w:rPr>
        <w:t xml:space="preserve">) and </w:t>
      </w:r>
      <w:r>
        <w:rPr>
          <w:rFonts w:hint="eastAsia" w:cs="Times New Roman"/>
          <w:shd w:val="clear" w:color="auto" w:fill="FFFFFF"/>
        </w:rPr>
        <w:t>K177R</w:t>
      </w:r>
      <w:r>
        <w:rPr>
          <w:rFonts w:cs="Times New Roman"/>
          <w:shd w:val="clear" w:color="auto" w:fill="FFFFFF"/>
        </w:rPr>
        <w:t xml:space="preserve"> mutant (M</w:t>
      </w:r>
      <w:r>
        <w:rPr>
          <w:rFonts w:hint="eastAsia" w:cs="Times New Roman"/>
          <w:shd w:val="clear" w:color="auto" w:fill="FFFFFF"/>
        </w:rPr>
        <w:t>ETTL3-K177R-Flag</w:t>
      </w:r>
      <w:r>
        <w:rPr>
          <w:rFonts w:cs="Times New Roman"/>
          <w:shd w:val="clear" w:color="auto" w:fill="FFFFFF"/>
        </w:rPr>
        <w:t>).</w:t>
      </w:r>
      <w:r>
        <w:rPr>
          <w:rFonts w:hint="eastAsia" w:cs="Times New Roman"/>
        </w:rPr>
        <w:t xml:space="preserve"> </w:t>
      </w:r>
      <w:r>
        <w:rPr>
          <w:rStyle w:val="91"/>
          <w:rFonts w:cs="Times New Roman"/>
          <w:b w:val="0"/>
          <w:shd w:val="clear" w:color="auto" w:fill="FFFFFF"/>
        </w:rPr>
        <w:t>(B)</w:t>
      </w:r>
      <w:r>
        <w:rPr>
          <w:rFonts w:cs="Times New Roman"/>
          <w:b/>
          <w:shd w:val="clear" w:color="auto" w:fill="FFFFFF"/>
        </w:rPr>
        <w:t xml:space="preserve"> </w:t>
      </w:r>
      <w:r>
        <w:rPr>
          <w:rFonts w:cs="Times New Roman"/>
          <w:shd w:val="clear" w:color="auto" w:fill="FFFFFF"/>
        </w:rPr>
        <w:t>Sanger sequencing validation of METTL3 sequences within plasmids, with representative chromatograms confirming correct mutagenesis.</w:t>
      </w:r>
    </w:p>
    <w:p w14:paraId="2562FF5D"/>
    <w:p w14:paraId="61EB57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90984"/>
    <w:rsid w:val="00016C66"/>
    <w:rsid w:val="000228C4"/>
    <w:rsid w:val="00044192"/>
    <w:rsid w:val="00052D27"/>
    <w:rsid w:val="00061BB3"/>
    <w:rsid w:val="000620E9"/>
    <w:rsid w:val="00062342"/>
    <w:rsid w:val="00064BE8"/>
    <w:rsid w:val="000679F9"/>
    <w:rsid w:val="000732BC"/>
    <w:rsid w:val="00077C92"/>
    <w:rsid w:val="000851AC"/>
    <w:rsid w:val="00094B0A"/>
    <w:rsid w:val="0009510D"/>
    <w:rsid w:val="000A3D84"/>
    <w:rsid w:val="000B4A67"/>
    <w:rsid w:val="000C42E3"/>
    <w:rsid w:val="0011479F"/>
    <w:rsid w:val="001535F5"/>
    <w:rsid w:val="00160458"/>
    <w:rsid w:val="00161FA6"/>
    <w:rsid w:val="001A46B9"/>
    <w:rsid w:val="001C2690"/>
    <w:rsid w:val="001C4A67"/>
    <w:rsid w:val="001C6DAB"/>
    <w:rsid w:val="001F3B4F"/>
    <w:rsid w:val="00211B2D"/>
    <w:rsid w:val="00250181"/>
    <w:rsid w:val="00260883"/>
    <w:rsid w:val="00266AD6"/>
    <w:rsid w:val="00270335"/>
    <w:rsid w:val="00272C92"/>
    <w:rsid w:val="002761F1"/>
    <w:rsid w:val="00283F2D"/>
    <w:rsid w:val="002A3397"/>
    <w:rsid w:val="002B538F"/>
    <w:rsid w:val="002C0765"/>
    <w:rsid w:val="002E4B50"/>
    <w:rsid w:val="0031338C"/>
    <w:rsid w:val="00316451"/>
    <w:rsid w:val="00326714"/>
    <w:rsid w:val="003277C2"/>
    <w:rsid w:val="00336DAE"/>
    <w:rsid w:val="00342846"/>
    <w:rsid w:val="003540C0"/>
    <w:rsid w:val="00394541"/>
    <w:rsid w:val="00396597"/>
    <w:rsid w:val="003C454A"/>
    <w:rsid w:val="003E5AB8"/>
    <w:rsid w:val="00427086"/>
    <w:rsid w:val="00431C8C"/>
    <w:rsid w:val="0043208E"/>
    <w:rsid w:val="00443811"/>
    <w:rsid w:val="00445459"/>
    <w:rsid w:val="004468BB"/>
    <w:rsid w:val="0044740C"/>
    <w:rsid w:val="00456950"/>
    <w:rsid w:val="004657F2"/>
    <w:rsid w:val="00470FA0"/>
    <w:rsid w:val="00487F13"/>
    <w:rsid w:val="00494C9B"/>
    <w:rsid w:val="004B1021"/>
    <w:rsid w:val="004B3C07"/>
    <w:rsid w:val="004C5350"/>
    <w:rsid w:val="004D559C"/>
    <w:rsid w:val="00556556"/>
    <w:rsid w:val="00575C62"/>
    <w:rsid w:val="00580F57"/>
    <w:rsid w:val="005932E2"/>
    <w:rsid w:val="005A2101"/>
    <w:rsid w:val="005A3EC8"/>
    <w:rsid w:val="005B1D94"/>
    <w:rsid w:val="005B3F16"/>
    <w:rsid w:val="005C4989"/>
    <w:rsid w:val="005F1612"/>
    <w:rsid w:val="005F6D4E"/>
    <w:rsid w:val="0061071F"/>
    <w:rsid w:val="006109EE"/>
    <w:rsid w:val="00643F2A"/>
    <w:rsid w:val="006937FC"/>
    <w:rsid w:val="006A2EB6"/>
    <w:rsid w:val="006B1ABD"/>
    <w:rsid w:val="006D2260"/>
    <w:rsid w:val="006E605D"/>
    <w:rsid w:val="007110F6"/>
    <w:rsid w:val="007217A3"/>
    <w:rsid w:val="00726031"/>
    <w:rsid w:val="00730191"/>
    <w:rsid w:val="0073029E"/>
    <w:rsid w:val="007544B7"/>
    <w:rsid w:val="0077013E"/>
    <w:rsid w:val="00773764"/>
    <w:rsid w:val="0078039B"/>
    <w:rsid w:val="00784572"/>
    <w:rsid w:val="00784769"/>
    <w:rsid w:val="007A5D5B"/>
    <w:rsid w:val="007B4E14"/>
    <w:rsid w:val="007C4F61"/>
    <w:rsid w:val="007E3ADB"/>
    <w:rsid w:val="007F506A"/>
    <w:rsid w:val="00812879"/>
    <w:rsid w:val="0084697C"/>
    <w:rsid w:val="00873C1D"/>
    <w:rsid w:val="0088482B"/>
    <w:rsid w:val="00890984"/>
    <w:rsid w:val="008B5D8D"/>
    <w:rsid w:val="008C6567"/>
    <w:rsid w:val="008E201B"/>
    <w:rsid w:val="00901E5D"/>
    <w:rsid w:val="0091540B"/>
    <w:rsid w:val="009169F5"/>
    <w:rsid w:val="009242AD"/>
    <w:rsid w:val="009344CE"/>
    <w:rsid w:val="00947175"/>
    <w:rsid w:val="0095556A"/>
    <w:rsid w:val="0095657F"/>
    <w:rsid w:val="00971936"/>
    <w:rsid w:val="009E0411"/>
    <w:rsid w:val="00A03192"/>
    <w:rsid w:val="00A21C60"/>
    <w:rsid w:val="00A45F53"/>
    <w:rsid w:val="00A626A0"/>
    <w:rsid w:val="00A6608B"/>
    <w:rsid w:val="00A75B6A"/>
    <w:rsid w:val="00AA3F5A"/>
    <w:rsid w:val="00AB1157"/>
    <w:rsid w:val="00AC7966"/>
    <w:rsid w:val="00B10664"/>
    <w:rsid w:val="00B2457C"/>
    <w:rsid w:val="00B71336"/>
    <w:rsid w:val="00B82E32"/>
    <w:rsid w:val="00B85F53"/>
    <w:rsid w:val="00B903C8"/>
    <w:rsid w:val="00BA1B2A"/>
    <w:rsid w:val="00BD1F5D"/>
    <w:rsid w:val="00BD732D"/>
    <w:rsid w:val="00BE5F64"/>
    <w:rsid w:val="00BE735D"/>
    <w:rsid w:val="00BF07BE"/>
    <w:rsid w:val="00BF6D0F"/>
    <w:rsid w:val="00C33788"/>
    <w:rsid w:val="00C5505E"/>
    <w:rsid w:val="00C55C58"/>
    <w:rsid w:val="00C62189"/>
    <w:rsid w:val="00C664E1"/>
    <w:rsid w:val="00C66F70"/>
    <w:rsid w:val="00C72433"/>
    <w:rsid w:val="00C73263"/>
    <w:rsid w:val="00C74116"/>
    <w:rsid w:val="00C76230"/>
    <w:rsid w:val="00C82D1D"/>
    <w:rsid w:val="00C85CB4"/>
    <w:rsid w:val="00C9008D"/>
    <w:rsid w:val="00CA42BB"/>
    <w:rsid w:val="00CB1E02"/>
    <w:rsid w:val="00CE1E94"/>
    <w:rsid w:val="00CF542F"/>
    <w:rsid w:val="00D3594E"/>
    <w:rsid w:val="00D56122"/>
    <w:rsid w:val="00D67813"/>
    <w:rsid w:val="00D704E4"/>
    <w:rsid w:val="00D7112B"/>
    <w:rsid w:val="00D73380"/>
    <w:rsid w:val="00D73642"/>
    <w:rsid w:val="00D83FFB"/>
    <w:rsid w:val="00D93F37"/>
    <w:rsid w:val="00DE09B1"/>
    <w:rsid w:val="00DE1EE2"/>
    <w:rsid w:val="00DF3267"/>
    <w:rsid w:val="00DF3B3C"/>
    <w:rsid w:val="00E25524"/>
    <w:rsid w:val="00E26DC9"/>
    <w:rsid w:val="00E50624"/>
    <w:rsid w:val="00E679EF"/>
    <w:rsid w:val="00E8481C"/>
    <w:rsid w:val="00EA782E"/>
    <w:rsid w:val="00EC0063"/>
    <w:rsid w:val="00EE467E"/>
    <w:rsid w:val="00EE548F"/>
    <w:rsid w:val="00EE5B69"/>
    <w:rsid w:val="00F01B7B"/>
    <w:rsid w:val="00F05270"/>
    <w:rsid w:val="00F07E8C"/>
    <w:rsid w:val="00F20B1D"/>
    <w:rsid w:val="00F264B4"/>
    <w:rsid w:val="00F3079A"/>
    <w:rsid w:val="00F4057D"/>
    <w:rsid w:val="00F51EF2"/>
    <w:rsid w:val="00F650A3"/>
    <w:rsid w:val="00F67F29"/>
    <w:rsid w:val="00F7278E"/>
    <w:rsid w:val="00F92744"/>
    <w:rsid w:val="00FA7F6E"/>
    <w:rsid w:val="00FB45A0"/>
    <w:rsid w:val="00FF3734"/>
    <w:rsid w:val="3171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qFormat="1"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qFormat="1"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qFormat="1"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qFormat="1"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Theme="minorEastAsia" w:cstheme="minorBidi"/>
      <w:kern w:val="0"/>
      <w:sz w:val="24"/>
      <w:szCs w:val="24"/>
      <w:lang w:val="en-US" w:eastAsia="zh-CN" w:bidi="ar-SA"/>
    </w:rPr>
  </w:style>
  <w:style w:type="paragraph" w:styleId="3">
    <w:name w:val="heading 1"/>
    <w:basedOn w:val="1"/>
    <w:link w:val="94"/>
    <w:qFormat/>
    <w:uiPriority w:val="9"/>
    <w:pPr>
      <w:spacing w:before="100" w:beforeAutospacing="1" w:after="100" w:afterAutospacing="1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4">
    <w:name w:val="heading 2"/>
    <w:basedOn w:val="1"/>
    <w:next w:val="1"/>
    <w:link w:val="9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96"/>
    <w:qFormat/>
    <w:uiPriority w:val="9"/>
    <w:pPr>
      <w:keepNext/>
      <w:keepLines/>
      <w:widowControl w:val="0"/>
      <w:spacing w:before="260" w:after="260" w:line="416" w:lineRule="auto"/>
      <w:jc w:val="both"/>
      <w:outlineLvl w:val="2"/>
    </w:pPr>
    <w:rPr>
      <w:rFonts w:ascii="等线" w:hAnsi="等线" w:eastAsia="等线" w:cs="Times New Roman"/>
      <w:b/>
      <w:bCs/>
      <w:kern w:val="2"/>
      <w:sz w:val="32"/>
      <w:szCs w:val="32"/>
    </w:rPr>
  </w:style>
  <w:style w:type="paragraph" w:styleId="6">
    <w:name w:val="heading 4"/>
    <w:basedOn w:val="1"/>
    <w:next w:val="1"/>
    <w:link w:val="97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1"/>
    <w:next w:val="1"/>
    <w:link w:val="109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110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</w:rPr>
  </w:style>
  <w:style w:type="paragraph" w:styleId="9">
    <w:name w:val="heading 7"/>
    <w:basedOn w:val="1"/>
    <w:next w:val="1"/>
    <w:link w:val="111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b/>
      <w:bCs/>
    </w:rPr>
  </w:style>
  <w:style w:type="paragraph" w:styleId="10">
    <w:name w:val="heading 8"/>
    <w:basedOn w:val="1"/>
    <w:next w:val="1"/>
    <w:link w:val="112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</w:rPr>
  </w:style>
  <w:style w:type="paragraph" w:styleId="11">
    <w:name w:val="heading 9"/>
    <w:basedOn w:val="1"/>
    <w:next w:val="1"/>
    <w:link w:val="113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90">
    <w:name w:val="Default Paragraph Font"/>
    <w:semiHidden/>
    <w:unhideWhenUsed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18"/>
    <w:semiHidden/>
    <w:unhideWhenUsed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0"/>
      <w:sz w:val="24"/>
      <w:szCs w:val="24"/>
      <w:lang w:val="en-US" w:eastAsia="zh-CN" w:bidi="ar-SA"/>
    </w:rPr>
  </w:style>
  <w:style w:type="paragraph" w:styleId="12">
    <w:name w:val="List 3"/>
    <w:basedOn w:val="1"/>
    <w:semiHidden/>
    <w:unhideWhenUsed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autoRedefine/>
    <w:semiHidden/>
    <w:unhideWhenUsed/>
    <w:uiPriority w:val="39"/>
    <w:pPr>
      <w:ind w:left="2520" w:leftChars="1200"/>
    </w:pPr>
  </w:style>
  <w:style w:type="paragraph" w:styleId="14">
    <w:name w:val="List Number 2"/>
    <w:basedOn w:val="1"/>
    <w:semiHidden/>
    <w:unhideWhenUsed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unhideWhenUsed/>
    <w:uiPriority w:val="99"/>
    <w:pPr>
      <w:ind w:left="420" w:leftChars="200"/>
    </w:pPr>
  </w:style>
  <w:style w:type="paragraph" w:styleId="16">
    <w:name w:val="Note Heading"/>
    <w:basedOn w:val="1"/>
    <w:next w:val="1"/>
    <w:link w:val="142"/>
    <w:semiHidden/>
    <w:unhideWhenUsed/>
    <w:uiPriority w:val="99"/>
    <w:pPr>
      <w:jc w:val="center"/>
    </w:pPr>
  </w:style>
  <w:style w:type="paragraph" w:styleId="17">
    <w:name w:val="List Bullet 4"/>
    <w:basedOn w:val="1"/>
    <w:semiHidden/>
    <w:unhideWhenUsed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autoRedefine/>
    <w:semiHidden/>
    <w:unhideWhenUsed/>
    <w:uiPriority w:val="99"/>
    <w:pPr>
      <w:ind w:left="1400" w:leftChars="1400"/>
    </w:pPr>
  </w:style>
  <w:style w:type="paragraph" w:styleId="19">
    <w:name w:val="E-mail Signature"/>
    <w:basedOn w:val="1"/>
    <w:link w:val="116"/>
    <w:semiHidden/>
    <w:unhideWhenUsed/>
    <w:qFormat/>
    <w:uiPriority w:val="99"/>
  </w:style>
  <w:style w:type="paragraph" w:styleId="20">
    <w:name w:val="List Number"/>
    <w:basedOn w:val="1"/>
    <w:semiHidden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unhideWhenUsed/>
    <w:uiPriority w:val="99"/>
    <w:pPr>
      <w:ind w:firstLine="420" w:firstLineChars="200"/>
    </w:pPr>
  </w:style>
  <w:style w:type="paragraph" w:styleId="22">
    <w:name w:val="caption"/>
    <w:basedOn w:val="1"/>
    <w:next w:val="1"/>
    <w:semiHidden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23">
    <w:name w:val="index 5"/>
    <w:basedOn w:val="1"/>
    <w:next w:val="1"/>
    <w:autoRedefine/>
    <w:semiHidden/>
    <w:unhideWhenUsed/>
    <w:uiPriority w:val="99"/>
    <w:pPr>
      <w:ind w:left="800" w:leftChars="800"/>
    </w:pPr>
  </w:style>
  <w:style w:type="paragraph" w:styleId="24">
    <w:name w:val="List Bullet"/>
    <w:basedOn w:val="1"/>
    <w:semiHidden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unhideWhenUsed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Theme="majorHAnsi" w:hAnsiTheme="majorHAnsi" w:eastAsiaTheme="majorEastAsia" w:cstheme="majorBidi"/>
    </w:rPr>
  </w:style>
  <w:style w:type="paragraph" w:styleId="26">
    <w:name w:val="Document Map"/>
    <w:basedOn w:val="1"/>
    <w:link w:val="129"/>
    <w:semiHidden/>
    <w:unhideWhenUsed/>
    <w:uiPriority w:val="99"/>
    <w:rPr>
      <w:rFonts w:ascii="宋体" w:eastAsia="宋体"/>
      <w:sz w:val="18"/>
      <w:szCs w:val="18"/>
    </w:rPr>
  </w:style>
  <w:style w:type="paragraph" w:styleId="27">
    <w:name w:val="toa heading"/>
    <w:basedOn w:val="1"/>
    <w:next w:val="1"/>
    <w:semiHidden/>
    <w:unhideWhenUsed/>
    <w:uiPriority w:val="99"/>
    <w:pPr>
      <w:spacing w:before="120"/>
    </w:pPr>
    <w:rPr>
      <w:rFonts w:eastAsia="宋体" w:asciiTheme="majorHAnsi" w:hAnsiTheme="majorHAnsi" w:cstheme="majorBidi"/>
    </w:rPr>
  </w:style>
  <w:style w:type="paragraph" w:styleId="28">
    <w:name w:val="annotation text"/>
    <w:basedOn w:val="1"/>
    <w:link w:val="123"/>
    <w:semiHidden/>
    <w:unhideWhenUsed/>
    <w:uiPriority w:val="99"/>
  </w:style>
  <w:style w:type="paragraph" w:styleId="29">
    <w:name w:val="index 6"/>
    <w:basedOn w:val="1"/>
    <w:next w:val="1"/>
    <w:autoRedefine/>
    <w:semiHidden/>
    <w:unhideWhenUsed/>
    <w:uiPriority w:val="99"/>
    <w:pPr>
      <w:ind w:left="1000" w:leftChars="1000"/>
    </w:pPr>
  </w:style>
  <w:style w:type="paragraph" w:styleId="30">
    <w:name w:val="Salutation"/>
    <w:basedOn w:val="1"/>
    <w:next w:val="1"/>
    <w:link w:val="114"/>
    <w:semiHidden/>
    <w:unhideWhenUsed/>
    <w:qFormat/>
    <w:uiPriority w:val="99"/>
  </w:style>
  <w:style w:type="paragraph" w:styleId="31">
    <w:name w:val="Body Text 3"/>
    <w:basedOn w:val="1"/>
    <w:link w:val="139"/>
    <w:semiHidden/>
    <w:unhideWhenUsed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20"/>
    <w:semiHidden/>
    <w:unhideWhenUsed/>
    <w:uiPriority w:val="99"/>
    <w:pPr>
      <w:ind w:left="100" w:leftChars="2100"/>
    </w:pPr>
  </w:style>
  <w:style w:type="paragraph" w:styleId="33">
    <w:name w:val="List Bullet 3"/>
    <w:basedOn w:val="1"/>
    <w:semiHidden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34"/>
    <w:semiHidden/>
    <w:unhideWhenUsed/>
    <w:uiPriority w:val="99"/>
    <w:pPr>
      <w:spacing w:after="120"/>
    </w:pPr>
  </w:style>
  <w:style w:type="paragraph" w:styleId="35">
    <w:name w:val="Body Text Indent"/>
    <w:basedOn w:val="1"/>
    <w:link w:val="136"/>
    <w:semiHidden/>
    <w:unhideWhenUsed/>
    <w:uiPriority w:val="99"/>
    <w:pPr>
      <w:spacing w:after="120"/>
      <w:ind w:left="420" w:leftChars="200"/>
    </w:pPr>
  </w:style>
  <w:style w:type="paragraph" w:styleId="36">
    <w:name w:val="List Number 3"/>
    <w:basedOn w:val="1"/>
    <w:semiHidden/>
    <w:unhideWhenUsed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unhideWhenUsed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semiHidden/>
    <w:unhideWhenUsed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semiHidden/>
    <w:unhideWhenUsed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semiHidden/>
    <w:unhideWhenUsed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05"/>
    <w:semiHidden/>
    <w:unhideWhenUsed/>
    <w:uiPriority w:val="99"/>
    <w:rPr>
      <w:i/>
      <w:iCs/>
    </w:rPr>
  </w:style>
  <w:style w:type="paragraph" w:styleId="42">
    <w:name w:val="index 4"/>
    <w:basedOn w:val="1"/>
    <w:next w:val="1"/>
    <w:autoRedefine/>
    <w:semiHidden/>
    <w:unhideWhenUsed/>
    <w:uiPriority w:val="99"/>
    <w:pPr>
      <w:ind w:left="600" w:leftChars="600"/>
    </w:pPr>
  </w:style>
  <w:style w:type="paragraph" w:styleId="43">
    <w:name w:val="toc 5"/>
    <w:basedOn w:val="1"/>
    <w:next w:val="1"/>
    <w:autoRedefine/>
    <w:semiHidden/>
    <w:unhideWhenUsed/>
    <w:uiPriority w:val="39"/>
    <w:pPr>
      <w:ind w:left="1680" w:leftChars="800"/>
    </w:pPr>
  </w:style>
  <w:style w:type="paragraph" w:styleId="44">
    <w:name w:val="toc 3"/>
    <w:basedOn w:val="1"/>
    <w:next w:val="1"/>
    <w:autoRedefine/>
    <w:semiHidden/>
    <w:unhideWhenUsed/>
    <w:uiPriority w:val="39"/>
    <w:pPr>
      <w:ind w:left="840" w:leftChars="400"/>
    </w:pPr>
  </w:style>
  <w:style w:type="paragraph" w:styleId="45">
    <w:name w:val="Plain Text"/>
    <w:basedOn w:val="1"/>
    <w:link w:val="115"/>
    <w:semiHidden/>
    <w:unhideWhenUsed/>
    <w:qFormat/>
    <w:uiPriority w:val="99"/>
    <w:rPr>
      <w:rFonts w:ascii="宋体" w:hAnsi="Courier New" w:eastAsia="宋体" w:cs="Courier New"/>
      <w:sz w:val="21"/>
      <w:szCs w:val="21"/>
    </w:rPr>
  </w:style>
  <w:style w:type="paragraph" w:styleId="46">
    <w:name w:val="List Bullet 5"/>
    <w:basedOn w:val="1"/>
    <w:semiHidden/>
    <w:unhideWhenUsed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unhideWhenUsed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autoRedefine/>
    <w:semiHidden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autoRedefine/>
    <w:semiHidden/>
    <w:unhideWhenUsed/>
    <w:uiPriority w:val="99"/>
    <w:pPr>
      <w:ind w:left="400" w:leftChars="400"/>
    </w:pPr>
  </w:style>
  <w:style w:type="paragraph" w:styleId="50">
    <w:name w:val="Date"/>
    <w:basedOn w:val="1"/>
    <w:next w:val="1"/>
    <w:link w:val="126"/>
    <w:semiHidden/>
    <w:unhideWhenUsed/>
    <w:uiPriority w:val="99"/>
    <w:pPr>
      <w:ind w:left="100" w:leftChars="2500"/>
    </w:pPr>
  </w:style>
  <w:style w:type="paragraph" w:styleId="51">
    <w:name w:val="Body Text Indent 2"/>
    <w:basedOn w:val="1"/>
    <w:link w:val="140"/>
    <w:semiHidden/>
    <w:unhideWhenUsed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28"/>
    <w:semiHidden/>
    <w:unhideWhenUsed/>
    <w:uiPriority w:val="99"/>
    <w:pPr>
      <w:snapToGrid w:val="0"/>
    </w:pPr>
  </w:style>
  <w:style w:type="paragraph" w:styleId="53">
    <w:name w:val="List Continue 5"/>
    <w:basedOn w:val="1"/>
    <w:semiHidden/>
    <w:unhideWhenUsed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03"/>
    <w:semiHidden/>
    <w:unhideWhenUsed/>
    <w:uiPriority w:val="99"/>
    <w:rPr>
      <w:sz w:val="18"/>
      <w:szCs w:val="18"/>
    </w:rPr>
  </w:style>
  <w:style w:type="paragraph" w:styleId="55">
    <w:name w:val="footer"/>
    <w:basedOn w:val="1"/>
    <w:link w:val="10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6">
    <w:name w:val="envelope return"/>
    <w:basedOn w:val="1"/>
    <w:semiHidden/>
    <w:unhideWhenUsed/>
    <w:uiPriority w:val="99"/>
    <w:pPr>
      <w:snapToGrid w:val="0"/>
    </w:pPr>
    <w:rPr>
      <w:rFonts w:asciiTheme="majorHAnsi" w:hAnsiTheme="majorHAnsi" w:eastAsiaTheme="majorEastAsia" w:cstheme="majorBidi"/>
    </w:rPr>
  </w:style>
  <w:style w:type="paragraph" w:styleId="57">
    <w:name w:val="header"/>
    <w:basedOn w:val="1"/>
    <w:link w:val="10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8">
    <w:name w:val="Signature"/>
    <w:basedOn w:val="1"/>
    <w:link w:val="125"/>
    <w:semiHidden/>
    <w:unhideWhenUsed/>
    <w:uiPriority w:val="99"/>
    <w:pPr>
      <w:ind w:left="100" w:leftChars="2100"/>
    </w:pPr>
  </w:style>
  <w:style w:type="paragraph" w:styleId="59">
    <w:name w:val="toc 1"/>
    <w:basedOn w:val="1"/>
    <w:next w:val="1"/>
    <w:autoRedefine/>
    <w:semiHidden/>
    <w:unhideWhenUsed/>
    <w:uiPriority w:val="39"/>
  </w:style>
  <w:style w:type="paragraph" w:styleId="60">
    <w:name w:val="List Continue 4"/>
    <w:basedOn w:val="1"/>
    <w:semiHidden/>
    <w:unhideWhenUsed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autoRedefine/>
    <w:semiHidden/>
    <w:unhideWhenUsed/>
    <w:uiPriority w:val="39"/>
    <w:pPr>
      <w:ind w:left="1260" w:leftChars="600"/>
    </w:pPr>
  </w:style>
  <w:style w:type="paragraph" w:styleId="62">
    <w:name w:val="index heading"/>
    <w:basedOn w:val="1"/>
    <w:next w:val="63"/>
    <w:semiHidden/>
    <w:unhideWhenUsed/>
    <w:uiPriority w:val="99"/>
    <w:rPr>
      <w:rFonts w:asciiTheme="majorHAnsi" w:hAnsiTheme="majorHAnsi" w:eastAsiaTheme="majorEastAsia" w:cstheme="majorBidi"/>
      <w:b/>
      <w:bCs/>
    </w:rPr>
  </w:style>
  <w:style w:type="paragraph" w:styleId="63">
    <w:name w:val="index 1"/>
    <w:basedOn w:val="1"/>
    <w:next w:val="1"/>
    <w:autoRedefine/>
    <w:semiHidden/>
    <w:unhideWhenUsed/>
    <w:uiPriority w:val="99"/>
  </w:style>
  <w:style w:type="paragraph" w:styleId="64">
    <w:name w:val="Subtitle"/>
    <w:basedOn w:val="1"/>
    <w:next w:val="1"/>
    <w:link w:val="117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65">
    <w:name w:val="List Number 5"/>
    <w:basedOn w:val="1"/>
    <w:semiHidden/>
    <w:unhideWhenUsed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unhideWhenUsed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19"/>
    <w:semiHidden/>
    <w:unhideWhenUsed/>
    <w:uiPriority w:val="99"/>
    <w:pPr>
      <w:snapToGrid w:val="0"/>
    </w:pPr>
    <w:rPr>
      <w:sz w:val="18"/>
      <w:szCs w:val="18"/>
    </w:rPr>
  </w:style>
  <w:style w:type="paragraph" w:styleId="68">
    <w:name w:val="toc 6"/>
    <w:basedOn w:val="1"/>
    <w:next w:val="1"/>
    <w:autoRedefine/>
    <w:semiHidden/>
    <w:unhideWhenUsed/>
    <w:uiPriority w:val="39"/>
    <w:pPr>
      <w:ind w:left="2100" w:leftChars="1000"/>
    </w:pPr>
  </w:style>
  <w:style w:type="paragraph" w:styleId="69">
    <w:name w:val="List 5"/>
    <w:basedOn w:val="1"/>
    <w:semiHidden/>
    <w:unhideWhenUsed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41"/>
    <w:semiHidden/>
    <w:unhideWhenUsed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unhideWhenUsed/>
    <w:uiPriority w:val="99"/>
    <w:pPr>
      <w:ind w:left="1200" w:leftChars="1200"/>
    </w:pPr>
  </w:style>
  <w:style w:type="paragraph" w:styleId="72">
    <w:name w:val="index 9"/>
    <w:basedOn w:val="1"/>
    <w:next w:val="1"/>
    <w:autoRedefine/>
    <w:semiHidden/>
    <w:unhideWhenUsed/>
    <w:uiPriority w:val="99"/>
    <w:pPr>
      <w:ind w:left="1600" w:leftChars="1600"/>
    </w:pPr>
  </w:style>
  <w:style w:type="paragraph" w:styleId="73">
    <w:name w:val="table of figures"/>
    <w:basedOn w:val="1"/>
    <w:next w:val="1"/>
    <w:semiHidden/>
    <w:unhideWhenUsed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autoRedefine/>
    <w:semiHidden/>
    <w:unhideWhenUsed/>
    <w:uiPriority w:val="39"/>
    <w:pPr>
      <w:ind w:left="420" w:leftChars="200"/>
    </w:pPr>
  </w:style>
  <w:style w:type="paragraph" w:styleId="75">
    <w:name w:val="toc 9"/>
    <w:basedOn w:val="1"/>
    <w:next w:val="1"/>
    <w:autoRedefine/>
    <w:semiHidden/>
    <w:unhideWhenUsed/>
    <w:uiPriority w:val="39"/>
    <w:pPr>
      <w:ind w:left="3360" w:leftChars="1600"/>
    </w:pPr>
  </w:style>
  <w:style w:type="paragraph" w:styleId="76">
    <w:name w:val="Body Text 2"/>
    <w:basedOn w:val="1"/>
    <w:link w:val="138"/>
    <w:semiHidden/>
    <w:unhideWhenUsed/>
    <w:uiPriority w:val="99"/>
    <w:pPr>
      <w:spacing w:after="120" w:line="480" w:lineRule="auto"/>
    </w:pPr>
  </w:style>
  <w:style w:type="paragraph" w:styleId="77">
    <w:name w:val="List 4"/>
    <w:basedOn w:val="1"/>
    <w:semiHidden/>
    <w:unhideWhenUsed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semiHidden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31"/>
    <w:semiHidden/>
    <w:unhideWhenUsed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</w:rPr>
  </w:style>
  <w:style w:type="paragraph" w:styleId="80">
    <w:name w:val="HTML Preformatted"/>
    <w:basedOn w:val="1"/>
    <w:link w:val="106"/>
    <w:semiHidden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styleId="82">
    <w:name w:val="List Continue 3"/>
    <w:basedOn w:val="1"/>
    <w:semiHidden/>
    <w:unhideWhenUsed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autoRedefine/>
    <w:semiHidden/>
    <w:unhideWhenUsed/>
    <w:uiPriority w:val="99"/>
    <w:pPr>
      <w:ind w:left="200" w:leftChars="200"/>
    </w:pPr>
  </w:style>
  <w:style w:type="paragraph" w:styleId="84">
    <w:name w:val="Title"/>
    <w:basedOn w:val="1"/>
    <w:next w:val="1"/>
    <w:link w:val="108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85">
    <w:name w:val="annotation subject"/>
    <w:basedOn w:val="28"/>
    <w:next w:val="28"/>
    <w:link w:val="124"/>
    <w:semiHidden/>
    <w:unhideWhenUsed/>
    <w:qFormat/>
    <w:uiPriority w:val="99"/>
    <w:rPr>
      <w:b/>
      <w:bCs/>
    </w:rPr>
  </w:style>
  <w:style w:type="paragraph" w:styleId="86">
    <w:name w:val="Body Text First Indent"/>
    <w:basedOn w:val="34"/>
    <w:link w:val="135"/>
    <w:semiHidden/>
    <w:unhideWhenUsed/>
    <w:uiPriority w:val="99"/>
    <w:pPr>
      <w:ind w:firstLine="420" w:firstLineChars="100"/>
    </w:pPr>
  </w:style>
  <w:style w:type="paragraph" w:styleId="87">
    <w:name w:val="Body Text First Indent 2"/>
    <w:basedOn w:val="35"/>
    <w:link w:val="137"/>
    <w:semiHidden/>
    <w:unhideWhenUsed/>
    <w:uiPriority w:val="99"/>
    <w:pPr>
      <w:ind w:firstLine="420" w:firstLineChars="200"/>
    </w:pPr>
  </w:style>
  <w:style w:type="table" w:styleId="89">
    <w:name w:val="Table Grid"/>
    <w:basedOn w:val="88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Strong"/>
    <w:basedOn w:val="90"/>
    <w:qFormat/>
    <w:uiPriority w:val="22"/>
    <w:rPr>
      <w:b/>
      <w:bCs/>
    </w:rPr>
  </w:style>
  <w:style w:type="character" w:styleId="92">
    <w:name w:val="Emphasis"/>
    <w:basedOn w:val="90"/>
    <w:qFormat/>
    <w:uiPriority w:val="20"/>
    <w:rPr>
      <w:i/>
      <w:iCs/>
    </w:rPr>
  </w:style>
  <w:style w:type="character" w:styleId="93">
    <w:name w:val="Hyperlink"/>
    <w:basedOn w:val="90"/>
    <w:unhideWhenUsed/>
    <w:qFormat/>
    <w:uiPriority w:val="99"/>
    <w:rPr>
      <w:color w:val="0563C1" w:themeColor="hyperlink"/>
      <w:u w:val="single"/>
    </w:rPr>
  </w:style>
  <w:style w:type="character" w:customStyle="1" w:styleId="94">
    <w:name w:val="标题 1 字符"/>
    <w:basedOn w:val="90"/>
    <w:link w:val="3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95">
    <w:name w:val="标题 2 字符"/>
    <w:basedOn w:val="90"/>
    <w:link w:val="4"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character" w:customStyle="1" w:styleId="96">
    <w:name w:val="标题 3 字符"/>
    <w:basedOn w:val="90"/>
    <w:link w:val="5"/>
    <w:uiPriority w:val="9"/>
    <w:rPr>
      <w:rFonts w:ascii="等线" w:hAnsi="等线" w:eastAsia="等线" w:cs="Times New Roman"/>
      <w:b/>
      <w:bCs/>
      <w:sz w:val="32"/>
      <w:szCs w:val="32"/>
    </w:rPr>
  </w:style>
  <w:style w:type="character" w:customStyle="1" w:styleId="97">
    <w:name w:val="标题 4 字符"/>
    <w:basedOn w:val="90"/>
    <w:link w:val="6"/>
    <w:uiPriority w:val="9"/>
    <w:rPr>
      <w:rFonts w:asciiTheme="majorHAnsi" w:hAnsiTheme="majorHAnsi" w:eastAsiaTheme="majorEastAsia" w:cstheme="majorBidi"/>
      <w:b/>
      <w:bCs/>
      <w:kern w:val="0"/>
      <w:sz w:val="28"/>
      <w:szCs w:val="28"/>
    </w:rPr>
  </w:style>
  <w:style w:type="paragraph" w:styleId="98">
    <w:name w:val="List Paragraph"/>
    <w:basedOn w:val="1"/>
    <w:link w:val="99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</w:rPr>
  </w:style>
  <w:style w:type="character" w:customStyle="1" w:styleId="99">
    <w:name w:val="列表段落 字符"/>
    <w:link w:val="98"/>
    <w:qFormat/>
    <w:uiPriority w:val="34"/>
    <w:rPr>
      <w:rFonts w:ascii="Calibri" w:hAnsi="Calibri" w:eastAsia="宋体" w:cs="Times New Roman"/>
    </w:rPr>
  </w:style>
  <w:style w:type="paragraph" w:customStyle="1" w:styleId="100">
    <w:name w:val="附内"/>
    <w:basedOn w:val="1"/>
    <w:qFormat/>
    <w:uiPriority w:val="0"/>
    <w:pPr>
      <w:widowControl w:val="0"/>
      <w:spacing w:line="400" w:lineRule="exact"/>
    </w:pPr>
    <w:rPr>
      <w:rFonts w:eastAsia="宋体" w:asciiTheme="minorHAnsi" w:hAnsiTheme="minorHAnsi"/>
      <w:kern w:val="2"/>
    </w:rPr>
  </w:style>
  <w:style w:type="character" w:customStyle="1" w:styleId="101">
    <w:name w:val="页眉 字符"/>
    <w:basedOn w:val="90"/>
    <w:link w:val="57"/>
    <w:uiPriority w:val="99"/>
    <w:rPr>
      <w:rFonts w:ascii="Times New Roman" w:hAnsi="Times New Roman"/>
      <w:kern w:val="0"/>
      <w:sz w:val="18"/>
      <w:szCs w:val="18"/>
    </w:rPr>
  </w:style>
  <w:style w:type="character" w:customStyle="1" w:styleId="102">
    <w:name w:val="页脚 字符"/>
    <w:basedOn w:val="90"/>
    <w:link w:val="55"/>
    <w:uiPriority w:val="99"/>
    <w:rPr>
      <w:rFonts w:ascii="Times New Roman" w:hAnsi="Times New Roman"/>
      <w:kern w:val="0"/>
      <w:sz w:val="18"/>
      <w:szCs w:val="18"/>
    </w:rPr>
  </w:style>
  <w:style w:type="character" w:customStyle="1" w:styleId="103">
    <w:name w:val="批注框文本 字符"/>
    <w:basedOn w:val="90"/>
    <w:link w:val="54"/>
    <w:semiHidden/>
    <w:qFormat/>
    <w:uiPriority w:val="99"/>
    <w:rPr>
      <w:rFonts w:ascii="Times New Roman" w:hAnsi="Times New Roman"/>
      <w:kern w:val="0"/>
      <w:sz w:val="18"/>
      <w:szCs w:val="18"/>
    </w:rPr>
  </w:style>
  <w:style w:type="character" w:customStyle="1" w:styleId="104">
    <w:name w:val="cosd-citation-citationid"/>
    <w:basedOn w:val="90"/>
    <w:qFormat/>
    <w:uiPriority w:val="0"/>
  </w:style>
  <w:style w:type="character" w:customStyle="1" w:styleId="105">
    <w:name w:val="HTML 地址 字符"/>
    <w:basedOn w:val="90"/>
    <w:link w:val="41"/>
    <w:semiHidden/>
    <w:qFormat/>
    <w:uiPriority w:val="99"/>
    <w:rPr>
      <w:rFonts w:ascii="Times New Roman" w:hAnsi="Times New Roman"/>
      <w:i/>
      <w:iCs/>
      <w:kern w:val="0"/>
      <w:sz w:val="24"/>
      <w:szCs w:val="24"/>
    </w:rPr>
  </w:style>
  <w:style w:type="character" w:customStyle="1" w:styleId="106">
    <w:name w:val="HTML 预设格式 字符"/>
    <w:basedOn w:val="90"/>
    <w:link w:val="80"/>
    <w:semiHidden/>
    <w:qFormat/>
    <w:uiPriority w:val="99"/>
    <w:rPr>
      <w:rFonts w:ascii="Courier New" w:hAnsi="Courier New" w:cs="Courier New"/>
      <w:kern w:val="0"/>
      <w:sz w:val="20"/>
      <w:szCs w:val="20"/>
    </w:rPr>
  </w:style>
  <w:style w:type="paragraph" w:customStyle="1" w:styleId="107">
    <w:name w:val="TOC Heading"/>
    <w:basedOn w:val="3"/>
    <w:next w:val="1"/>
    <w:semiHidden/>
    <w:unhideWhenUsed/>
    <w:qFormat/>
    <w:uiPriority w:val="39"/>
    <w:pPr>
      <w:keepNext/>
      <w:keepLines/>
      <w:spacing w:before="340" w:beforeAutospacing="0" w:after="330" w:afterAutospacing="0" w:line="578" w:lineRule="auto"/>
      <w:outlineLvl w:val="9"/>
    </w:pPr>
    <w:rPr>
      <w:rFonts w:ascii="Times New Roman" w:hAnsi="Times New Roman" w:eastAsiaTheme="minorEastAsia" w:cstheme="minorBidi"/>
      <w:kern w:val="44"/>
      <w:sz w:val="44"/>
      <w:szCs w:val="44"/>
    </w:rPr>
  </w:style>
  <w:style w:type="character" w:customStyle="1" w:styleId="108">
    <w:name w:val="标题 字符"/>
    <w:basedOn w:val="90"/>
    <w:link w:val="84"/>
    <w:qFormat/>
    <w:uiPriority w:val="10"/>
    <w:rPr>
      <w:rFonts w:eastAsia="宋体" w:asciiTheme="majorHAnsi" w:hAnsiTheme="majorHAnsi" w:cstheme="majorBidi"/>
      <w:b/>
      <w:bCs/>
      <w:kern w:val="0"/>
      <w:sz w:val="32"/>
      <w:szCs w:val="32"/>
    </w:rPr>
  </w:style>
  <w:style w:type="character" w:customStyle="1" w:styleId="109">
    <w:name w:val="标题 5 字符"/>
    <w:basedOn w:val="90"/>
    <w:link w:val="7"/>
    <w:semiHidden/>
    <w:qFormat/>
    <w:uiPriority w:val="9"/>
    <w:rPr>
      <w:rFonts w:ascii="Times New Roman" w:hAnsi="Times New Roman"/>
      <w:b/>
      <w:bCs/>
      <w:kern w:val="0"/>
      <w:sz w:val="28"/>
      <w:szCs w:val="28"/>
    </w:rPr>
  </w:style>
  <w:style w:type="character" w:customStyle="1" w:styleId="110">
    <w:name w:val="标题 6 字符"/>
    <w:basedOn w:val="90"/>
    <w:link w:val="8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24"/>
      <w:szCs w:val="24"/>
    </w:rPr>
  </w:style>
  <w:style w:type="character" w:customStyle="1" w:styleId="111">
    <w:name w:val="标题 7 字符"/>
    <w:basedOn w:val="90"/>
    <w:link w:val="9"/>
    <w:semiHidden/>
    <w:qFormat/>
    <w:uiPriority w:val="9"/>
    <w:rPr>
      <w:rFonts w:ascii="Times New Roman" w:hAnsi="Times New Roman"/>
      <w:b/>
      <w:bCs/>
      <w:kern w:val="0"/>
      <w:sz w:val="24"/>
      <w:szCs w:val="24"/>
    </w:rPr>
  </w:style>
  <w:style w:type="character" w:customStyle="1" w:styleId="112">
    <w:name w:val="标题 8 字符"/>
    <w:basedOn w:val="90"/>
    <w:link w:val="10"/>
    <w:semiHidden/>
    <w:qFormat/>
    <w:uiPriority w:val="9"/>
    <w:rPr>
      <w:rFonts w:asciiTheme="majorHAnsi" w:hAnsiTheme="majorHAnsi" w:eastAsiaTheme="majorEastAsia" w:cstheme="majorBidi"/>
      <w:kern w:val="0"/>
      <w:sz w:val="24"/>
      <w:szCs w:val="24"/>
    </w:rPr>
  </w:style>
  <w:style w:type="character" w:customStyle="1" w:styleId="113">
    <w:name w:val="标题 9 字符"/>
    <w:basedOn w:val="90"/>
    <w:link w:val="11"/>
    <w:semiHidden/>
    <w:qFormat/>
    <w:uiPriority w:val="9"/>
    <w:rPr>
      <w:rFonts w:asciiTheme="majorHAnsi" w:hAnsiTheme="majorHAnsi" w:eastAsiaTheme="majorEastAsia" w:cstheme="majorBidi"/>
      <w:kern w:val="0"/>
      <w:szCs w:val="21"/>
    </w:rPr>
  </w:style>
  <w:style w:type="character" w:customStyle="1" w:styleId="114">
    <w:name w:val="称呼 字符"/>
    <w:basedOn w:val="90"/>
    <w:link w:val="30"/>
    <w:semiHidden/>
    <w:qFormat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15">
    <w:name w:val="纯文本 字符"/>
    <w:basedOn w:val="90"/>
    <w:link w:val="45"/>
    <w:semiHidden/>
    <w:qFormat/>
    <w:uiPriority w:val="99"/>
    <w:rPr>
      <w:rFonts w:ascii="宋体" w:hAnsi="Courier New" w:eastAsia="宋体" w:cs="Courier New"/>
      <w:kern w:val="0"/>
      <w:szCs w:val="21"/>
    </w:rPr>
  </w:style>
  <w:style w:type="character" w:customStyle="1" w:styleId="116">
    <w:name w:val="电子邮件签名 字符"/>
    <w:basedOn w:val="90"/>
    <w:link w:val="19"/>
    <w:semiHidden/>
    <w:qFormat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17">
    <w:name w:val="副标题 字符"/>
    <w:basedOn w:val="90"/>
    <w:link w:val="64"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18">
    <w:name w:val="宏文本 字符"/>
    <w:basedOn w:val="90"/>
    <w:link w:val="2"/>
    <w:semiHidden/>
    <w:qFormat/>
    <w:uiPriority w:val="99"/>
    <w:rPr>
      <w:rFonts w:ascii="Courier New" w:hAnsi="Courier New" w:eastAsia="宋体" w:cs="Courier New"/>
      <w:kern w:val="0"/>
      <w:sz w:val="24"/>
      <w:szCs w:val="24"/>
    </w:rPr>
  </w:style>
  <w:style w:type="character" w:customStyle="1" w:styleId="119">
    <w:name w:val="脚注文本 字符"/>
    <w:basedOn w:val="90"/>
    <w:link w:val="67"/>
    <w:semiHidden/>
    <w:uiPriority w:val="99"/>
    <w:rPr>
      <w:rFonts w:ascii="Times New Roman" w:hAnsi="Times New Roman"/>
      <w:kern w:val="0"/>
      <w:sz w:val="18"/>
      <w:szCs w:val="18"/>
    </w:rPr>
  </w:style>
  <w:style w:type="character" w:customStyle="1" w:styleId="120">
    <w:name w:val="结束语 字符"/>
    <w:basedOn w:val="90"/>
    <w:link w:val="32"/>
    <w:semiHidden/>
    <w:uiPriority w:val="99"/>
    <w:rPr>
      <w:rFonts w:ascii="Times New Roman" w:hAnsi="Times New Roman"/>
      <w:kern w:val="0"/>
      <w:sz w:val="24"/>
      <w:szCs w:val="24"/>
    </w:rPr>
  </w:style>
  <w:style w:type="paragraph" w:styleId="121">
    <w:name w:val="Intense Quote"/>
    <w:basedOn w:val="1"/>
    <w:next w:val="1"/>
    <w:link w:val="122"/>
    <w:qFormat/>
    <w:uiPriority w:val="30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122">
    <w:name w:val="明显引用 字符"/>
    <w:basedOn w:val="90"/>
    <w:link w:val="121"/>
    <w:uiPriority w:val="30"/>
    <w:rPr>
      <w:rFonts w:ascii="Times New Roman" w:hAnsi="Times New Roman"/>
      <w:b/>
      <w:bCs/>
      <w:i/>
      <w:iCs/>
      <w:color w:val="5B9BD5" w:themeColor="accent1"/>
      <w:kern w:val="0"/>
      <w:sz w:val="24"/>
      <w:szCs w:val="24"/>
    </w:rPr>
  </w:style>
  <w:style w:type="character" w:customStyle="1" w:styleId="123">
    <w:name w:val="批注文字 字符"/>
    <w:basedOn w:val="90"/>
    <w:link w:val="28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24">
    <w:name w:val="批注主题 字符"/>
    <w:basedOn w:val="123"/>
    <w:link w:val="85"/>
    <w:semiHidden/>
    <w:uiPriority w:val="99"/>
    <w:rPr>
      <w:rFonts w:ascii="Times New Roman" w:hAnsi="Times New Roman"/>
      <w:b/>
      <w:bCs/>
      <w:kern w:val="0"/>
      <w:sz w:val="24"/>
      <w:szCs w:val="24"/>
    </w:rPr>
  </w:style>
  <w:style w:type="character" w:customStyle="1" w:styleId="125">
    <w:name w:val="签名 字符"/>
    <w:basedOn w:val="90"/>
    <w:link w:val="58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26">
    <w:name w:val="日期 字符"/>
    <w:basedOn w:val="90"/>
    <w:link w:val="50"/>
    <w:semiHidden/>
    <w:uiPriority w:val="99"/>
    <w:rPr>
      <w:rFonts w:ascii="Times New Roman" w:hAnsi="Times New Roman"/>
      <w:kern w:val="0"/>
      <w:sz w:val="24"/>
      <w:szCs w:val="24"/>
    </w:rPr>
  </w:style>
  <w:style w:type="paragraph" w:customStyle="1" w:styleId="127">
    <w:name w:val="Bibliography"/>
    <w:basedOn w:val="1"/>
    <w:next w:val="1"/>
    <w:semiHidden/>
    <w:unhideWhenUsed/>
    <w:uiPriority w:val="37"/>
  </w:style>
  <w:style w:type="character" w:customStyle="1" w:styleId="128">
    <w:name w:val="尾注文本 字符"/>
    <w:basedOn w:val="90"/>
    <w:link w:val="52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29">
    <w:name w:val="文档结构图 字符"/>
    <w:basedOn w:val="90"/>
    <w:link w:val="26"/>
    <w:semiHidden/>
    <w:uiPriority w:val="99"/>
    <w:rPr>
      <w:rFonts w:ascii="宋体" w:hAnsi="Times New Roman" w:eastAsia="宋体"/>
      <w:kern w:val="0"/>
      <w:sz w:val="18"/>
      <w:szCs w:val="18"/>
    </w:rPr>
  </w:style>
  <w:style w:type="paragraph" w:styleId="130">
    <w:name w:val="No Spacing"/>
    <w:qFormat/>
    <w:uiPriority w:val="1"/>
    <w:rPr>
      <w:rFonts w:ascii="Times New Roman" w:hAnsi="Times New Roman" w:eastAsiaTheme="minorEastAsia" w:cstheme="minorBidi"/>
      <w:kern w:val="0"/>
      <w:sz w:val="24"/>
      <w:szCs w:val="24"/>
      <w:lang w:val="en-US" w:eastAsia="zh-CN" w:bidi="ar-SA"/>
    </w:rPr>
  </w:style>
  <w:style w:type="character" w:customStyle="1" w:styleId="131">
    <w:name w:val="信息标题 字符"/>
    <w:basedOn w:val="90"/>
    <w:link w:val="79"/>
    <w:semiHidden/>
    <w:uiPriority w:val="99"/>
    <w:rPr>
      <w:rFonts w:asciiTheme="majorHAnsi" w:hAnsiTheme="majorHAnsi" w:eastAsiaTheme="majorEastAsia" w:cstheme="majorBidi"/>
      <w:kern w:val="0"/>
      <w:sz w:val="24"/>
      <w:szCs w:val="24"/>
      <w:shd w:val="pct20" w:color="auto" w:fill="auto"/>
    </w:rPr>
  </w:style>
  <w:style w:type="paragraph" w:styleId="132">
    <w:name w:val="Quote"/>
    <w:basedOn w:val="1"/>
    <w:next w:val="1"/>
    <w:link w:val="133"/>
    <w:qFormat/>
    <w:uiPriority w:val="29"/>
    <w:rPr>
      <w:i/>
      <w:iCs/>
      <w:color w:val="000000" w:themeColor="text1"/>
    </w:rPr>
  </w:style>
  <w:style w:type="character" w:customStyle="1" w:styleId="133">
    <w:name w:val="引用 字符"/>
    <w:basedOn w:val="90"/>
    <w:link w:val="132"/>
    <w:qFormat/>
    <w:uiPriority w:val="29"/>
    <w:rPr>
      <w:rFonts w:ascii="Times New Roman" w:hAnsi="Times New Roman"/>
      <w:i/>
      <w:iCs/>
      <w:color w:val="000000" w:themeColor="text1"/>
      <w:kern w:val="0"/>
      <w:sz w:val="24"/>
      <w:szCs w:val="24"/>
    </w:rPr>
  </w:style>
  <w:style w:type="character" w:customStyle="1" w:styleId="134">
    <w:name w:val="正文文本 字符"/>
    <w:basedOn w:val="90"/>
    <w:link w:val="34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35">
    <w:name w:val="正文文本首行缩进 字符"/>
    <w:basedOn w:val="134"/>
    <w:link w:val="86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36">
    <w:name w:val="正文文本缩进 字符"/>
    <w:basedOn w:val="90"/>
    <w:link w:val="35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37">
    <w:name w:val="正文文本首行缩进 2 字符"/>
    <w:basedOn w:val="136"/>
    <w:link w:val="87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38">
    <w:name w:val="正文文本 2 字符"/>
    <w:basedOn w:val="90"/>
    <w:link w:val="76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39">
    <w:name w:val="正文文本 3 字符"/>
    <w:basedOn w:val="90"/>
    <w:link w:val="31"/>
    <w:semiHidden/>
    <w:uiPriority w:val="99"/>
    <w:rPr>
      <w:rFonts w:ascii="Times New Roman" w:hAnsi="Times New Roman"/>
      <w:kern w:val="0"/>
      <w:sz w:val="16"/>
      <w:szCs w:val="16"/>
    </w:rPr>
  </w:style>
  <w:style w:type="character" w:customStyle="1" w:styleId="140">
    <w:name w:val="正文文本缩进 2 字符"/>
    <w:basedOn w:val="90"/>
    <w:link w:val="51"/>
    <w:semiHidden/>
    <w:uiPriority w:val="99"/>
    <w:rPr>
      <w:rFonts w:ascii="Times New Roman" w:hAnsi="Times New Roman"/>
      <w:kern w:val="0"/>
      <w:sz w:val="24"/>
      <w:szCs w:val="24"/>
    </w:rPr>
  </w:style>
  <w:style w:type="character" w:customStyle="1" w:styleId="141">
    <w:name w:val="正文文本缩进 3 字符"/>
    <w:basedOn w:val="90"/>
    <w:link w:val="70"/>
    <w:semiHidden/>
    <w:uiPriority w:val="99"/>
    <w:rPr>
      <w:rFonts w:ascii="Times New Roman" w:hAnsi="Times New Roman"/>
      <w:kern w:val="0"/>
      <w:sz w:val="16"/>
      <w:szCs w:val="16"/>
    </w:rPr>
  </w:style>
  <w:style w:type="character" w:customStyle="1" w:styleId="142">
    <w:name w:val="注释标题 字符"/>
    <w:basedOn w:val="90"/>
    <w:link w:val="16"/>
    <w:semiHidden/>
    <w:uiPriority w:val="99"/>
    <w:rPr>
      <w:rFonts w:ascii="Times New Roman" w:hAnsi="Times New Roman"/>
      <w:kern w:val="0"/>
      <w:sz w:val="24"/>
      <w:szCs w:val="24"/>
    </w:rPr>
  </w:style>
  <w:style w:type="paragraph" w:customStyle="1" w:styleId="143">
    <w:name w:val="Revision"/>
    <w:hidden/>
    <w:semiHidden/>
    <w:uiPriority w:val="99"/>
    <w:rPr>
      <w:rFonts w:ascii="Times New Roman" w:hAnsi="Times New Roman" w:eastAsiaTheme="minorEastAsia" w:cstheme="minorBidi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817</Words>
  <Characters>5413</Characters>
  <Lines>55</Lines>
  <Paragraphs>15</Paragraphs>
  <TotalTime>1</TotalTime>
  <ScaleCrop>false</ScaleCrop>
  <LinksUpToDate>false</LinksUpToDate>
  <CharactersWithSpaces>5959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2025-11-07T03:54:00Z</dcterms:created>
  <dc:creator>daixie</dc:creator>
  <cp:lastModifiedBy>Zongcai</cp:lastModifiedBy>
  <cp:lastPrinted>2025-11-03T02:34:00Z</cp:lastPrinted>
  <dcterms:modified xsi:type="dcterms:W3CDTF">2026-08-18T08:15:41Z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-1022980089</vt:i4>
  </property>
  <property fmtid="{D5CDD505-2E9C-101B-9397-08002B2CF9AE}" pid="3" name="KSOTemplateDocerSaveRecord">
    <vt:lpwstr>eyJoZGlkIjoiY2ViNDI4NzE2YzhlZDQ5ZTc1OWU1MzliZGU3NmUwNjAiLCJ1c2VySWQiOiIzOTkyMzQyNDkifQ==</vt:lpwstr>
  </property>
  <property fmtid="{D5CDD505-2E9C-101B-9397-08002B2CF9AE}" pid="4" name="KSOProductBuildVer">
    <vt:lpwstr>2052-12.1.0.28043</vt:lpwstr>
  </property>
  <property fmtid="{D5CDD505-2E9C-101B-9397-08002B2CF9AE}" pid="5" name="ICV">
    <vt:lpwstr>9F7DF3BF3AA544C8A1728C392FB8F34C_12</vt:lpwstr>
  </property>
</Properties>
</file>