
<file path=[Content_Types].xml><?xml version="1.0" encoding="utf-8"?>
<Types xmlns="http://schemas.openxmlformats.org/package/2006/content-types">
  <Default Extension="tiff" ContentType="image/tif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8E973">
      <w:pPr>
        <w:pStyle w:val="57"/>
        <w:spacing w:line="480" w:lineRule="auto"/>
        <w:rPr>
          <w:b w:val="0"/>
          <w:i/>
          <w:iCs/>
          <w:sz w:val="28"/>
          <w:szCs w:val="28"/>
          <w:highlight w:val="none"/>
        </w:rPr>
      </w:pPr>
      <w:r>
        <w:rPr>
          <w:b w:val="0"/>
          <w:i/>
          <w:iCs/>
          <w:sz w:val="28"/>
          <w:szCs w:val="28"/>
          <w:highlight w:val="none"/>
        </w:rPr>
        <w:t>Supplementary materials for</w:t>
      </w:r>
    </w:p>
    <w:p w14:paraId="2FF0BF0A">
      <w:pPr>
        <w:pStyle w:val="90"/>
        <w:spacing w:before="0" w:after="0" w:line="480" w:lineRule="auto"/>
        <w:jc w:val="left"/>
        <w:rPr>
          <w:sz w:val="24"/>
          <w:szCs w:val="24"/>
          <w:highlight w:val="none"/>
        </w:rPr>
      </w:pPr>
      <w:r>
        <w:rPr>
          <w:sz w:val="24"/>
          <w:szCs w:val="24"/>
          <w:highlight w:val="none"/>
        </w:rPr>
        <w:t xml:space="preserve">Retinoic </w:t>
      </w:r>
      <w:r>
        <w:rPr>
          <w:rFonts w:hint="eastAsia" w:eastAsia="宋体"/>
          <w:sz w:val="24"/>
          <w:szCs w:val="24"/>
          <w:highlight w:val="none"/>
          <w:lang w:eastAsia="zh-CN"/>
        </w:rPr>
        <w:t>a</w:t>
      </w:r>
      <w:r>
        <w:rPr>
          <w:sz w:val="24"/>
          <w:szCs w:val="24"/>
          <w:highlight w:val="none"/>
        </w:rPr>
        <w:t>cid maintains the primordial follicle reserve by inhibiting PI3K/Akt signaling</w:t>
      </w:r>
    </w:p>
    <w:p w14:paraId="41DDA971">
      <w:pPr>
        <w:pStyle w:val="90"/>
        <w:spacing w:before="0" w:after="0" w:line="480" w:lineRule="auto"/>
        <w:jc w:val="left"/>
        <w:outlineLvl w:val="9"/>
        <w:rPr>
          <w:iCs/>
          <w:sz w:val="24"/>
          <w:szCs w:val="24"/>
          <w:highlight w:val="none"/>
        </w:rPr>
      </w:pPr>
    </w:p>
    <w:p w14:paraId="6FBA207A">
      <w:pPr>
        <w:pStyle w:val="87"/>
        <w:spacing w:before="0" w:line="480" w:lineRule="auto"/>
        <w:jc w:val="both"/>
        <w:rPr>
          <w:highlight w:val="none"/>
        </w:rPr>
      </w:pPr>
      <w:bookmarkStart w:id="0" w:name="_Hlk83199753"/>
      <w:r>
        <w:rPr>
          <w:highlight w:val="none"/>
        </w:rPr>
        <w:t>Xiaodan Zhang</w:t>
      </w:r>
      <w:r>
        <w:rPr>
          <w:color w:val="000000"/>
          <w:highlight w:val="none"/>
          <w:vertAlign w:val="superscript"/>
        </w:rPr>
        <w:t>1 #</w:t>
      </w:r>
      <w:r>
        <w:rPr>
          <w:color w:val="000000"/>
          <w:highlight w:val="none"/>
        </w:rPr>
        <w:t>,</w:t>
      </w:r>
      <w:r>
        <w:rPr>
          <w:color w:val="000000" w:themeColor="text1"/>
          <w:highlight w:val="none"/>
          <w14:textFill>
            <w14:solidFill>
              <w14:schemeClr w14:val="tx1"/>
            </w14:solidFill>
          </w14:textFill>
        </w:rPr>
        <w:t xml:space="preserve"> Nana Zheng</w:t>
      </w:r>
      <w:r>
        <w:rPr>
          <w:color w:val="000000"/>
          <w:highlight w:val="none"/>
          <w:vertAlign w:val="superscript"/>
        </w:rPr>
        <w:t xml:space="preserve"> 1,6,7 #</w:t>
      </w:r>
      <w:r>
        <w:rPr>
          <w:color w:val="000000"/>
          <w:highlight w:val="none"/>
        </w:rPr>
        <w:t>, Yu Zhao</w:t>
      </w:r>
      <w:r>
        <w:rPr>
          <w:color w:val="000000"/>
          <w:highlight w:val="none"/>
          <w:vertAlign w:val="superscript"/>
        </w:rPr>
        <w:t>1</w:t>
      </w:r>
      <w:r>
        <w:rPr>
          <w:color w:val="000000"/>
          <w:highlight w:val="none"/>
        </w:rPr>
        <w:t>, Wenbo Zhang</w:t>
      </w:r>
      <w:r>
        <w:rPr>
          <w:color w:val="000000"/>
          <w:highlight w:val="none"/>
          <w:vertAlign w:val="superscript"/>
        </w:rPr>
        <w:t>1</w:t>
      </w:r>
      <w:r>
        <w:rPr>
          <w:color w:val="000000"/>
          <w:highlight w:val="none"/>
        </w:rPr>
        <w:t>, Yashuang Weng</w:t>
      </w:r>
      <w:r>
        <w:rPr>
          <w:color w:val="000000"/>
          <w:highlight w:val="none"/>
          <w:vertAlign w:val="superscript"/>
        </w:rPr>
        <w:t>1</w:t>
      </w:r>
      <w:r>
        <w:rPr>
          <w:color w:val="000000"/>
          <w:highlight w:val="none"/>
        </w:rPr>
        <w:t>, Yan Du</w:t>
      </w:r>
      <w:r>
        <w:rPr>
          <w:color w:val="000000"/>
          <w:highlight w:val="none"/>
          <w:vertAlign w:val="superscript"/>
        </w:rPr>
        <w:t>1</w:t>
      </w:r>
      <w:r>
        <w:rPr>
          <w:color w:val="000000"/>
          <w:highlight w:val="none"/>
        </w:rPr>
        <w:t>, Jinling Wang</w:t>
      </w:r>
      <w:r>
        <w:rPr>
          <w:color w:val="000000"/>
          <w:highlight w:val="none"/>
          <w:vertAlign w:val="superscript"/>
        </w:rPr>
        <w:t>1</w:t>
      </w:r>
      <w:r>
        <w:rPr>
          <w:color w:val="000000"/>
          <w:highlight w:val="none"/>
        </w:rPr>
        <w:t>, Mengjie Weng</w:t>
      </w:r>
      <w:r>
        <w:rPr>
          <w:color w:val="000000"/>
          <w:highlight w:val="none"/>
          <w:vertAlign w:val="superscript"/>
        </w:rPr>
        <w:t>1</w:t>
      </w:r>
      <w:r>
        <w:rPr>
          <w:color w:val="000000"/>
          <w:highlight w:val="none"/>
        </w:rPr>
        <w:t>, Huan Lin</w:t>
      </w:r>
      <w:r>
        <w:rPr>
          <w:color w:val="000000"/>
          <w:highlight w:val="none"/>
          <w:vertAlign w:val="superscript"/>
        </w:rPr>
        <w:t>1</w:t>
      </w:r>
      <w:r>
        <w:rPr>
          <w:color w:val="000000"/>
          <w:highlight w:val="none"/>
        </w:rPr>
        <w:t>, Yuntong Liu</w:t>
      </w:r>
      <w:r>
        <w:rPr>
          <w:color w:val="000000"/>
          <w:highlight w:val="none"/>
          <w:vertAlign w:val="superscript"/>
        </w:rPr>
        <w:t>1</w:t>
      </w:r>
      <w:r>
        <w:rPr>
          <w:color w:val="000000"/>
          <w:highlight w:val="none"/>
        </w:rPr>
        <w:t>, Ziyun Han</w:t>
      </w:r>
      <w:r>
        <w:rPr>
          <w:color w:val="000000"/>
          <w:highlight w:val="none"/>
          <w:vertAlign w:val="superscript"/>
        </w:rPr>
        <w:t>1</w:t>
      </w:r>
      <w:r>
        <w:rPr>
          <w:color w:val="000000"/>
          <w:highlight w:val="none"/>
        </w:rPr>
        <w:t>, Sitian Liu</w:t>
      </w:r>
      <w:r>
        <w:rPr>
          <w:color w:val="000000"/>
          <w:highlight w:val="none"/>
          <w:vertAlign w:val="superscript"/>
        </w:rPr>
        <w:t>1</w:t>
      </w:r>
      <w:r>
        <w:rPr>
          <w:color w:val="000000"/>
          <w:highlight w:val="none"/>
        </w:rPr>
        <w:t>, Xiaolong Yu</w:t>
      </w:r>
      <w:r>
        <w:rPr>
          <w:color w:val="000000"/>
          <w:highlight w:val="none"/>
          <w:vertAlign w:val="superscript"/>
        </w:rPr>
        <w:t>1</w:t>
      </w:r>
      <w:r>
        <w:rPr>
          <w:color w:val="000000"/>
          <w:highlight w:val="none"/>
        </w:rPr>
        <w:t>, Jie Yan</w:t>
      </w:r>
      <w:r>
        <w:rPr>
          <w:color w:val="000000"/>
          <w:highlight w:val="none"/>
          <w:vertAlign w:val="superscript"/>
        </w:rPr>
        <w:t>2,3,4,5</w:t>
      </w:r>
      <w:r>
        <w:rPr>
          <w:color w:val="000000"/>
          <w:highlight w:val="none"/>
        </w:rPr>
        <w:t>*, Meijia Zhang</w:t>
      </w:r>
      <w:r>
        <w:rPr>
          <w:color w:val="000000"/>
          <w:highlight w:val="none"/>
          <w:vertAlign w:val="superscript"/>
        </w:rPr>
        <w:t>1</w:t>
      </w:r>
      <w:r>
        <w:rPr>
          <w:color w:val="000000"/>
          <w:highlight w:val="none"/>
        </w:rPr>
        <w:t>*</w:t>
      </w:r>
    </w:p>
    <w:p w14:paraId="527CCCA6">
      <w:pPr>
        <w:pStyle w:val="87"/>
        <w:spacing w:before="0" w:line="480" w:lineRule="auto"/>
        <w:jc w:val="both"/>
        <w:rPr>
          <w:highlight w:val="none"/>
        </w:rPr>
      </w:pPr>
    </w:p>
    <w:p w14:paraId="18C3DE8A">
      <w:pPr>
        <w:pStyle w:val="91"/>
        <w:spacing w:before="0" w:line="480" w:lineRule="auto"/>
        <w:ind w:firstLine="0"/>
        <w:jc w:val="both"/>
        <w:rPr>
          <w:highlight w:val="none"/>
        </w:rPr>
      </w:pPr>
      <w:r>
        <w:rPr>
          <w:highlight w:val="none"/>
          <w:vertAlign w:val="superscript"/>
        </w:rPr>
        <w:t>1</w:t>
      </w:r>
      <w:r>
        <w:rPr>
          <w:highlight w:val="none"/>
        </w:rPr>
        <w:t>The Innovation Center of Ministry of Education for Development and Diseases, School of Medicine, South China University of Technology, Guangzhou 510006, China.</w:t>
      </w:r>
    </w:p>
    <w:p w14:paraId="2D3D0CA1">
      <w:pPr>
        <w:pStyle w:val="91"/>
        <w:spacing w:before="0" w:line="480" w:lineRule="auto"/>
        <w:ind w:firstLine="0"/>
        <w:jc w:val="both"/>
        <w:rPr>
          <w:highlight w:val="none"/>
        </w:rPr>
      </w:pPr>
    </w:p>
    <w:p w14:paraId="1A1A54AE">
      <w:pPr>
        <w:pStyle w:val="91"/>
        <w:spacing w:before="0" w:line="480" w:lineRule="auto"/>
        <w:ind w:firstLine="0"/>
        <w:jc w:val="both"/>
        <w:rPr>
          <w:highlight w:val="none"/>
        </w:rPr>
      </w:pPr>
      <w:r>
        <w:rPr>
          <w:highlight w:val="none"/>
          <w:vertAlign w:val="superscript"/>
        </w:rPr>
        <w:t>2</w:t>
      </w:r>
      <w:r>
        <w:rPr>
          <w:highlight w:val="none"/>
        </w:rPr>
        <w:t xml:space="preserve">State Key Laboratory of Female Fertility Promotion, Center for Reproductive Medicine, Department of Obstetrics and Gynecology, Peking University Third Hospital, Beijing 100191, China. </w:t>
      </w:r>
    </w:p>
    <w:p w14:paraId="7F2F6907">
      <w:pPr>
        <w:pStyle w:val="91"/>
        <w:spacing w:before="0" w:line="480" w:lineRule="auto"/>
        <w:ind w:firstLine="0"/>
        <w:jc w:val="both"/>
        <w:rPr>
          <w:highlight w:val="none"/>
        </w:rPr>
      </w:pPr>
    </w:p>
    <w:p w14:paraId="58DD3F3B">
      <w:pPr>
        <w:pStyle w:val="91"/>
        <w:spacing w:before="0" w:line="480" w:lineRule="auto"/>
        <w:ind w:firstLine="0"/>
        <w:jc w:val="both"/>
        <w:rPr>
          <w:highlight w:val="none"/>
        </w:rPr>
      </w:pPr>
      <w:r>
        <w:rPr>
          <w:highlight w:val="none"/>
          <w:vertAlign w:val="superscript"/>
        </w:rPr>
        <w:t>3</w:t>
      </w:r>
      <w:r>
        <w:rPr>
          <w:highlight w:val="none"/>
        </w:rPr>
        <w:t>National Clinical Research Center for Obstetrics and Gynecology, Peking University Third Hospital, Beijing 100191, China.</w:t>
      </w:r>
    </w:p>
    <w:p w14:paraId="3ACFA6DB">
      <w:pPr>
        <w:pStyle w:val="91"/>
        <w:spacing w:before="0" w:line="480" w:lineRule="auto"/>
        <w:ind w:firstLine="0"/>
        <w:jc w:val="both"/>
        <w:rPr>
          <w:highlight w:val="none"/>
        </w:rPr>
      </w:pPr>
    </w:p>
    <w:p w14:paraId="4B40F307">
      <w:pPr>
        <w:pStyle w:val="91"/>
        <w:spacing w:before="0" w:line="480" w:lineRule="auto"/>
        <w:ind w:firstLine="0"/>
        <w:jc w:val="both"/>
        <w:rPr>
          <w:highlight w:val="none"/>
        </w:rPr>
      </w:pPr>
      <w:r>
        <w:rPr>
          <w:highlight w:val="none"/>
          <w:vertAlign w:val="superscript"/>
        </w:rPr>
        <w:t>4</w:t>
      </w:r>
      <w:r>
        <w:rPr>
          <w:highlight w:val="none"/>
        </w:rPr>
        <w:t>Key Laboratory of Assisted Reproduction, Peking University, Ministry of Education, Beijing 100191, China.</w:t>
      </w:r>
    </w:p>
    <w:p w14:paraId="15B83AB9">
      <w:pPr>
        <w:pStyle w:val="91"/>
        <w:spacing w:before="0" w:line="480" w:lineRule="auto"/>
        <w:ind w:firstLine="0"/>
        <w:jc w:val="both"/>
        <w:rPr>
          <w:highlight w:val="none"/>
        </w:rPr>
      </w:pPr>
    </w:p>
    <w:p w14:paraId="57B18341">
      <w:pPr>
        <w:pStyle w:val="91"/>
        <w:spacing w:before="0" w:line="480" w:lineRule="auto"/>
        <w:ind w:firstLine="0"/>
        <w:jc w:val="both"/>
        <w:rPr>
          <w:highlight w:val="none"/>
          <w:vertAlign w:val="superscript"/>
        </w:rPr>
      </w:pPr>
      <w:r>
        <w:rPr>
          <w:highlight w:val="none"/>
          <w:vertAlign w:val="superscript"/>
        </w:rPr>
        <w:t>5</w:t>
      </w:r>
      <w:r>
        <w:rPr>
          <w:highlight w:val="none"/>
        </w:rPr>
        <w:t>Beijing Key Laboratory of Reproductive Endocrinology and Assisted Reproductive Technology, Beijing 100191, China.</w:t>
      </w:r>
      <w:r>
        <w:rPr>
          <w:highlight w:val="none"/>
          <w:vertAlign w:val="superscript"/>
        </w:rPr>
        <w:t xml:space="preserve"> </w:t>
      </w:r>
    </w:p>
    <w:p w14:paraId="5005295B">
      <w:pPr>
        <w:pStyle w:val="91"/>
        <w:spacing w:before="0" w:line="480" w:lineRule="auto"/>
        <w:ind w:firstLine="0"/>
        <w:jc w:val="both"/>
        <w:rPr>
          <w:highlight w:val="none"/>
          <w:vertAlign w:val="superscript"/>
        </w:rPr>
      </w:pPr>
    </w:p>
    <w:p w14:paraId="7110729B">
      <w:pPr>
        <w:pStyle w:val="17"/>
        <w:spacing w:line="480" w:lineRule="auto"/>
        <w:jc w:val="both"/>
        <w:rPr>
          <w:color w:val="000000" w:themeColor="text1"/>
          <w:highlight w:val="none"/>
          <w14:textFill>
            <w14:solidFill>
              <w14:schemeClr w14:val="tx1"/>
            </w14:solidFill>
          </w14:textFill>
        </w:rPr>
      </w:pPr>
      <w:r>
        <w:rPr>
          <w:color w:val="000000" w:themeColor="text1"/>
          <w:highlight w:val="none"/>
          <w:vertAlign w:val="superscript"/>
          <w14:textFill>
            <w14:solidFill>
              <w14:schemeClr w14:val="tx1"/>
            </w14:solidFill>
          </w14:textFill>
        </w:rPr>
        <w:t>6</w:t>
      </w:r>
      <w:r>
        <w:rPr>
          <w:color w:val="000000" w:themeColor="text1"/>
          <w:highlight w:val="none"/>
          <w14:textFill>
            <w14:solidFill>
              <w14:schemeClr w14:val="tx1"/>
            </w14:solidFill>
          </w14:textFill>
        </w:rPr>
        <w:t xml:space="preserve">Institute of Neuropsychiatry, The Affiliated Brain Hospital, Guangzhou Medical University, Guangzhou </w:t>
      </w:r>
      <w:r>
        <w:rPr>
          <w:rFonts w:eastAsia="宋体"/>
          <w:highlight w:val="none"/>
        </w:rPr>
        <w:t>510006</w:t>
      </w:r>
      <w:r>
        <w:rPr>
          <w:color w:val="000000" w:themeColor="text1"/>
          <w:highlight w:val="none"/>
          <w14:textFill>
            <w14:solidFill>
              <w14:schemeClr w14:val="tx1"/>
            </w14:solidFill>
          </w14:textFill>
        </w:rPr>
        <w:t>, China.</w:t>
      </w:r>
    </w:p>
    <w:p w14:paraId="1F098964">
      <w:pPr>
        <w:pStyle w:val="17"/>
        <w:spacing w:line="480" w:lineRule="auto"/>
        <w:jc w:val="both"/>
        <w:rPr>
          <w:color w:val="000000" w:themeColor="text1"/>
          <w:highlight w:val="none"/>
          <w14:textFill>
            <w14:solidFill>
              <w14:schemeClr w14:val="tx1"/>
            </w14:solidFill>
          </w14:textFill>
        </w:rPr>
      </w:pPr>
    </w:p>
    <w:p w14:paraId="4BE87627">
      <w:pPr>
        <w:pStyle w:val="17"/>
        <w:spacing w:line="480" w:lineRule="auto"/>
        <w:jc w:val="both"/>
        <w:rPr>
          <w:color w:val="000000" w:themeColor="text1"/>
          <w:highlight w:val="none"/>
          <w14:textFill>
            <w14:solidFill>
              <w14:schemeClr w14:val="tx1"/>
            </w14:solidFill>
          </w14:textFill>
        </w:rPr>
      </w:pPr>
      <w:r>
        <w:rPr>
          <w:color w:val="000000" w:themeColor="text1"/>
          <w:highlight w:val="none"/>
          <w:vertAlign w:val="superscript"/>
          <w14:textFill>
            <w14:solidFill>
              <w14:schemeClr w14:val="tx1"/>
            </w14:solidFill>
          </w14:textFill>
        </w:rPr>
        <w:t>7</w:t>
      </w:r>
      <w:r>
        <w:rPr>
          <w:color w:val="000000" w:themeColor="text1"/>
          <w:highlight w:val="none"/>
          <w14:textFill>
            <w14:solidFill>
              <w14:schemeClr w14:val="tx1"/>
            </w14:solidFill>
          </w14:textFill>
        </w:rPr>
        <w:t xml:space="preserve">Center for Sleep and Circadian Medicine, The Affiliated Brain Hospital, Guangzhou Medical University, Guangzhou </w:t>
      </w:r>
      <w:r>
        <w:rPr>
          <w:rFonts w:eastAsia="宋体"/>
          <w:highlight w:val="none"/>
        </w:rPr>
        <w:t>510006</w:t>
      </w:r>
      <w:r>
        <w:rPr>
          <w:color w:val="000000" w:themeColor="text1"/>
          <w:highlight w:val="none"/>
          <w14:textFill>
            <w14:solidFill>
              <w14:schemeClr w14:val="tx1"/>
            </w14:solidFill>
          </w14:textFill>
        </w:rPr>
        <w:t>, China.</w:t>
      </w:r>
    </w:p>
    <w:bookmarkEnd w:id="0"/>
    <w:p w14:paraId="3009922E">
      <w:pPr>
        <w:pStyle w:val="17"/>
        <w:spacing w:line="480" w:lineRule="auto"/>
        <w:jc w:val="both"/>
        <w:rPr>
          <w:rFonts w:eastAsia="宋体"/>
          <w:highlight w:val="none"/>
        </w:rPr>
      </w:pPr>
    </w:p>
    <w:p w14:paraId="7A39CAA5">
      <w:pPr>
        <w:pStyle w:val="17"/>
        <w:spacing w:line="480" w:lineRule="auto"/>
        <w:jc w:val="both"/>
        <w:rPr>
          <w:rFonts w:eastAsia="宋体"/>
          <w:highlight w:val="none"/>
        </w:rPr>
      </w:pPr>
      <w:r>
        <w:rPr>
          <w:rFonts w:eastAsia="宋体"/>
          <w:highlight w:val="none"/>
        </w:rPr>
        <w:t>*Correspondence to:</w:t>
      </w:r>
    </w:p>
    <w:p w14:paraId="16201747">
      <w:pPr>
        <w:pStyle w:val="17"/>
        <w:spacing w:line="480" w:lineRule="auto"/>
        <w:jc w:val="both"/>
        <w:rPr>
          <w:rFonts w:eastAsia="宋体"/>
          <w:highlight w:val="none"/>
        </w:rPr>
      </w:pPr>
      <w:r>
        <w:rPr>
          <w:highlight w:val="none"/>
        </w:rPr>
        <w:t>Jie Yan</w:t>
      </w:r>
      <w:r>
        <w:rPr>
          <w:color w:val="000000" w:themeColor="text1"/>
          <w:highlight w:val="none"/>
          <w14:textFill>
            <w14:solidFill>
              <w14:schemeClr w14:val="tx1"/>
            </w14:solidFill>
          </w14:textFill>
        </w:rPr>
        <w:t xml:space="preserve">, </w:t>
      </w:r>
      <w:r>
        <w:rPr>
          <w:rFonts w:eastAsia="宋体"/>
          <w:highlight w:val="none"/>
        </w:rPr>
        <w:t>E-mail</w:t>
      </w:r>
      <w:r>
        <w:rPr>
          <w:color w:val="000000" w:themeColor="text1"/>
          <w:highlight w:val="none"/>
          <w14:textFill>
            <w14:solidFill>
              <w14:schemeClr w14:val="tx1"/>
            </w14:solidFill>
          </w14:textFill>
        </w:rPr>
        <w:t xml:space="preserve">: </w:t>
      </w:r>
      <w:r>
        <w:rPr>
          <w:highlight w:val="none"/>
        </w:rPr>
        <w:fldChar w:fldCharType="begin"/>
      </w:r>
      <w:r>
        <w:rPr>
          <w:highlight w:val="none"/>
        </w:rPr>
        <w:instrText xml:space="preserve"> HYPERLINK "http://yanjiebjmu@bjmu.edu.cn" </w:instrText>
      </w:r>
      <w:r>
        <w:rPr>
          <w:highlight w:val="none"/>
        </w:rPr>
        <w:fldChar w:fldCharType="separate"/>
      </w:r>
      <w:r>
        <w:rPr>
          <w:rStyle w:val="25"/>
          <w:highlight w:val="none"/>
        </w:rPr>
        <w:t>yanjiebjmu@bjmu.edu.cn</w:t>
      </w:r>
      <w:r>
        <w:rPr>
          <w:rStyle w:val="25"/>
          <w:highlight w:val="none"/>
        </w:rPr>
        <w:fldChar w:fldCharType="end"/>
      </w:r>
      <w:r>
        <w:rPr>
          <w:highlight w:val="none"/>
        </w:rPr>
        <w:t>;</w:t>
      </w:r>
    </w:p>
    <w:p w14:paraId="6829B1AB">
      <w:pPr>
        <w:pStyle w:val="17"/>
        <w:spacing w:line="480" w:lineRule="auto"/>
        <w:jc w:val="both"/>
        <w:rPr>
          <w:rFonts w:eastAsia="宋体"/>
          <w:highlight w:val="none"/>
        </w:rPr>
      </w:pPr>
      <w:r>
        <w:rPr>
          <w:rFonts w:eastAsia="宋体"/>
          <w:highlight w:val="none"/>
        </w:rPr>
        <w:t xml:space="preserve">Meijia Zhang, E-mail: </w:t>
      </w:r>
      <w:r>
        <w:rPr>
          <w:highlight w:val="none"/>
        </w:rPr>
        <w:fldChar w:fldCharType="begin"/>
      </w:r>
      <w:r>
        <w:rPr>
          <w:highlight w:val="none"/>
        </w:rPr>
        <w:instrText xml:space="preserve"> HYPERLINK "mailto:zhangmeijia@scut.edu.cn" </w:instrText>
      </w:r>
      <w:r>
        <w:rPr>
          <w:highlight w:val="none"/>
        </w:rPr>
        <w:fldChar w:fldCharType="separate"/>
      </w:r>
      <w:r>
        <w:rPr>
          <w:rStyle w:val="25"/>
          <w:rFonts w:eastAsia="宋体"/>
          <w:highlight w:val="none"/>
        </w:rPr>
        <w:t>zhangmeijia@scut.edu.cn</w:t>
      </w:r>
      <w:r>
        <w:rPr>
          <w:rStyle w:val="25"/>
          <w:rFonts w:eastAsia="宋体"/>
          <w:highlight w:val="none"/>
        </w:rPr>
        <w:fldChar w:fldCharType="end"/>
      </w:r>
      <w:r>
        <w:rPr>
          <w:rFonts w:eastAsia="宋体"/>
          <w:highlight w:val="none"/>
        </w:rPr>
        <w:t xml:space="preserve"> </w:t>
      </w:r>
    </w:p>
    <w:p w14:paraId="2291D3C6">
      <w:pPr>
        <w:pStyle w:val="87"/>
        <w:spacing w:before="0" w:line="480" w:lineRule="auto"/>
        <w:jc w:val="both"/>
        <w:rPr>
          <w:highlight w:val="none"/>
          <w:lang w:val="de-DE"/>
        </w:rPr>
      </w:pPr>
    </w:p>
    <w:p w14:paraId="4F7626EC">
      <w:pPr>
        <w:spacing w:line="480" w:lineRule="auto"/>
        <w:jc w:val="both"/>
        <w:rPr>
          <w:rFonts w:eastAsiaTheme="minorEastAsia"/>
          <w:highlight w:val="none"/>
          <w:lang w:val="en-US"/>
          <w14:ligatures w14:val="standardContextual"/>
        </w:rPr>
      </w:pPr>
      <w:r>
        <w:rPr>
          <w:rFonts w:eastAsiaTheme="minorEastAsia"/>
          <w:highlight w:val="none"/>
          <w:lang w:val="en-US"/>
          <w14:ligatures w14:val="standardContextual"/>
        </w:rPr>
        <w:t># contributed equally</w:t>
      </w:r>
      <w:r>
        <w:rPr>
          <w:rFonts w:eastAsiaTheme="minorEastAsia"/>
          <w:highlight w:val="none"/>
          <w:lang w:val="en-US"/>
          <w14:ligatures w14:val="standardContextual"/>
        </w:rPr>
        <w:br w:type="page"/>
      </w:r>
    </w:p>
    <w:p w14:paraId="02C01D54">
      <w:pPr>
        <w:spacing w:line="480" w:lineRule="auto"/>
        <w:jc w:val="both"/>
        <w:rPr>
          <w:rFonts w:eastAsiaTheme="minorEastAsia"/>
          <w:b/>
          <w:bCs/>
          <w:highlight w:val="none"/>
          <w:lang w:val="en-US"/>
          <w14:ligatures w14:val="standardContextual"/>
        </w:rPr>
      </w:pPr>
      <w:bookmarkStart w:id="1" w:name="OLE_LINK45"/>
      <w:r>
        <w:rPr>
          <w:rFonts w:eastAsiaTheme="minorEastAsia"/>
          <w:b/>
          <w:bCs/>
          <w:highlight w:val="none"/>
          <w:lang w:val="en-US"/>
          <w14:ligatures w14:val="standardContextual"/>
        </w:rPr>
        <w:t xml:space="preserve">Supplementary </w:t>
      </w:r>
      <w:bookmarkStart w:id="2" w:name="OLE_LINK25"/>
      <w:r>
        <w:rPr>
          <w:rFonts w:eastAsiaTheme="minorEastAsia"/>
          <w:b/>
          <w:bCs/>
          <w:highlight w:val="none"/>
          <w:lang w:val="en-US"/>
          <w14:ligatures w14:val="standardContextual"/>
        </w:rPr>
        <w:t>figures</w:t>
      </w:r>
      <w:bookmarkEnd w:id="2"/>
      <w:r>
        <w:rPr>
          <w:rFonts w:eastAsiaTheme="minorEastAsia"/>
          <w:b/>
          <w:bCs/>
          <w:highlight w:val="none"/>
          <w:lang w:val="en-US"/>
          <w14:ligatures w14:val="standardContextual"/>
        </w:rPr>
        <w:t xml:space="preserve"> and figure legends</w:t>
      </w:r>
    </w:p>
    <w:p w14:paraId="1F31E115">
      <w:pPr>
        <w:spacing w:line="480" w:lineRule="auto"/>
        <w:jc w:val="both"/>
        <w:rPr>
          <w:rFonts w:eastAsiaTheme="minorEastAsia"/>
          <w:b/>
          <w:bCs/>
          <w:highlight w:val="none"/>
          <w:lang w:val="en-US" w:eastAsia="zh-CN"/>
          <w14:ligatures w14:val="standardContextual"/>
        </w:rPr>
      </w:pPr>
      <w:r>
        <w:rPr>
          <w:rFonts w:hint="eastAsia" w:eastAsiaTheme="minorEastAsia"/>
          <w:b/>
          <w:bCs/>
          <w:highlight w:val="none"/>
          <w:lang w:val="en-US" w:eastAsia="zh-CN"/>
          <w14:ligatures w14:val="standardContextual"/>
        </w:rPr>
        <w:drawing>
          <wp:inline distT="0" distB="0" distL="114300" distR="114300">
            <wp:extent cx="6118860" cy="4062730"/>
            <wp:effectExtent l="0" t="0" r="0" b="0"/>
            <wp:docPr id="2" name="图片 2"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 S1"/>
                    <pic:cNvPicPr>
                      <a:picLocks noChangeAspect="1"/>
                    </pic:cNvPicPr>
                  </pic:nvPicPr>
                  <pic:blipFill>
                    <a:blip r:embed="rId7"/>
                    <a:srcRect b="44668"/>
                    <a:stretch>
                      <a:fillRect/>
                    </a:stretch>
                  </pic:blipFill>
                  <pic:spPr>
                    <a:xfrm>
                      <a:off x="0" y="0"/>
                      <a:ext cx="6118860" cy="4062730"/>
                    </a:xfrm>
                    <a:prstGeom prst="rect">
                      <a:avLst/>
                    </a:prstGeom>
                  </pic:spPr>
                </pic:pic>
              </a:graphicData>
            </a:graphic>
          </wp:inline>
        </w:drawing>
      </w:r>
    </w:p>
    <w:p w14:paraId="579493A2">
      <w:pPr>
        <w:spacing w:line="480" w:lineRule="auto"/>
        <w:jc w:val="both"/>
        <w:outlineLvl w:val="0"/>
        <w:rPr>
          <w:rFonts w:eastAsiaTheme="minorEastAsia"/>
          <w:b/>
          <w:bCs/>
          <w:highlight w:val="none"/>
          <w:lang w:val="en-US"/>
          <w14:ligatures w14:val="standardContextual"/>
        </w:rPr>
      </w:pPr>
      <w:r>
        <w:rPr>
          <w:rFonts w:ascii="Times New Roman Regular" w:hAnsi="Times New Roman Regular" w:cs="Times New Roman Regular" w:eastAsiaTheme="minorEastAsia"/>
          <w:b/>
          <w:bCs/>
          <w:kern w:val="32"/>
          <w:highlight w:val="none"/>
          <w:lang w:val="en-US" w:eastAsia="en-US"/>
        </w:rPr>
        <w:t xml:space="preserve">Fig. S1. Effect of RA on cell proliferation and PTEN signaling in cultured mouse ovaries. </w:t>
      </w:r>
      <w:r>
        <w:rPr>
          <w:rFonts w:ascii="Times New Roman Regular" w:hAnsi="Times New Roman Regular" w:cs="Times New Roman Regular" w:eastAsiaTheme="minorEastAsia"/>
          <w:kern w:val="32"/>
          <w:highlight w:val="none"/>
          <w:lang w:val="en-US" w:eastAsia="en-US"/>
        </w:rPr>
        <w:t>Mouse ovaries at 3 dpp were cultured in the medium (control) or medium with RA + Talarozole (Tala), DEAB, AGN, 10 µM bpV, or bpV + RA + Talarozole for 0.5 days (C, F), 1 day (A, B) or 4 days (D, E).</w:t>
      </w:r>
      <w:r>
        <w:rPr>
          <w:rFonts w:ascii="Times New Roman Regular" w:hAnsi="Times New Roman Regular" w:cs="Times New Roman Regular" w:eastAsiaTheme="minorEastAsia"/>
          <w:b/>
          <w:bCs/>
          <w:kern w:val="32"/>
          <w:highlight w:val="none"/>
          <w:lang w:val="en-US" w:eastAsia="en-US"/>
        </w:rPr>
        <w:t xml:space="preserve"> (A, B)</w:t>
      </w:r>
      <w:r>
        <w:rPr>
          <w:rFonts w:ascii="Times New Roman Regular" w:hAnsi="Times New Roman Regular" w:cs="Times New Roman Regular" w:eastAsiaTheme="minorEastAsia"/>
          <w:kern w:val="32"/>
          <w:highlight w:val="none"/>
          <w:lang w:val="en-US" w:eastAsia="en-US"/>
        </w:rPr>
        <w:t xml:space="preserve"> Immunofluorescence staining (A) and positive-signal quantification (B) in the control and drug-treated groups. Magnified views of boxed areas are shown in Fig. 2I.</w:t>
      </w:r>
      <w:r>
        <w:rPr>
          <w:rFonts w:ascii="Times New Roman Regular" w:hAnsi="Times New Roman Regular" w:cs="Times New Roman Regular" w:eastAsiaTheme="minorEastAsia"/>
          <w:b/>
          <w:bCs/>
          <w:kern w:val="32"/>
          <w:highlight w:val="none"/>
          <w:lang w:val="en-US" w:eastAsia="en-US"/>
        </w:rPr>
        <w:t xml:space="preserve"> (</w:t>
      </w:r>
      <w:r>
        <w:rPr>
          <w:rFonts w:hint="eastAsia" w:ascii="Times New Roman Regular" w:hAnsi="Times New Roman Regular" w:cs="Times New Roman Regular" w:eastAsiaTheme="minorEastAsia"/>
          <w:b/>
          <w:bCs/>
          <w:kern w:val="32"/>
          <w:highlight w:val="none"/>
          <w:lang w:val="en-US" w:eastAsia="zh-CN"/>
        </w:rPr>
        <w:t>C</w:t>
      </w:r>
      <w:r>
        <w:rPr>
          <w:rFonts w:ascii="Times New Roman Regular" w:hAnsi="Times New Roman Regular" w:cs="Times New Roman Regular" w:eastAsiaTheme="minorEastAsia"/>
          <w:b/>
          <w:bCs/>
          <w:kern w:val="32"/>
          <w:highlight w:val="none"/>
          <w:lang w:val="en-US" w:eastAsia="en-US"/>
        </w:rPr>
        <w:t>)</w:t>
      </w:r>
      <w:r>
        <w:rPr>
          <w:rFonts w:ascii="Times New Roman Regular" w:hAnsi="Times New Roman Regular" w:cs="Times New Roman Regular" w:eastAsiaTheme="minorEastAsia"/>
          <w:kern w:val="32"/>
          <w:highlight w:val="none"/>
          <w:lang w:val="en-US" w:eastAsia="en-US"/>
        </w:rPr>
        <w:t xml:space="preserve"> Immunofluorescence staining </w:t>
      </w:r>
      <w:r>
        <w:rPr>
          <w:highlight w:val="none"/>
        </w:rPr>
        <w:t xml:space="preserve">of </w:t>
      </w:r>
      <w:r>
        <w:rPr>
          <w:color w:val="131413"/>
          <w:highlight w:val="none"/>
        </w:rPr>
        <w:t>p</w:t>
      </w:r>
      <w:r>
        <w:rPr>
          <w:rFonts w:hint="eastAsia" w:eastAsia="宋体"/>
          <w:color w:val="131413"/>
          <w:highlight w:val="none"/>
          <w:lang w:val="en-US" w:eastAsia="zh-CN"/>
        </w:rPr>
        <w:t>-AKT</w:t>
      </w:r>
      <w:r>
        <w:rPr>
          <w:highlight w:val="none"/>
        </w:rPr>
        <w:t xml:space="preserve"> in the control and RA + Talarozole groups.</w:t>
      </w:r>
      <w:r>
        <w:rPr>
          <w:rFonts w:hint="eastAsia" w:eastAsia="宋体"/>
          <w:highlight w:val="none"/>
          <w:lang w:val="en-US" w:eastAsia="zh-CN"/>
        </w:rPr>
        <w:t xml:space="preserve"> </w:t>
      </w:r>
      <w:r>
        <w:rPr>
          <w:highlight w:val="none"/>
        </w:rPr>
        <w:t>Oocyte cytoplasm was stained with DDX4 (red); nuclei were counterstained with DAPI (blue).</w:t>
      </w:r>
      <w:r>
        <w:rPr>
          <w:rFonts w:hint="eastAsia" w:eastAsia="宋体"/>
          <w:highlight w:val="none"/>
          <w:lang w:val="en-US" w:eastAsia="zh-CN"/>
        </w:rPr>
        <w:t xml:space="preserve"> </w:t>
      </w:r>
      <w:r>
        <w:rPr>
          <w:rFonts w:ascii="Times New Roman Regular" w:hAnsi="Times New Roman Regular" w:cs="Times New Roman Regular" w:eastAsiaTheme="minorEastAsia"/>
          <w:b/>
          <w:bCs/>
          <w:kern w:val="32"/>
          <w:highlight w:val="none"/>
          <w:lang w:val="en-US" w:eastAsia="en-US"/>
        </w:rPr>
        <w:t>(D, E)</w:t>
      </w:r>
      <w:r>
        <w:rPr>
          <w:rFonts w:ascii="Times New Roman Regular" w:hAnsi="Times New Roman Regular" w:cs="Times New Roman Regular" w:eastAsiaTheme="minorEastAsia"/>
          <w:kern w:val="32"/>
          <w:highlight w:val="none"/>
          <w:lang w:val="en-US" w:eastAsia="en-US"/>
        </w:rPr>
        <w:t xml:space="preserve"> Comparison of ovarian morphology (D) and follicle number (E) in the ovaries of bpV and bpV + RA + Talarozole groups. </w:t>
      </w:r>
      <w:r>
        <w:rPr>
          <w:rFonts w:ascii="Times New Roman Regular" w:hAnsi="Times New Roman Regular" w:cs="Times New Roman Regular"/>
          <w:highlight w:val="none"/>
        </w:rPr>
        <w:t>The image is a representative picture from the largest section of the ovary.</w:t>
      </w:r>
      <w:r>
        <w:rPr>
          <w:rFonts w:ascii="Times New Roman Regular" w:hAnsi="Times New Roman Regular" w:cs="Times New Roman Regular" w:eastAsiaTheme="minorEastAsia"/>
          <w:kern w:val="32"/>
          <w:highlight w:val="none"/>
          <w:lang w:val="en-US" w:eastAsia="en-US"/>
        </w:rPr>
        <w:t xml:space="preserve"> </w:t>
      </w:r>
      <w:r>
        <w:rPr>
          <w:rFonts w:ascii="Times New Roman Regular" w:hAnsi="Times New Roman Regular" w:cs="Times New Roman Regular" w:eastAsiaTheme="minorEastAsia"/>
          <w:b/>
          <w:bCs/>
          <w:kern w:val="32"/>
          <w:highlight w:val="none"/>
          <w:lang w:val="en-US" w:eastAsia="en-US"/>
        </w:rPr>
        <w:t>(F)</w:t>
      </w:r>
      <w:r>
        <w:rPr>
          <w:rFonts w:ascii="Times New Roman Regular" w:hAnsi="Times New Roman Regular" w:cs="Times New Roman Regular" w:eastAsiaTheme="minorEastAsia"/>
          <w:i/>
          <w:iCs/>
          <w:kern w:val="32"/>
          <w:highlight w:val="none"/>
          <w:lang w:val="en-US" w:eastAsia="en-US"/>
        </w:rPr>
        <w:t xml:space="preserve"> Pten </w:t>
      </w:r>
      <w:r>
        <w:rPr>
          <w:rFonts w:ascii="Times New Roman Regular" w:hAnsi="Times New Roman Regular" w:cs="Times New Roman Regular" w:eastAsiaTheme="minorEastAsia"/>
          <w:kern w:val="32"/>
          <w:highlight w:val="none"/>
          <w:lang w:val="en-US" w:eastAsia="en-US"/>
        </w:rPr>
        <w:t>mRNA levels in the control and drug-treated groups. T</w:t>
      </w:r>
      <w:r>
        <w:rPr>
          <w:rFonts w:ascii="Times New Roman Regular" w:hAnsi="Times New Roman Regular" w:cs="Times New Roman Regular"/>
          <w:highlight w:val="none"/>
        </w:rPr>
        <w:t xml:space="preserve">he </w:t>
      </w:r>
      <w:r>
        <w:rPr>
          <w:rFonts w:ascii="Times New Roman Regular" w:hAnsi="Times New Roman Regular" w:eastAsia="宋体" w:cs="Times New Roman Regular"/>
          <w:highlight w:val="none"/>
          <w:lang w:bidi="ar"/>
        </w:rPr>
        <w:t>relative</w:t>
      </w:r>
      <w:r>
        <w:rPr>
          <w:rFonts w:ascii="Times New Roman Regular" w:hAnsi="Times New Roman Regular" w:eastAsia="宋体" w:cs="Times New Roman Regular"/>
          <w:highlight w:val="none"/>
          <w:lang w:val="en-US" w:eastAsia="zh-CN" w:bidi="ar"/>
        </w:rPr>
        <w:t xml:space="preserve"> </w:t>
      </w:r>
      <w:r>
        <w:rPr>
          <w:rFonts w:ascii="Times New Roman Regular" w:hAnsi="Times New Roman Regular" w:cs="Times New Roman Regular"/>
          <w:highlight w:val="none"/>
        </w:rPr>
        <w:t>mRNA level</w:t>
      </w:r>
      <w:r>
        <w:rPr>
          <w:rFonts w:ascii="Times New Roman Regular" w:hAnsi="Times New Roman Regular" w:eastAsia="宋体" w:cs="Times New Roman Regular"/>
          <w:highlight w:val="none"/>
          <w:lang w:val="en-US" w:eastAsia="zh-CN"/>
        </w:rPr>
        <w:t xml:space="preserve">s </w:t>
      </w:r>
      <w:r>
        <w:rPr>
          <w:rFonts w:ascii="Times New Roman Regular" w:hAnsi="Times New Roman Regular" w:cs="Times New Roman Regular"/>
          <w:highlight w:val="none"/>
        </w:rPr>
        <w:t>in the control group w</w:t>
      </w:r>
      <w:r>
        <w:rPr>
          <w:rFonts w:ascii="Times New Roman Regular" w:hAnsi="Times New Roman Regular" w:eastAsia="宋体" w:cs="Times New Roman Regular"/>
          <w:highlight w:val="none"/>
          <w:lang w:val="en-US" w:eastAsia="zh-CN"/>
        </w:rPr>
        <w:t>ere</w:t>
      </w:r>
      <w:r>
        <w:rPr>
          <w:rFonts w:ascii="Times New Roman Regular" w:hAnsi="Times New Roman Regular" w:cs="Times New Roman Regular"/>
          <w:highlight w:val="none"/>
        </w:rPr>
        <w:t xml:space="preserve"> normalized to</w:t>
      </w:r>
      <w:r>
        <w:rPr>
          <w:rFonts w:ascii="Times New Roman Regular" w:hAnsi="Times New Roman Regular" w:eastAsia="宋体" w:cs="Times New Roman Regular"/>
          <w:highlight w:val="none"/>
          <w:lang w:val="en-US" w:eastAsia="zh-CN"/>
        </w:rPr>
        <w:t xml:space="preserve"> </w:t>
      </w:r>
      <w:r>
        <w:rPr>
          <w:rFonts w:ascii="Times New Roman Regular" w:hAnsi="Times New Roman Regular" w:cs="Times New Roman Regular"/>
          <w:highlight w:val="none"/>
        </w:rPr>
        <w:t>1</w:t>
      </w:r>
      <w:r>
        <w:rPr>
          <w:rFonts w:ascii="Times New Roman Regular" w:hAnsi="Times New Roman Regular" w:cs="Times New Roman Regular"/>
          <w:highlight w:val="none"/>
          <w:lang w:val="en-US"/>
        </w:rPr>
        <w:t xml:space="preserve">. </w:t>
      </w:r>
      <w:r>
        <w:rPr>
          <w:rFonts w:ascii="Times New Roman Regular" w:hAnsi="Times New Roman Regular" w:cs="Times New Roman Regular" w:eastAsiaTheme="minorEastAsia"/>
          <w:kern w:val="32"/>
          <w:highlight w:val="none"/>
          <w:lang w:val="en-US" w:eastAsia="en-US"/>
        </w:rPr>
        <w:t>Scale bars: 50 μm. For each experiment, representative images are shown from at least three (n ≥ 3) biological replicates. *</w:t>
      </w:r>
      <w:r>
        <w:rPr>
          <w:rFonts w:ascii="Times New Roman Regular" w:hAnsi="Times New Roman Regular" w:cs="Times New Roman Regular" w:eastAsiaTheme="minorEastAsia"/>
          <w:i/>
          <w:iCs/>
          <w:kern w:val="32"/>
          <w:highlight w:val="none"/>
          <w:lang w:val="en-US" w:eastAsia="en-US"/>
        </w:rPr>
        <w:t>p</w:t>
      </w:r>
      <w:r>
        <w:rPr>
          <w:rFonts w:ascii="Times New Roman Regular" w:hAnsi="Times New Roman Regular" w:cs="Times New Roman Regular" w:eastAsiaTheme="minorEastAsia"/>
          <w:kern w:val="32"/>
          <w:highlight w:val="none"/>
          <w:lang w:val="en-US" w:eastAsia="en-US"/>
        </w:rPr>
        <w:t xml:space="preserve"> &lt; 0.05, **</w:t>
      </w:r>
      <w:r>
        <w:rPr>
          <w:rFonts w:ascii="Times New Roman Regular" w:hAnsi="Times New Roman Regular" w:cs="Times New Roman Regular" w:eastAsiaTheme="minorEastAsia"/>
          <w:i/>
          <w:iCs/>
          <w:kern w:val="32"/>
          <w:highlight w:val="none"/>
          <w:lang w:val="en-US" w:eastAsia="en-US"/>
        </w:rPr>
        <w:t>p</w:t>
      </w:r>
      <w:r>
        <w:rPr>
          <w:rFonts w:ascii="Times New Roman Regular" w:hAnsi="Times New Roman Regular" w:cs="Times New Roman Regular" w:eastAsiaTheme="minorEastAsia"/>
          <w:kern w:val="32"/>
          <w:highlight w:val="none"/>
          <w:lang w:val="en-US" w:eastAsia="en-US"/>
        </w:rPr>
        <w:t xml:space="preserve"> &lt; 0.01, and ***</w:t>
      </w:r>
      <w:r>
        <w:rPr>
          <w:rFonts w:ascii="Times New Roman Regular" w:hAnsi="Times New Roman Regular" w:cs="Times New Roman Regular" w:eastAsiaTheme="minorEastAsia"/>
          <w:i/>
          <w:iCs/>
          <w:kern w:val="32"/>
          <w:highlight w:val="none"/>
          <w:lang w:val="en-US" w:eastAsia="en-US"/>
        </w:rPr>
        <w:t>p</w:t>
      </w:r>
      <w:r>
        <w:rPr>
          <w:rFonts w:ascii="Times New Roman Regular" w:hAnsi="Times New Roman Regular" w:cs="Times New Roman Regular" w:eastAsiaTheme="minorEastAsia"/>
          <w:kern w:val="32"/>
          <w:highlight w:val="none"/>
          <w:lang w:val="en-US" w:eastAsia="en-US"/>
        </w:rPr>
        <w:t xml:space="preserve"> &lt; 0.001.</w:t>
      </w:r>
    </w:p>
    <w:p w14:paraId="79F096BF">
      <w:pPr>
        <w:pStyle w:val="88"/>
        <w:spacing w:before="0" w:after="0" w:line="480" w:lineRule="auto"/>
        <w:jc w:val="both"/>
        <w:rPr>
          <w:b w:val="0"/>
          <w:bCs w:val="0"/>
          <w:highlight w:val="none"/>
        </w:rPr>
      </w:pPr>
      <w:r>
        <w:rPr>
          <w:highlight w:val="none"/>
        </w:rPr>
        <w:drawing>
          <wp:inline distT="0" distB="0" distL="114300" distR="114300">
            <wp:extent cx="6185535" cy="4521200"/>
            <wp:effectExtent l="0" t="0" r="0" b="0"/>
            <wp:docPr id="1" name="图片 1" descr="Fi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S1"/>
                    <pic:cNvPicPr>
                      <a:picLocks noChangeAspect="1"/>
                    </pic:cNvPicPr>
                  </pic:nvPicPr>
                  <pic:blipFill>
                    <a:blip r:embed="rId8"/>
                    <a:srcRect b="39086"/>
                    <a:stretch>
                      <a:fillRect/>
                    </a:stretch>
                  </pic:blipFill>
                  <pic:spPr>
                    <a:xfrm>
                      <a:off x="0" y="0"/>
                      <a:ext cx="6232223" cy="4555503"/>
                    </a:xfrm>
                    <a:prstGeom prst="rect">
                      <a:avLst/>
                    </a:prstGeom>
                  </pic:spPr>
                </pic:pic>
              </a:graphicData>
            </a:graphic>
          </wp:inline>
        </w:drawing>
      </w:r>
      <w:r>
        <w:rPr>
          <w:highlight w:val="none"/>
        </w:rPr>
        <w:t xml:space="preserve">Fig. S2. Transcriptomic alterations in oocytes and granulosa cells upon </w:t>
      </w:r>
      <w:r>
        <w:rPr>
          <w:i/>
          <w:iCs/>
          <w:highlight w:val="none"/>
        </w:rPr>
        <w:t xml:space="preserve">Rarα </w:t>
      </w:r>
      <w:r>
        <w:rPr>
          <w:highlight w:val="none"/>
        </w:rPr>
        <w:t xml:space="preserve">deletion. </w:t>
      </w:r>
      <w:r>
        <w:rPr>
          <w:b w:val="0"/>
          <w:bCs w:val="0"/>
          <w:highlight w:val="none"/>
        </w:rPr>
        <w:t xml:space="preserve">Oocytes and granulosa cells were collected from 16 dpp WT and </w:t>
      </w:r>
      <w:r>
        <w:rPr>
          <w:b w:val="0"/>
          <w:bCs w:val="0"/>
          <w:i/>
          <w:iCs/>
          <w:highlight w:val="none"/>
        </w:rPr>
        <w:t>Rarα</w:t>
      </w:r>
      <w:r>
        <w:rPr>
          <w:b w:val="0"/>
          <w:bCs w:val="0"/>
          <w:highlight w:val="none"/>
        </w:rPr>
        <w:t xml:space="preserve">-KO mice for RNA-seq. </w:t>
      </w:r>
      <w:r>
        <w:rPr>
          <w:highlight w:val="none"/>
        </w:rPr>
        <w:t>(A)</w:t>
      </w:r>
      <w:r>
        <w:rPr>
          <w:b w:val="0"/>
          <w:bCs w:val="0"/>
          <w:highlight w:val="none"/>
        </w:rPr>
        <w:t xml:space="preserve"> Volcano plot of differentially expressed genes (DEGs) in </w:t>
      </w:r>
      <w:r>
        <w:rPr>
          <w:b w:val="0"/>
          <w:bCs w:val="0"/>
          <w:i/>
          <w:iCs/>
          <w:highlight w:val="none"/>
        </w:rPr>
        <w:t>Rarα</w:t>
      </w:r>
      <w:r>
        <w:rPr>
          <w:b w:val="0"/>
          <w:bCs w:val="0"/>
          <w:highlight w:val="none"/>
        </w:rPr>
        <w:t xml:space="preserve">-KO oocytes compared to WT oocytes. </w:t>
      </w:r>
      <w:r>
        <w:rPr>
          <w:highlight w:val="none"/>
        </w:rPr>
        <w:t>(B)</w:t>
      </w:r>
      <w:r>
        <w:rPr>
          <w:b w:val="0"/>
          <w:bCs w:val="0"/>
          <w:highlight w:val="none"/>
        </w:rPr>
        <w:t xml:space="preserve"> Gene set enrichment analy</w:t>
      </w:r>
      <w:r>
        <w:rPr>
          <w:b w:val="0"/>
          <w:bCs w:val="0"/>
          <w:color w:val="000000" w:themeColor="text1"/>
          <w:highlight w:val="none"/>
          <w14:textFill>
            <w14:solidFill>
              <w14:schemeClr w14:val="tx1"/>
            </w14:solidFill>
          </w14:textFill>
        </w:rPr>
        <w:t xml:space="preserve">sis (GSEA) </w:t>
      </w:r>
      <w:r>
        <w:rPr>
          <w:b w:val="0"/>
          <w:bCs w:val="0"/>
          <w:highlight w:val="none"/>
        </w:rPr>
        <w:t>of downregulated</w:t>
      </w:r>
      <w:r>
        <w:rPr>
          <w:b w:val="0"/>
          <w:bCs w:val="0"/>
          <w:highlight w:val="none"/>
          <w:lang w:eastAsia="zh-CN"/>
        </w:rPr>
        <w:t xml:space="preserve"> </w:t>
      </w:r>
      <w:r>
        <w:rPr>
          <w:b w:val="0"/>
          <w:bCs w:val="0"/>
          <w:highlight w:val="none"/>
        </w:rPr>
        <w:t>and upregulated pathways in</w:t>
      </w:r>
      <w:r>
        <w:rPr>
          <w:b w:val="0"/>
          <w:bCs w:val="0"/>
          <w:i/>
          <w:iCs/>
          <w:highlight w:val="none"/>
        </w:rPr>
        <w:t xml:space="preserve"> Rarα</w:t>
      </w:r>
      <w:r>
        <w:rPr>
          <w:b w:val="0"/>
          <w:bCs w:val="0"/>
          <w:highlight w:val="none"/>
        </w:rPr>
        <w:t xml:space="preserve">-KO oocytes and granulosa cells. </w:t>
      </w:r>
      <w:r>
        <w:rPr>
          <w:highlight w:val="none"/>
        </w:rPr>
        <w:t>(C)</w:t>
      </w:r>
      <w:r>
        <w:rPr>
          <w:b w:val="0"/>
          <w:bCs w:val="0"/>
          <w:highlight w:val="none"/>
        </w:rPr>
        <w:t xml:space="preserve"> Volcano plot of DEGs in </w:t>
      </w:r>
      <w:r>
        <w:rPr>
          <w:b w:val="0"/>
          <w:bCs w:val="0"/>
          <w:i/>
          <w:iCs/>
          <w:highlight w:val="none"/>
        </w:rPr>
        <w:t>Rarα</w:t>
      </w:r>
      <w:r>
        <w:rPr>
          <w:b w:val="0"/>
          <w:bCs w:val="0"/>
          <w:highlight w:val="none"/>
        </w:rPr>
        <w:t>-KO granulosa cells compared to WT granulosa cells.</w:t>
      </w:r>
      <w:r>
        <w:rPr>
          <w:highlight w:val="none"/>
        </w:rPr>
        <w:t xml:space="preserve"> (D)</w:t>
      </w:r>
      <w:r>
        <w:rPr>
          <w:b w:val="0"/>
          <w:bCs w:val="0"/>
          <w:highlight w:val="none"/>
        </w:rPr>
        <w:t xml:space="preserve"> Venn diagram illustrating the overlap of upregulated and downregulated DEGs</w:t>
      </w:r>
      <w:r>
        <w:rPr>
          <w:b w:val="0"/>
          <w:bCs w:val="0"/>
          <w:highlight w:val="none"/>
          <w:lang w:eastAsia="zh-CN"/>
        </w:rPr>
        <w:t xml:space="preserve"> </w:t>
      </w:r>
      <w:r>
        <w:rPr>
          <w:b w:val="0"/>
          <w:bCs w:val="0"/>
          <w:highlight w:val="none"/>
        </w:rPr>
        <w:t xml:space="preserve">between oocytes (OO) and granulosa cells (GC) in </w:t>
      </w:r>
      <w:r>
        <w:rPr>
          <w:b w:val="0"/>
          <w:bCs w:val="0"/>
          <w:i/>
          <w:iCs/>
          <w:highlight w:val="none"/>
        </w:rPr>
        <w:t>Rarα</w:t>
      </w:r>
      <w:r>
        <w:rPr>
          <w:b w:val="0"/>
          <w:bCs w:val="0"/>
          <w:highlight w:val="none"/>
        </w:rPr>
        <w:t xml:space="preserve">-KO mice versus WT mice. </w:t>
      </w:r>
    </w:p>
    <w:p w14:paraId="1DD428FB">
      <w:pPr>
        <w:spacing w:line="480" w:lineRule="auto"/>
        <w:rPr>
          <w:kern w:val="32"/>
          <w:highlight w:val="none"/>
        </w:rPr>
      </w:pPr>
    </w:p>
    <w:p w14:paraId="6F34E7F1">
      <w:pPr>
        <w:pStyle w:val="88"/>
        <w:spacing w:before="0" w:after="0" w:line="480" w:lineRule="auto"/>
        <w:jc w:val="both"/>
        <w:rPr>
          <w:b w:val="0"/>
          <w:bCs w:val="0"/>
          <w:highlight w:val="none"/>
        </w:rPr>
      </w:pPr>
      <w:r>
        <w:rPr>
          <w:highlight w:val="none"/>
        </w:rPr>
        <w:drawing>
          <wp:inline distT="0" distB="0" distL="0" distR="0">
            <wp:extent cx="6156960" cy="5897880"/>
            <wp:effectExtent l="0" t="0" r="2540" b="0"/>
            <wp:docPr id="6936223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622386" name="图片 1"/>
                    <pic:cNvPicPr>
                      <a:picLocks noChangeAspect="1"/>
                    </pic:cNvPicPr>
                  </pic:nvPicPr>
                  <pic:blipFill>
                    <a:blip r:embed="rId9" cstate="print">
                      <a:extLst>
                        <a:ext uri="{28A0092B-C50C-407E-A947-70E740481C1C}">
                          <a14:useLocalDpi xmlns:a14="http://schemas.microsoft.com/office/drawing/2010/main" val="0"/>
                        </a:ext>
                      </a:extLst>
                    </a:blip>
                    <a:srcRect b="20181"/>
                    <a:stretch>
                      <a:fillRect/>
                    </a:stretch>
                  </pic:blipFill>
                  <pic:spPr>
                    <a:xfrm>
                      <a:off x="0" y="0"/>
                      <a:ext cx="6195891" cy="5935106"/>
                    </a:xfrm>
                    <a:prstGeom prst="rect">
                      <a:avLst/>
                    </a:prstGeom>
                    <a:ln>
                      <a:noFill/>
                    </a:ln>
                  </pic:spPr>
                </pic:pic>
              </a:graphicData>
            </a:graphic>
          </wp:inline>
        </w:drawing>
      </w:r>
      <w:r>
        <w:rPr>
          <w:highlight w:val="none"/>
        </w:rPr>
        <w:t xml:space="preserve">Fig. S3. Single-cell clustering analysis of ovarian cells from WT and </w:t>
      </w:r>
      <w:r>
        <w:rPr>
          <w:i/>
          <w:iCs/>
          <w:highlight w:val="none"/>
        </w:rPr>
        <w:t>Rarα</w:t>
      </w:r>
      <w:r>
        <w:rPr>
          <w:highlight w:val="none"/>
        </w:rPr>
        <w:t>/</w:t>
      </w:r>
      <w:r>
        <w:rPr>
          <w:i/>
          <w:iCs/>
          <w:highlight w:val="none"/>
        </w:rPr>
        <w:t>γ</w:t>
      </w:r>
      <w:r>
        <w:rPr>
          <w:highlight w:val="none"/>
        </w:rPr>
        <w:t xml:space="preserve"> double-knockout mice</w:t>
      </w:r>
      <w:r>
        <w:rPr>
          <w:rFonts w:hint="eastAsia" w:eastAsia="宋体"/>
          <w:highlight w:val="none"/>
          <w:lang w:eastAsia="zh-CN"/>
        </w:rPr>
        <w:t xml:space="preserve"> at 16 dpp</w:t>
      </w:r>
      <w:r>
        <w:rPr>
          <w:highlight w:val="none"/>
        </w:rPr>
        <w:t xml:space="preserve">. (A) </w:t>
      </w:r>
      <w:r>
        <w:rPr>
          <w:b w:val="0"/>
          <w:bCs w:val="0"/>
          <w:highlight w:val="none"/>
        </w:rPr>
        <w:t xml:space="preserve">Expression of ovarian cell marker genes across nine identified cell clusters. </w:t>
      </w:r>
      <w:r>
        <w:rPr>
          <w:highlight w:val="none"/>
        </w:rPr>
        <w:t>(B)</w:t>
      </w:r>
      <w:r>
        <w:rPr>
          <w:b w:val="0"/>
          <w:bCs w:val="0"/>
          <w:highlight w:val="none"/>
        </w:rPr>
        <w:t xml:space="preserve"> Top 5 highly expressed genes in each cell cluster. </w:t>
      </w:r>
      <w:r>
        <w:rPr>
          <w:highlight w:val="none"/>
        </w:rPr>
        <w:t xml:space="preserve">(C) </w:t>
      </w:r>
      <w:r>
        <w:rPr>
          <w:b w:val="0"/>
          <w:bCs w:val="0"/>
          <w:highlight w:val="none"/>
        </w:rPr>
        <w:t>Heatmaps depicting</w:t>
      </w:r>
      <w:r>
        <w:rPr>
          <w:highlight w:val="none"/>
        </w:rPr>
        <w:t xml:space="preserve"> </w:t>
      </w:r>
      <w:r>
        <w:rPr>
          <w:b w:val="0"/>
          <w:bCs w:val="0"/>
          <w:highlight w:val="none"/>
        </w:rPr>
        <w:t>GDF signaling-mediated cell-cell interaction strength</w:t>
      </w:r>
      <w:r>
        <w:rPr>
          <w:highlight w:val="none"/>
        </w:rPr>
        <w:t xml:space="preserve"> </w:t>
      </w:r>
      <w:r>
        <w:rPr>
          <w:b w:val="0"/>
          <w:bCs w:val="0"/>
          <w:highlight w:val="none"/>
        </w:rPr>
        <w:t>in WT and</w:t>
      </w:r>
      <w:r>
        <w:rPr>
          <w:b w:val="0"/>
          <w:bCs w:val="0"/>
          <w:i/>
          <w:iCs/>
          <w:highlight w:val="none"/>
        </w:rPr>
        <w:t xml:space="preserve"> Rarα</w:t>
      </w:r>
      <w:r>
        <w:rPr>
          <w:b w:val="0"/>
          <w:bCs w:val="0"/>
          <w:highlight w:val="none"/>
        </w:rPr>
        <w:t>/</w:t>
      </w:r>
      <w:r>
        <w:rPr>
          <w:b w:val="0"/>
          <w:bCs w:val="0"/>
          <w:i/>
          <w:iCs/>
          <w:highlight w:val="none"/>
        </w:rPr>
        <w:t>γ</w:t>
      </w:r>
      <w:r>
        <w:rPr>
          <w:b w:val="0"/>
          <w:bCs w:val="0"/>
          <w:highlight w:val="none"/>
        </w:rPr>
        <w:t xml:space="preserve">-dKO ovarian cell clusters. Color intensity reflects interaction strength; x-axis denotes receptor cell clusters, and y-axis denotes ligand cell clusters. </w:t>
      </w:r>
      <w:r>
        <w:rPr>
          <w:highlight w:val="none"/>
        </w:rPr>
        <w:t>(D)</w:t>
      </w:r>
      <w:r>
        <w:rPr>
          <w:b w:val="0"/>
          <w:bCs w:val="0"/>
          <w:highlight w:val="none"/>
        </w:rPr>
        <w:t xml:space="preserve"> Volcano plot of DEGs in </w:t>
      </w:r>
      <w:r>
        <w:rPr>
          <w:b w:val="0"/>
          <w:bCs w:val="0"/>
          <w:i/>
          <w:iCs/>
          <w:highlight w:val="none"/>
        </w:rPr>
        <w:t>Rarα</w:t>
      </w:r>
      <w:r>
        <w:rPr>
          <w:b w:val="0"/>
          <w:bCs w:val="0"/>
          <w:highlight w:val="none"/>
        </w:rPr>
        <w:t>/</w:t>
      </w:r>
      <w:r>
        <w:rPr>
          <w:b w:val="0"/>
          <w:bCs w:val="0"/>
          <w:i/>
          <w:iCs/>
          <w:highlight w:val="none"/>
        </w:rPr>
        <w:t>γ</w:t>
      </w:r>
      <w:r>
        <w:rPr>
          <w:b w:val="0"/>
          <w:bCs w:val="0"/>
          <w:highlight w:val="none"/>
        </w:rPr>
        <w:t xml:space="preserve">-dKO oocyte cluster compared to WT. Genes associated with oocyte development are highlighted. </w:t>
      </w:r>
      <w:r>
        <w:rPr>
          <w:highlight w:val="none"/>
        </w:rPr>
        <w:t>(E)</w:t>
      </w:r>
      <w:r>
        <w:rPr>
          <w:b w:val="0"/>
          <w:bCs w:val="0"/>
          <w:highlight w:val="none"/>
          <w:lang w:eastAsia="zh-CN"/>
        </w:rPr>
        <w:t xml:space="preserve"> </w:t>
      </w:r>
      <w:r>
        <w:rPr>
          <w:b w:val="0"/>
          <w:bCs w:val="0"/>
          <w:highlight w:val="none"/>
        </w:rPr>
        <w:t xml:space="preserve">Relative expression levels of oocyte development genes </w:t>
      </w:r>
      <w:r>
        <w:rPr>
          <w:b w:val="0"/>
          <w:bCs w:val="0"/>
          <w:i/>
          <w:iCs/>
          <w:highlight w:val="none"/>
        </w:rPr>
        <w:t>Ooep</w:t>
      </w:r>
      <w:r>
        <w:rPr>
          <w:b w:val="0"/>
          <w:bCs w:val="0"/>
          <w:highlight w:val="none"/>
        </w:rPr>
        <w:t xml:space="preserve"> and </w:t>
      </w:r>
      <w:r>
        <w:rPr>
          <w:b w:val="0"/>
          <w:bCs w:val="0"/>
          <w:i/>
          <w:iCs/>
          <w:highlight w:val="none"/>
        </w:rPr>
        <w:t>Gdf9</w:t>
      </w:r>
      <w:r>
        <w:rPr>
          <w:b w:val="0"/>
          <w:bCs w:val="0"/>
          <w:highlight w:val="none"/>
        </w:rPr>
        <w:t xml:space="preserve"> in oocyte cluster from WT and </w:t>
      </w:r>
      <w:r>
        <w:rPr>
          <w:b w:val="0"/>
          <w:bCs w:val="0"/>
          <w:i/>
          <w:iCs/>
          <w:highlight w:val="none"/>
        </w:rPr>
        <w:t>Rarα</w:t>
      </w:r>
      <w:r>
        <w:rPr>
          <w:b w:val="0"/>
          <w:bCs w:val="0"/>
          <w:highlight w:val="none"/>
        </w:rPr>
        <w:t>/</w:t>
      </w:r>
      <w:r>
        <w:rPr>
          <w:b w:val="0"/>
          <w:bCs w:val="0"/>
          <w:i/>
          <w:iCs/>
          <w:highlight w:val="none"/>
        </w:rPr>
        <w:t>γ</w:t>
      </w:r>
      <w:r>
        <w:rPr>
          <w:b w:val="0"/>
          <w:bCs w:val="0"/>
          <w:highlight w:val="none"/>
        </w:rPr>
        <w:t>-dKO</w:t>
      </w:r>
      <w:r>
        <w:rPr>
          <w:b w:val="0"/>
          <w:bCs w:val="0"/>
          <w:highlight w:val="none"/>
          <w:lang w:eastAsia="zh-CN"/>
        </w:rPr>
        <w:t xml:space="preserve"> mice</w:t>
      </w:r>
      <w:r>
        <w:rPr>
          <w:b w:val="0"/>
          <w:bCs w:val="0"/>
          <w:highlight w:val="none"/>
        </w:rPr>
        <w:t xml:space="preserve">. </w:t>
      </w:r>
      <w:r>
        <w:rPr>
          <w:highlight w:val="none"/>
        </w:rPr>
        <w:t>(</w:t>
      </w:r>
      <w:r>
        <w:rPr>
          <w:highlight w:val="none"/>
          <w:lang w:eastAsia="zh-CN"/>
        </w:rPr>
        <w:t>F)</w:t>
      </w:r>
      <w:r>
        <w:rPr>
          <w:b w:val="0"/>
          <w:bCs w:val="0"/>
          <w:highlight w:val="none"/>
        </w:rPr>
        <w:t xml:space="preserve"> GSEA of RA response in WT and </w:t>
      </w:r>
      <w:r>
        <w:rPr>
          <w:b w:val="0"/>
          <w:bCs w:val="0"/>
          <w:i/>
          <w:iCs/>
          <w:highlight w:val="none"/>
        </w:rPr>
        <w:t>Rarα</w:t>
      </w:r>
      <w:r>
        <w:rPr>
          <w:b w:val="0"/>
          <w:bCs w:val="0"/>
          <w:highlight w:val="none"/>
        </w:rPr>
        <w:t>/</w:t>
      </w:r>
      <w:r>
        <w:rPr>
          <w:b w:val="0"/>
          <w:bCs w:val="0"/>
          <w:i/>
          <w:iCs/>
          <w:highlight w:val="none"/>
        </w:rPr>
        <w:t>γ</w:t>
      </w:r>
      <w:r>
        <w:rPr>
          <w:b w:val="0"/>
          <w:bCs w:val="0"/>
          <w:highlight w:val="none"/>
        </w:rPr>
        <w:t xml:space="preserve">-dKO oocyte cluster. </w:t>
      </w:r>
      <w:r>
        <w:rPr>
          <w:highlight w:val="none"/>
        </w:rPr>
        <w:t>(G</w:t>
      </w:r>
      <w:r>
        <w:rPr>
          <w:highlight w:val="none"/>
          <w:lang w:eastAsia="zh-CN"/>
        </w:rPr>
        <w:t>, H</w:t>
      </w:r>
      <w:r>
        <w:rPr>
          <w:highlight w:val="none"/>
        </w:rPr>
        <w:t>)</w:t>
      </w:r>
      <w:r>
        <w:rPr>
          <w:b w:val="0"/>
          <w:bCs w:val="0"/>
          <w:highlight w:val="none"/>
        </w:rPr>
        <w:t xml:space="preserve"> GO analysis of downregulated (G) and upregulated (H) genes in </w:t>
      </w:r>
      <w:r>
        <w:rPr>
          <w:b w:val="0"/>
          <w:bCs w:val="0"/>
          <w:i/>
          <w:iCs/>
          <w:highlight w:val="none"/>
        </w:rPr>
        <w:t>Rarα</w:t>
      </w:r>
      <w:r>
        <w:rPr>
          <w:b w:val="0"/>
          <w:bCs w:val="0"/>
          <w:highlight w:val="none"/>
        </w:rPr>
        <w:t>/</w:t>
      </w:r>
      <w:r>
        <w:rPr>
          <w:b w:val="0"/>
          <w:bCs w:val="0"/>
          <w:i/>
          <w:iCs/>
          <w:highlight w:val="none"/>
        </w:rPr>
        <w:t>γ</w:t>
      </w:r>
      <w:r>
        <w:rPr>
          <w:b w:val="0"/>
          <w:bCs w:val="0"/>
          <w:highlight w:val="none"/>
        </w:rPr>
        <w:t xml:space="preserve">-dKO oocyte cluster compared to WT. </w:t>
      </w:r>
    </w:p>
    <w:p w14:paraId="5BB302AF">
      <w:pPr>
        <w:spacing w:line="480" w:lineRule="auto"/>
        <w:rPr>
          <w:kern w:val="32"/>
          <w:highlight w:val="none"/>
        </w:rPr>
      </w:pPr>
      <w:r>
        <w:rPr>
          <w:b/>
          <w:bCs/>
          <w:highlight w:val="none"/>
        </w:rPr>
        <w:br w:type="page"/>
      </w:r>
      <w:bookmarkStart w:id="4" w:name="_GoBack"/>
      <w:bookmarkEnd w:id="4"/>
    </w:p>
    <w:p w14:paraId="7D7AD068">
      <w:pPr>
        <w:pStyle w:val="88"/>
        <w:spacing w:before="0" w:after="0" w:line="480" w:lineRule="auto"/>
        <w:jc w:val="both"/>
        <w:rPr>
          <w:b w:val="0"/>
          <w:bCs w:val="0"/>
          <w:highlight w:val="none"/>
        </w:rPr>
      </w:pPr>
      <w:r>
        <w:rPr>
          <w:highlight w:val="none"/>
        </w:rPr>
        <w:drawing>
          <wp:inline distT="0" distB="0" distL="114300" distR="114300">
            <wp:extent cx="6157595" cy="6018530"/>
            <wp:effectExtent l="0" t="0" r="1905" b="1270"/>
            <wp:docPr id="3" name="图片 3" descr="Fig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S3"/>
                    <pic:cNvPicPr>
                      <a:picLocks noChangeAspect="1"/>
                    </pic:cNvPicPr>
                  </pic:nvPicPr>
                  <pic:blipFill>
                    <a:blip r:embed="rId10"/>
                    <a:srcRect b="18548"/>
                    <a:stretch>
                      <a:fillRect/>
                    </a:stretch>
                  </pic:blipFill>
                  <pic:spPr>
                    <a:xfrm>
                      <a:off x="0" y="0"/>
                      <a:ext cx="6202507" cy="6062390"/>
                    </a:xfrm>
                    <a:prstGeom prst="rect">
                      <a:avLst/>
                    </a:prstGeom>
                  </pic:spPr>
                </pic:pic>
              </a:graphicData>
            </a:graphic>
          </wp:inline>
        </w:drawing>
      </w:r>
      <w:r>
        <w:rPr>
          <w:highlight w:val="none"/>
        </w:rPr>
        <w:t xml:space="preserve">Fig. S4. Pathway alterations in oocyte subpopulations upon </w:t>
      </w:r>
      <w:r>
        <w:rPr>
          <w:i/>
          <w:iCs/>
          <w:highlight w:val="none"/>
        </w:rPr>
        <w:t>Rarα</w:t>
      </w:r>
      <w:r>
        <w:rPr>
          <w:highlight w:val="none"/>
        </w:rPr>
        <w:t>/</w:t>
      </w:r>
      <w:r>
        <w:rPr>
          <w:i/>
          <w:iCs/>
          <w:highlight w:val="none"/>
        </w:rPr>
        <w:t>γ</w:t>
      </w:r>
      <w:r>
        <w:rPr>
          <w:highlight w:val="none"/>
        </w:rPr>
        <w:t xml:space="preserve"> deletion</w:t>
      </w:r>
      <w:r>
        <w:rPr>
          <w:rFonts w:hint="eastAsia"/>
          <w:highlight w:val="none"/>
          <w:lang w:eastAsia="zh-CN"/>
        </w:rPr>
        <w:t xml:space="preserve"> </w:t>
      </w:r>
      <w:r>
        <w:rPr>
          <w:rFonts w:hint="eastAsia" w:eastAsia="宋体"/>
          <w:highlight w:val="none"/>
          <w:lang w:eastAsia="zh-CN"/>
        </w:rPr>
        <w:t>at 16</w:t>
      </w:r>
      <w:r>
        <w:rPr>
          <w:rFonts w:eastAsia="宋体"/>
          <w:highlight w:val="none"/>
          <w:lang w:eastAsia="zh-CN"/>
        </w:rPr>
        <w:t xml:space="preserve"> </w:t>
      </w:r>
      <w:r>
        <w:rPr>
          <w:rFonts w:hint="eastAsia" w:eastAsia="宋体"/>
          <w:highlight w:val="none"/>
          <w:lang w:eastAsia="zh-CN"/>
        </w:rPr>
        <w:t>dpp</w:t>
      </w:r>
      <w:r>
        <w:rPr>
          <w:highlight w:val="none"/>
        </w:rPr>
        <w:t xml:space="preserve">. (A, B) </w:t>
      </w:r>
      <w:r>
        <w:rPr>
          <w:b w:val="0"/>
          <w:bCs w:val="0"/>
          <w:highlight w:val="none"/>
        </w:rPr>
        <w:t xml:space="preserve">Reactome analysis of WT primary follicle oocytes (A), primordial follicle oocytes and apoptotic oocytes (B). </w:t>
      </w:r>
      <w:r>
        <w:rPr>
          <w:highlight w:val="none"/>
        </w:rPr>
        <w:t>(C)</w:t>
      </w:r>
      <w:r>
        <w:rPr>
          <w:b w:val="0"/>
          <w:bCs w:val="0"/>
          <w:highlight w:val="none"/>
        </w:rPr>
        <w:t xml:space="preserve"> GSEA of downregulated</w:t>
      </w:r>
      <w:r>
        <w:rPr>
          <w:b w:val="0"/>
          <w:bCs w:val="0"/>
          <w:highlight w:val="none"/>
          <w:lang w:eastAsia="zh-CN"/>
        </w:rPr>
        <w:t xml:space="preserve"> </w:t>
      </w:r>
      <w:r>
        <w:rPr>
          <w:b w:val="0"/>
          <w:bCs w:val="0"/>
          <w:highlight w:val="none"/>
        </w:rPr>
        <w:t>and upregulated</w:t>
      </w:r>
      <w:r>
        <w:rPr>
          <w:b w:val="0"/>
          <w:bCs w:val="0"/>
          <w:highlight w:val="none"/>
          <w:lang w:eastAsia="zh-CN"/>
        </w:rPr>
        <w:t xml:space="preserve"> </w:t>
      </w:r>
      <w:r>
        <w:rPr>
          <w:b w:val="0"/>
          <w:bCs w:val="0"/>
          <w:highlight w:val="none"/>
        </w:rPr>
        <w:t xml:space="preserve">pathways in primordial, primary, and apoptotic oocytes of </w:t>
      </w:r>
      <w:r>
        <w:rPr>
          <w:b w:val="0"/>
          <w:bCs w:val="0"/>
          <w:i/>
          <w:iCs/>
          <w:highlight w:val="none"/>
        </w:rPr>
        <w:t>Rarα</w:t>
      </w:r>
      <w:r>
        <w:rPr>
          <w:b w:val="0"/>
          <w:bCs w:val="0"/>
          <w:highlight w:val="none"/>
        </w:rPr>
        <w:t>/</w:t>
      </w:r>
      <w:r>
        <w:rPr>
          <w:b w:val="0"/>
          <w:bCs w:val="0"/>
          <w:i/>
          <w:iCs/>
          <w:highlight w:val="none"/>
        </w:rPr>
        <w:t>γ</w:t>
      </w:r>
      <w:r>
        <w:rPr>
          <w:b w:val="0"/>
          <w:bCs w:val="0"/>
          <w:highlight w:val="none"/>
        </w:rPr>
        <w:t xml:space="preserve">-dKO mice compared to those of WT mice. </w:t>
      </w:r>
      <w:r>
        <w:rPr>
          <w:highlight w:val="none"/>
        </w:rPr>
        <w:t>(D</w:t>
      </w:r>
      <w:r>
        <w:rPr>
          <w:highlight w:val="none"/>
          <w:lang w:eastAsia="zh-CN"/>
        </w:rPr>
        <w:t xml:space="preserve">, </w:t>
      </w:r>
      <w:r>
        <w:rPr>
          <w:highlight w:val="none"/>
        </w:rPr>
        <w:t>E)</w:t>
      </w:r>
      <w:r>
        <w:rPr>
          <w:b w:val="0"/>
          <w:bCs w:val="0"/>
          <w:highlight w:val="none"/>
        </w:rPr>
        <w:t xml:space="preserve"> GO analysis of downregulated</w:t>
      </w:r>
      <w:r>
        <w:rPr>
          <w:b w:val="0"/>
          <w:bCs w:val="0"/>
          <w:highlight w:val="none"/>
          <w:lang w:eastAsia="zh-CN"/>
        </w:rPr>
        <w:t xml:space="preserve"> </w:t>
      </w:r>
      <w:r>
        <w:rPr>
          <w:b w:val="0"/>
          <w:bCs w:val="0"/>
          <w:highlight w:val="none"/>
        </w:rPr>
        <w:t xml:space="preserve">and upregulated DEGs in primary follicle oocytes (D) and apoptotic oocytes (E) of </w:t>
      </w:r>
      <w:r>
        <w:rPr>
          <w:b w:val="0"/>
          <w:bCs w:val="0"/>
          <w:i/>
          <w:iCs/>
          <w:highlight w:val="none"/>
        </w:rPr>
        <w:t>Rarα</w:t>
      </w:r>
      <w:r>
        <w:rPr>
          <w:b w:val="0"/>
          <w:bCs w:val="0"/>
          <w:highlight w:val="none"/>
        </w:rPr>
        <w:t>/</w:t>
      </w:r>
      <w:r>
        <w:rPr>
          <w:b w:val="0"/>
          <w:bCs w:val="0"/>
          <w:i/>
          <w:iCs/>
          <w:highlight w:val="none"/>
        </w:rPr>
        <w:t>γ</w:t>
      </w:r>
      <w:r>
        <w:rPr>
          <w:b w:val="0"/>
          <w:bCs w:val="0"/>
          <w:highlight w:val="none"/>
        </w:rPr>
        <w:t>-dKO mice compared to those of WT mice.</w:t>
      </w:r>
    </w:p>
    <w:p w14:paraId="6B9A2801">
      <w:pPr>
        <w:spacing w:line="480" w:lineRule="auto"/>
        <w:rPr>
          <w:b/>
          <w:bCs/>
          <w:highlight w:val="none"/>
        </w:rPr>
      </w:pPr>
      <w:r>
        <w:rPr>
          <w:b/>
          <w:bCs/>
          <w:highlight w:val="none"/>
        </w:rPr>
        <w:br w:type="page"/>
      </w:r>
    </w:p>
    <w:p w14:paraId="13FDA2E1">
      <w:pPr>
        <w:pStyle w:val="88"/>
        <w:spacing w:line="480" w:lineRule="auto"/>
        <w:jc w:val="both"/>
        <w:outlineLvl w:val="9"/>
        <w:rPr>
          <w:b w:val="0"/>
          <w:bCs w:val="0"/>
          <w:highlight w:val="none"/>
          <w:lang w:eastAsia="zh-CN"/>
        </w:rPr>
      </w:pPr>
      <w:r>
        <w:rPr>
          <w:b w:val="0"/>
          <w:bCs w:val="0"/>
          <w:highlight w:val="none"/>
          <w:lang w:eastAsia="zh-CN"/>
        </w:rPr>
        <w:drawing>
          <wp:inline distT="0" distB="0" distL="114300" distR="114300">
            <wp:extent cx="6215380" cy="2119630"/>
            <wp:effectExtent l="0" t="0" r="0" b="1270"/>
            <wp:docPr id="4" name="图片 4" descr="Fig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S4"/>
                    <pic:cNvPicPr>
                      <a:picLocks noChangeAspect="1"/>
                    </pic:cNvPicPr>
                  </pic:nvPicPr>
                  <pic:blipFill>
                    <a:blip r:embed="rId11"/>
                    <a:srcRect t="-215" b="71788"/>
                    <a:stretch>
                      <a:fillRect/>
                    </a:stretch>
                  </pic:blipFill>
                  <pic:spPr>
                    <a:xfrm>
                      <a:off x="0" y="0"/>
                      <a:ext cx="6273204" cy="2139880"/>
                    </a:xfrm>
                    <a:prstGeom prst="rect">
                      <a:avLst/>
                    </a:prstGeom>
                  </pic:spPr>
                </pic:pic>
              </a:graphicData>
            </a:graphic>
          </wp:inline>
        </w:drawing>
      </w:r>
    </w:p>
    <w:p w14:paraId="045E569A">
      <w:pPr>
        <w:pStyle w:val="88"/>
        <w:spacing w:before="0" w:after="0" w:line="480" w:lineRule="auto"/>
        <w:jc w:val="both"/>
        <w:rPr>
          <w:b w:val="0"/>
          <w:bCs w:val="0"/>
          <w:highlight w:val="none"/>
        </w:rPr>
      </w:pPr>
      <w:r>
        <w:rPr>
          <w:highlight w:val="none"/>
        </w:rPr>
        <w:t>Fig. S5. Effects of oral RA administration on estrous cyclicity and development in mice.</w:t>
      </w:r>
      <w:r>
        <w:rPr>
          <w:b w:val="0"/>
          <w:bCs w:val="0"/>
          <w:highlight w:val="none"/>
        </w:rPr>
        <w:t xml:space="preserve"> Prepubertal mice (3 weeks old) were treated orally with or without RA continuously until designated time points. </w:t>
      </w:r>
      <w:r>
        <w:rPr>
          <w:highlight w:val="none"/>
        </w:rPr>
        <w:t>(A)</w:t>
      </w:r>
      <w:r>
        <w:rPr>
          <w:b w:val="0"/>
          <w:bCs w:val="0"/>
          <w:highlight w:val="none"/>
        </w:rPr>
        <w:t xml:space="preserve"> Ovarian morphology in control and RA-treated (100, 500, </w:t>
      </w:r>
      <w:r>
        <w:rPr>
          <w:b w:val="0"/>
          <w:bCs w:val="0"/>
          <w:highlight w:val="none"/>
          <w:lang w:eastAsia="zh-CN"/>
        </w:rPr>
        <w:t xml:space="preserve">or </w:t>
      </w:r>
      <w:r>
        <w:rPr>
          <w:b w:val="0"/>
          <w:bCs w:val="0"/>
          <w:highlight w:val="none"/>
        </w:rPr>
        <w:t xml:space="preserve">1000 ng/mL) groups. The image is a representative picture from the largest section of the ovary. Magnified views of boxed areas are shown in Fig. 6J. </w:t>
      </w:r>
      <w:r>
        <w:rPr>
          <w:highlight w:val="none"/>
        </w:rPr>
        <w:t xml:space="preserve">(B) </w:t>
      </w:r>
      <w:r>
        <w:rPr>
          <w:b w:val="0"/>
          <w:bCs w:val="0"/>
          <w:highlight w:val="none"/>
        </w:rPr>
        <w:t xml:space="preserve">Age of vaginal opening and first estrus (puberty markers) in control and 500 ng/mL RA-treated mice. </w:t>
      </w:r>
      <w:r>
        <w:rPr>
          <w:highlight w:val="none"/>
        </w:rPr>
        <w:t xml:space="preserve">(C) </w:t>
      </w:r>
      <w:r>
        <w:rPr>
          <w:b w:val="0"/>
          <w:bCs w:val="0"/>
          <w:highlight w:val="none"/>
        </w:rPr>
        <w:t xml:space="preserve">Estrous cycle length evaluated by vaginal smears in control and 500 ng/mL RA-treated mice. </w:t>
      </w:r>
      <w:r>
        <w:rPr>
          <w:highlight w:val="none"/>
        </w:rPr>
        <w:t xml:space="preserve">(D) </w:t>
      </w:r>
      <w:r>
        <w:rPr>
          <w:b w:val="0"/>
          <w:bCs w:val="0"/>
          <w:highlight w:val="none"/>
        </w:rPr>
        <w:t xml:space="preserve">Ovarian morphology in control and 500 ng/mL RA-treated groups at 11, 15, and 19 weeks of age. The image is a representative picture from the largest section of the ovary. Amplified views of boxed areas are shown in Fig. 6N. </w:t>
      </w:r>
      <w:r>
        <w:rPr>
          <w:highlight w:val="none"/>
        </w:rPr>
        <w:t>(E)</w:t>
      </w:r>
      <w:r>
        <w:rPr>
          <w:b w:val="0"/>
          <w:bCs w:val="0"/>
          <w:highlight w:val="none"/>
        </w:rPr>
        <w:t xml:space="preserve"> Body weight comparison in control and 500 ng/mL RA-treated groups at 7, 11, 15, 19, and 23 weeks of age. Nuclei were stained with hematoxylin. Scale bars: 100 μm. For each experiment, representative images are shown from at least three (n ≥ 3) biological replicates.</w:t>
      </w:r>
    </w:p>
    <w:p w14:paraId="322D02A6">
      <w:pPr>
        <w:spacing w:line="480" w:lineRule="auto"/>
        <w:rPr>
          <w:b/>
          <w:bCs/>
          <w:highlight w:val="none"/>
        </w:rPr>
      </w:pPr>
    </w:p>
    <w:p w14:paraId="03CB76B2">
      <w:pPr>
        <w:spacing w:line="480" w:lineRule="auto"/>
        <w:rPr>
          <w:b/>
          <w:bCs/>
          <w:highlight w:val="none"/>
        </w:rPr>
      </w:pPr>
      <w:r>
        <w:rPr>
          <w:b/>
          <w:bCs/>
          <w:highlight w:val="none"/>
        </w:rPr>
        <w:drawing>
          <wp:inline distT="0" distB="0" distL="114300" distR="114300">
            <wp:extent cx="6155690" cy="6854190"/>
            <wp:effectExtent l="0" t="0" r="16510" b="3810"/>
            <wp:docPr id="6" name="图片 6" descr="Fig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 S6"/>
                    <pic:cNvPicPr>
                      <a:picLocks noChangeAspect="1"/>
                    </pic:cNvPicPr>
                  </pic:nvPicPr>
                  <pic:blipFill>
                    <a:blip r:embed="rId12"/>
                    <a:srcRect b="7213"/>
                    <a:stretch>
                      <a:fillRect/>
                    </a:stretch>
                  </pic:blipFill>
                  <pic:spPr>
                    <a:xfrm>
                      <a:off x="0" y="0"/>
                      <a:ext cx="6155690" cy="6854190"/>
                    </a:xfrm>
                    <a:prstGeom prst="rect">
                      <a:avLst/>
                    </a:prstGeom>
                  </pic:spPr>
                </pic:pic>
              </a:graphicData>
            </a:graphic>
          </wp:inline>
        </w:drawing>
      </w:r>
    </w:p>
    <w:p w14:paraId="2F953CB8">
      <w:pPr>
        <w:spacing w:line="480" w:lineRule="auto"/>
        <w:jc w:val="both"/>
        <w:outlineLvl w:val="0"/>
        <w:rPr>
          <w:rFonts w:ascii="Times New Roman Regular" w:hAnsi="Times New Roman Regular" w:cs="Times New Roman Regular" w:eastAsiaTheme="minorEastAsia"/>
          <w:kern w:val="32"/>
          <w:highlight w:val="none"/>
          <w:lang w:val="en-US" w:eastAsia="zh-CN"/>
        </w:rPr>
      </w:pPr>
      <w:r>
        <w:rPr>
          <w:rFonts w:eastAsiaTheme="minorEastAsia"/>
          <w:b/>
          <w:bCs/>
          <w:kern w:val="32"/>
          <w:highlight w:val="none"/>
          <w:lang w:val="en-US" w:eastAsia="en-US"/>
        </w:rPr>
        <w:t>Fig. S</w:t>
      </w:r>
      <w:r>
        <w:rPr>
          <w:rFonts w:eastAsiaTheme="minorEastAsia"/>
          <w:b/>
          <w:bCs/>
          <w:kern w:val="32"/>
          <w:highlight w:val="none"/>
          <w:lang w:val="en-US" w:eastAsia="zh-CN"/>
        </w:rPr>
        <w:t xml:space="preserve">6. Primer specificity analysis by melting curves for qPCR. </w:t>
      </w:r>
      <w:r>
        <w:rPr>
          <w:rFonts w:eastAsiaTheme="minorEastAsia"/>
          <w:kern w:val="32"/>
          <w:highlight w:val="none"/>
          <w:lang w:val="en-US" w:eastAsia="zh-CN"/>
        </w:rPr>
        <w:t>M</w:t>
      </w:r>
      <w:r>
        <w:rPr>
          <w:rFonts w:ascii="Times New Roman Regular" w:hAnsi="Times New Roman Regular" w:cs="Times New Roman Regular" w:eastAsiaTheme="minorEastAsia"/>
          <w:kern w:val="32"/>
          <w:highlight w:val="none"/>
          <w:lang w:val="en-US" w:eastAsia="zh-CN"/>
        </w:rPr>
        <w:t>elting-curve analysis was performed after qPCR amplification of each target gene in 3</w:t>
      </w:r>
      <w:r>
        <w:rPr>
          <w:rFonts w:hint="eastAsia" w:ascii="Times New Roman Regular" w:hAnsi="Times New Roman Regular" w:cs="Times New Roman Regular" w:eastAsiaTheme="minorEastAsia"/>
          <w:kern w:val="32"/>
          <w:highlight w:val="none"/>
          <w:lang w:val="en-US" w:eastAsia="zh-CN"/>
        </w:rPr>
        <w:t xml:space="preserve"> </w:t>
      </w:r>
      <w:r>
        <w:rPr>
          <w:rFonts w:ascii="Times New Roman Regular" w:hAnsi="Times New Roman Regular" w:cs="Times New Roman Regular" w:eastAsiaTheme="minorEastAsia"/>
          <w:kern w:val="32"/>
          <w:highlight w:val="none"/>
          <w:lang w:val="en-US" w:eastAsia="zh-CN"/>
        </w:rPr>
        <w:t>dpp</w:t>
      </w:r>
      <w:r>
        <w:rPr>
          <w:rFonts w:hint="eastAsia" w:ascii="Times New Roman Regular" w:hAnsi="Times New Roman Regular" w:cs="Times New Roman Regular" w:eastAsiaTheme="minorEastAsia"/>
          <w:kern w:val="32"/>
          <w:highlight w:val="none"/>
          <w:lang w:val="en-US" w:eastAsia="zh-CN"/>
        </w:rPr>
        <w:t xml:space="preserve"> </w:t>
      </w:r>
      <w:r>
        <w:rPr>
          <w:rFonts w:ascii="Times New Roman Regular" w:hAnsi="Times New Roman Regular" w:cs="Times New Roman Regular" w:eastAsiaTheme="minorEastAsia"/>
          <w:kern w:val="32"/>
          <w:highlight w:val="none"/>
          <w:lang w:val="en-US" w:eastAsia="zh-CN"/>
        </w:rPr>
        <w:t>mouse ovaries (A) and</w:t>
      </w:r>
      <w:r>
        <w:rPr>
          <w:rFonts w:hint="eastAsia" w:ascii="Times New Roman Regular" w:hAnsi="Times New Roman Regular" w:cs="Times New Roman Regular" w:eastAsiaTheme="minorEastAsia"/>
          <w:kern w:val="32"/>
          <w:highlight w:val="none"/>
          <w:lang w:val="en-US" w:eastAsia="zh-CN"/>
        </w:rPr>
        <w:t xml:space="preserve"> </w:t>
      </w:r>
      <w:r>
        <w:rPr>
          <w:rFonts w:ascii="Times New Roman Regular" w:hAnsi="Times New Roman Regular" w:cs="Times New Roman Regular" w:eastAsiaTheme="minorEastAsia"/>
          <w:kern w:val="32"/>
          <w:highlight w:val="none"/>
          <w:lang w:val="en-US" w:eastAsia="zh-CN"/>
        </w:rPr>
        <w:t>human ovarian cortex samples (B).</w:t>
      </w:r>
    </w:p>
    <w:p w14:paraId="0B471F36">
      <w:pPr>
        <w:spacing w:line="480" w:lineRule="auto"/>
        <w:rPr>
          <w:rFonts w:eastAsiaTheme="minorEastAsia"/>
          <w:b/>
          <w:bCs/>
          <w:kern w:val="32"/>
          <w:highlight w:val="none"/>
          <w:lang w:val="en-US" w:eastAsia="zh-CN"/>
        </w:rPr>
      </w:pPr>
    </w:p>
    <w:p w14:paraId="42850F38">
      <w:pPr>
        <w:spacing w:line="480" w:lineRule="auto"/>
        <w:jc w:val="both"/>
        <w:rPr>
          <w:b/>
          <w:bCs/>
          <w:highlight w:val="none"/>
        </w:rPr>
      </w:pPr>
      <w:r>
        <w:rPr>
          <w:b/>
          <w:bCs/>
          <w:highlight w:val="none"/>
        </w:rPr>
        <w:drawing>
          <wp:inline distT="0" distB="0" distL="0" distR="0">
            <wp:extent cx="6155690" cy="7138035"/>
            <wp:effectExtent l="0" t="0" r="3810" b="0"/>
            <wp:docPr id="18026852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685226" name="图片 1"/>
                    <pic:cNvPicPr>
                      <a:picLocks noChangeAspect="1"/>
                    </pic:cNvPicPr>
                  </pic:nvPicPr>
                  <pic:blipFill>
                    <a:blip r:embed="rId13"/>
                    <a:srcRect b="3378"/>
                    <a:stretch>
                      <a:fillRect/>
                    </a:stretch>
                  </pic:blipFill>
                  <pic:spPr>
                    <a:xfrm>
                      <a:off x="0" y="0"/>
                      <a:ext cx="6156000" cy="7138123"/>
                    </a:xfrm>
                    <a:prstGeom prst="rect">
                      <a:avLst/>
                    </a:prstGeom>
                    <a:ln>
                      <a:noFill/>
                    </a:ln>
                  </pic:spPr>
                </pic:pic>
              </a:graphicData>
            </a:graphic>
          </wp:inline>
        </w:drawing>
      </w:r>
    </w:p>
    <w:p w14:paraId="13B0EF99">
      <w:pPr>
        <w:keepNext w:val="0"/>
        <w:keepLines w:val="0"/>
        <w:pageBreakBefore w:val="0"/>
        <w:widowControl/>
        <w:kinsoku/>
        <w:wordWrap/>
        <w:overflowPunct/>
        <w:topLinePunct w:val="0"/>
        <w:autoSpaceDE/>
        <w:autoSpaceDN/>
        <w:bidi w:val="0"/>
        <w:adjustRightInd/>
        <w:snapToGrid/>
        <w:spacing w:line="480" w:lineRule="auto"/>
        <w:jc w:val="both"/>
        <w:textAlignment w:val="auto"/>
        <w:outlineLvl w:val="0"/>
        <w:rPr>
          <w:rFonts w:ascii="Times New Roman Regular" w:hAnsi="Times New Roman Regular" w:cs="Times New Roman Regular" w:eastAsiaTheme="minorEastAsia"/>
          <w:kern w:val="32"/>
          <w:highlight w:val="none"/>
          <w:lang w:val="en-US" w:eastAsia="zh-CN"/>
        </w:rPr>
      </w:pPr>
      <w:r>
        <w:rPr>
          <w:rFonts w:ascii="Times New Roman Bold" w:hAnsi="Times New Roman Bold" w:cs="Times New Roman Bold" w:eastAsiaTheme="minorEastAsia"/>
          <w:b/>
          <w:bCs/>
          <w:kern w:val="32"/>
          <w:highlight w:val="none"/>
          <w:lang w:val="en-US" w:eastAsia="en-US"/>
        </w:rPr>
        <w:t>Fig. S7</w:t>
      </w:r>
      <w:r>
        <w:rPr>
          <w:rFonts w:ascii="Times New Roman Bold" w:hAnsi="Times New Roman Bold" w:cs="Times New Roman Bold" w:eastAsiaTheme="minorEastAsia"/>
          <w:b/>
          <w:bCs/>
          <w:kern w:val="32"/>
          <w:highlight w:val="none"/>
          <w:lang w:val="en-US" w:eastAsia="zh-CN"/>
        </w:rPr>
        <w:t>. Standard curves and amplification efficiency of primers used for qPCR.</w:t>
      </w:r>
      <w:r>
        <w:rPr>
          <w:rFonts w:hint="eastAsia" w:ascii="Times New Roman Bold" w:hAnsi="Times New Roman Bold" w:cs="Times New Roman Bold" w:eastAsiaTheme="minorEastAsia"/>
          <w:b/>
          <w:bCs/>
          <w:kern w:val="32"/>
          <w:highlight w:val="none"/>
          <w:lang w:val="en-US" w:eastAsia="zh-CN"/>
        </w:rPr>
        <w:t xml:space="preserve"> </w:t>
      </w:r>
      <w:r>
        <w:rPr>
          <w:rFonts w:ascii="Times New Roman Regular" w:hAnsi="Times New Roman Regular" w:cs="Times New Roman Regular" w:eastAsiaTheme="minorEastAsia"/>
          <w:kern w:val="32"/>
          <w:highlight w:val="none"/>
          <w:lang w:val="en-US" w:eastAsia="zh-CN"/>
        </w:rPr>
        <w:t>Standard curves were constructed from five‑point serial dilutions of cDNA from 3</w:t>
      </w:r>
      <w:r>
        <w:rPr>
          <w:rFonts w:hint="eastAsia" w:ascii="Times New Roman Regular" w:hAnsi="Times New Roman Regular" w:cs="Times New Roman Regular" w:eastAsiaTheme="minorEastAsia"/>
          <w:kern w:val="32"/>
          <w:highlight w:val="none"/>
          <w:lang w:val="en-US" w:eastAsia="zh-CN"/>
        </w:rPr>
        <w:t xml:space="preserve"> </w:t>
      </w:r>
      <w:r>
        <w:rPr>
          <w:rFonts w:ascii="Times New Roman Regular" w:hAnsi="Times New Roman Regular" w:cs="Times New Roman Regular" w:eastAsiaTheme="minorEastAsia"/>
          <w:kern w:val="32"/>
          <w:highlight w:val="none"/>
          <w:lang w:val="en-US" w:eastAsia="zh-CN"/>
        </w:rPr>
        <w:t>dpp</w:t>
      </w:r>
      <w:r>
        <w:rPr>
          <w:rFonts w:hint="eastAsia" w:ascii="Times New Roman Regular" w:hAnsi="Times New Roman Regular" w:cs="Times New Roman Regular" w:eastAsiaTheme="minorEastAsia"/>
          <w:kern w:val="32"/>
          <w:highlight w:val="none"/>
          <w:lang w:val="en-US" w:eastAsia="zh-CN"/>
        </w:rPr>
        <w:t xml:space="preserve"> </w:t>
      </w:r>
      <w:r>
        <w:rPr>
          <w:rFonts w:ascii="Times New Roman Regular" w:hAnsi="Times New Roman Regular" w:cs="Times New Roman Regular" w:eastAsiaTheme="minorEastAsia"/>
          <w:kern w:val="32"/>
          <w:highlight w:val="none"/>
          <w:lang w:val="en-US" w:eastAsia="zh-CN"/>
        </w:rPr>
        <w:t>mouse ovaries (A)</w:t>
      </w:r>
      <w:r>
        <w:rPr>
          <w:rFonts w:hint="eastAsia" w:ascii="Times New Roman Regular" w:hAnsi="Times New Roman Regular" w:cs="Times New Roman Regular" w:eastAsiaTheme="minorEastAsia"/>
          <w:kern w:val="32"/>
          <w:highlight w:val="none"/>
          <w:lang w:val="en-US" w:eastAsia="zh-CN"/>
        </w:rPr>
        <w:t xml:space="preserve"> </w:t>
      </w:r>
      <w:r>
        <w:rPr>
          <w:rFonts w:ascii="Times New Roman Regular" w:hAnsi="Times New Roman Regular" w:cs="Times New Roman Regular" w:eastAsiaTheme="minorEastAsia"/>
          <w:kern w:val="32"/>
          <w:highlight w:val="none"/>
          <w:lang w:val="en-US" w:eastAsia="zh-CN"/>
        </w:rPr>
        <w:t xml:space="preserve">and </w:t>
      </w:r>
      <w:r>
        <w:rPr>
          <w:rFonts w:hint="eastAsia" w:ascii="Times New Roman Regular" w:hAnsi="Times New Roman Regular" w:cs="Times New Roman Regular" w:eastAsiaTheme="minorEastAsia"/>
          <w:kern w:val="32"/>
          <w:highlight w:val="none"/>
          <w:lang w:val="en-US" w:eastAsia="zh-CN"/>
        </w:rPr>
        <w:t xml:space="preserve">from </w:t>
      </w:r>
      <w:r>
        <w:rPr>
          <w:rFonts w:ascii="Times New Roman Regular" w:hAnsi="Times New Roman Regular" w:cs="Times New Roman Regular" w:eastAsiaTheme="minorEastAsia"/>
          <w:kern w:val="32"/>
          <w:highlight w:val="none"/>
          <w:lang w:val="en-US" w:eastAsia="zh-CN"/>
        </w:rPr>
        <w:t>human ovarian cortex (B). Ct values were plotted against the Log</w:t>
      </w:r>
      <w:r>
        <w:rPr>
          <w:rFonts w:hint="eastAsia" w:ascii="Times New Roman Regular" w:hAnsi="Times New Roman Regular" w:cs="Times New Roman Regular" w:eastAsiaTheme="minorEastAsia"/>
          <w:kern w:val="32"/>
          <w:highlight w:val="none"/>
          <w:vertAlign w:val="subscript"/>
          <w:lang w:val="en-US" w:eastAsia="zh-CN"/>
        </w:rPr>
        <w:t>10</w:t>
      </w:r>
      <w:r>
        <w:rPr>
          <w:rFonts w:ascii="Times New Roman Regular" w:hAnsi="Times New Roman Regular" w:cs="Times New Roman Regular" w:eastAsiaTheme="minorEastAsia"/>
          <w:kern w:val="32"/>
          <w:highlight w:val="none"/>
          <w:vertAlign w:val="subscript"/>
          <w:lang w:val="en-US" w:eastAsia="zh-CN"/>
        </w:rPr>
        <w:t xml:space="preserve"> </w:t>
      </w:r>
      <w:r>
        <w:rPr>
          <w:rFonts w:ascii="Times New Roman Regular" w:hAnsi="Times New Roman Regular" w:cs="Times New Roman Regular" w:eastAsiaTheme="minorEastAsia"/>
          <w:kern w:val="32"/>
          <w:highlight w:val="none"/>
          <w:lang w:val="en-US" w:eastAsia="zh-CN"/>
        </w:rPr>
        <w:t>of the dilution factor. For each primer pair, the regression equation, amplification efficiency (E), and R² value are indicated.</w:t>
      </w:r>
    </w:p>
    <w:p w14:paraId="05A59E74">
      <w:pPr>
        <w:keepNext w:val="0"/>
        <w:keepLines w:val="0"/>
        <w:pageBreakBefore w:val="0"/>
        <w:widowControl/>
        <w:kinsoku/>
        <w:wordWrap/>
        <w:overflowPunct/>
        <w:topLinePunct w:val="0"/>
        <w:autoSpaceDE/>
        <w:autoSpaceDN/>
        <w:bidi w:val="0"/>
        <w:adjustRightInd/>
        <w:snapToGrid/>
        <w:spacing w:line="480" w:lineRule="auto"/>
        <w:jc w:val="both"/>
        <w:textAlignment w:val="auto"/>
        <w:outlineLvl w:val="0"/>
        <w:rPr>
          <w:highlight w:val="none"/>
          <w:lang w:eastAsia="zh-CN"/>
        </w:rPr>
      </w:pPr>
      <w:r>
        <w:rPr>
          <w:rFonts w:ascii="Times New Roman Regular" w:hAnsi="Times New Roman Regular" w:cs="Times New Roman Regular"/>
          <w:b/>
          <w:bCs/>
          <w:highlight w:val="none"/>
        </w:rPr>
        <w:br w:type="page"/>
      </w:r>
      <w:r>
        <w:rPr>
          <w:rFonts w:eastAsiaTheme="minorEastAsia"/>
          <w:b/>
          <w:bCs/>
          <w:kern w:val="32"/>
          <w:highlight w:val="none"/>
          <w:lang w:val="en-US" w:eastAsia="en-US"/>
        </w:rPr>
        <w:drawing>
          <wp:inline distT="0" distB="0" distL="114300" distR="114300">
            <wp:extent cx="6155690" cy="7564755"/>
            <wp:effectExtent l="0" t="0" r="16510" b="4445"/>
            <wp:docPr id="7" name="图片 7" descr="幻灯片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幻灯片15"/>
                    <pic:cNvPicPr>
                      <a:picLocks noChangeAspect="1"/>
                    </pic:cNvPicPr>
                  </pic:nvPicPr>
                  <pic:blipFill>
                    <a:blip r:embed="rId14"/>
                    <a:srcRect r="3176" b="839"/>
                    <a:stretch>
                      <a:fillRect/>
                    </a:stretch>
                  </pic:blipFill>
                  <pic:spPr>
                    <a:xfrm>
                      <a:off x="0" y="0"/>
                      <a:ext cx="6155690" cy="7564755"/>
                    </a:xfrm>
                    <a:prstGeom prst="rect">
                      <a:avLst/>
                    </a:prstGeom>
                  </pic:spPr>
                </pic:pic>
              </a:graphicData>
            </a:graphic>
          </wp:inline>
        </w:drawing>
      </w:r>
      <w:r>
        <w:rPr>
          <w:rFonts w:eastAsiaTheme="minorEastAsia"/>
          <w:b/>
          <w:bCs/>
          <w:kern w:val="32"/>
          <w:highlight w:val="none"/>
          <w:lang w:val="en-US" w:eastAsia="en-US"/>
        </w:rPr>
        <w:t>Fig.</w:t>
      </w:r>
      <w:r>
        <w:rPr>
          <w:rFonts w:eastAsiaTheme="minorEastAsia"/>
          <w:b/>
          <w:bCs/>
          <w:kern w:val="32"/>
          <w:highlight w:val="none"/>
          <w:lang w:val="en-US" w:eastAsia="en-US"/>
        </w:rPr>
        <w:t xml:space="preserve"> S8.</w:t>
      </w:r>
      <w:r>
        <w:rPr>
          <w:rFonts w:eastAsiaTheme="minorEastAsia"/>
          <w:b/>
          <w:bCs/>
          <w:kern w:val="32"/>
          <w:highlight w:val="none"/>
          <w:lang w:val="en-US" w:eastAsia="en-US"/>
        </w:rPr>
        <w:t xml:space="preserve"> Uncropped scans of the Western blot results in </w:t>
      </w:r>
      <w:r>
        <w:rPr>
          <w:rFonts w:hint="eastAsia" w:eastAsiaTheme="minorEastAsia"/>
          <w:b/>
          <w:bCs/>
          <w:kern w:val="32"/>
          <w:highlight w:val="none"/>
          <w:lang w:val="en-US" w:eastAsia="zh-CN"/>
        </w:rPr>
        <w:t>Figs</w:t>
      </w:r>
      <w:r>
        <w:rPr>
          <w:rFonts w:eastAsiaTheme="minorEastAsia"/>
          <w:b/>
          <w:bCs/>
          <w:kern w:val="32"/>
          <w:highlight w:val="none"/>
          <w:lang w:val="en-US" w:eastAsia="en-US"/>
        </w:rPr>
        <w:t>. 1, 2,</w:t>
      </w:r>
      <w:r>
        <w:rPr>
          <w:rFonts w:eastAsiaTheme="minorEastAsia"/>
          <w:b/>
          <w:bCs/>
          <w:kern w:val="32"/>
          <w:highlight w:val="none"/>
          <w:lang w:val="en-US" w:eastAsia="zh-CN"/>
        </w:rPr>
        <w:t xml:space="preserve"> 6 </w:t>
      </w:r>
      <w:r>
        <w:rPr>
          <w:rFonts w:eastAsiaTheme="minorEastAsia"/>
          <w:b/>
          <w:bCs/>
          <w:kern w:val="32"/>
          <w:highlight w:val="none"/>
          <w:lang w:val="en-US" w:eastAsia="en-US"/>
        </w:rPr>
        <w:t xml:space="preserve">and </w:t>
      </w:r>
      <w:r>
        <w:rPr>
          <w:rFonts w:eastAsiaTheme="minorEastAsia"/>
          <w:b/>
          <w:bCs/>
          <w:kern w:val="32"/>
          <w:highlight w:val="none"/>
          <w:lang w:val="en-US" w:eastAsia="zh-CN"/>
        </w:rPr>
        <w:t>7</w:t>
      </w:r>
      <w:r>
        <w:rPr>
          <w:rFonts w:eastAsiaTheme="minorEastAsia"/>
          <w:b/>
          <w:bCs/>
          <w:kern w:val="32"/>
          <w:highlight w:val="none"/>
          <w:lang w:val="en-US" w:eastAsia="en-US"/>
        </w:rPr>
        <w:t xml:space="preserve">. </w:t>
      </w:r>
      <w:r>
        <w:rPr>
          <w:rFonts w:eastAsiaTheme="minorEastAsia"/>
          <w:kern w:val="32"/>
          <w:highlight w:val="none"/>
          <w:lang w:val="en-US" w:eastAsia="en-US"/>
        </w:rPr>
        <w:t>(</w:t>
      </w:r>
      <w:r>
        <w:rPr>
          <w:rFonts w:ascii="Times New Roman Bold" w:hAnsi="Times New Roman Bold" w:cs="Times New Roman Bold" w:eastAsiaTheme="minorEastAsia"/>
          <w:b/>
          <w:bCs/>
          <w:kern w:val="32"/>
          <w:highlight w:val="none"/>
          <w:lang w:val="en-US" w:eastAsia="en-US"/>
        </w:rPr>
        <w:t>A</w:t>
      </w:r>
      <w:r>
        <w:rPr>
          <w:rFonts w:ascii="Times New Roman Bold" w:hAnsi="Times New Roman Bold" w:cs="Times New Roman Bold"/>
          <w:b/>
          <w:bCs/>
          <w:highlight w:val="none"/>
        </w:rPr>
        <w:t xml:space="preserve">-H) </w:t>
      </w:r>
      <w:r>
        <w:rPr>
          <w:highlight w:val="none"/>
        </w:rPr>
        <w:t>The blots within the black dashed line boxes correspond to those used in Fig. 1C (A), 2E (B), 2F (C), 2K (D), 2P (E), 6E (F), 6F (G) and 7H (H).</w:t>
      </w:r>
      <w:bookmarkEnd w:id="1"/>
    </w:p>
    <w:p w14:paraId="3DBC8A14">
      <w:pPr>
        <w:pStyle w:val="88"/>
        <w:spacing w:before="0" w:after="0" w:line="480" w:lineRule="auto"/>
        <w:rPr>
          <w:highlight w:val="none"/>
        </w:rPr>
      </w:pPr>
      <w:r>
        <w:rPr>
          <w:highlight w:val="none"/>
          <w14:ligatures w14:val="standardContextual"/>
        </w:rPr>
        <w:t>Table S1</w:t>
      </w:r>
      <w:r>
        <w:rPr>
          <w:highlight w:val="none"/>
        </w:rPr>
        <w:t>. Primers for genotyping</w:t>
      </w:r>
    </w:p>
    <w:tbl>
      <w:tblPr>
        <w:tblStyle w:val="20"/>
        <w:tblW w:w="9582" w:type="dxa"/>
        <w:tblInd w:w="0" w:type="dxa"/>
        <w:tblLayout w:type="fixed"/>
        <w:tblCellMar>
          <w:top w:w="0" w:type="dxa"/>
          <w:left w:w="108" w:type="dxa"/>
          <w:bottom w:w="0" w:type="dxa"/>
          <w:right w:w="108" w:type="dxa"/>
        </w:tblCellMar>
      </w:tblPr>
      <w:tblGrid>
        <w:gridCol w:w="1361"/>
        <w:gridCol w:w="2268"/>
        <w:gridCol w:w="2268"/>
        <w:gridCol w:w="1701"/>
        <w:gridCol w:w="1984"/>
      </w:tblGrid>
      <w:tr w14:paraId="7CD7F8C7">
        <w:trPr>
          <w:trHeight w:val="483" w:hRule="atLeast"/>
        </w:trPr>
        <w:tc>
          <w:tcPr>
            <w:tcW w:w="1361" w:type="dxa"/>
            <w:tcBorders>
              <w:top w:val="single" w:color="auto" w:sz="4" w:space="0"/>
              <w:bottom w:val="single" w:color="auto" w:sz="4" w:space="0"/>
            </w:tcBorders>
            <w:shd w:val="clear" w:color="auto" w:fill="auto"/>
            <w:noWrap/>
            <w:vAlign w:val="center"/>
          </w:tcPr>
          <w:p w14:paraId="0509F51D">
            <w:pPr>
              <w:spacing w:line="360" w:lineRule="auto"/>
              <w:jc w:val="center"/>
              <w:rPr>
                <w:rFonts w:ascii="Times New Roman Regular" w:hAnsi="Times New Roman Regular" w:cs="Times New Roman Regular"/>
                <w:b/>
                <w:bCs/>
                <w:color w:val="000000"/>
                <w:sz w:val="22"/>
                <w:szCs w:val="22"/>
                <w:highlight w:val="none"/>
              </w:rPr>
            </w:pPr>
            <w:r>
              <w:rPr>
                <w:rFonts w:ascii="Times New Roman Regular" w:hAnsi="Times New Roman Regular" w:cs="Times New Roman Regular"/>
                <w:b/>
                <w:bCs/>
                <w:color w:val="000000"/>
                <w:sz w:val="22"/>
                <w:szCs w:val="22"/>
                <w:highlight w:val="none"/>
              </w:rPr>
              <w:t>Genotyping</w:t>
            </w:r>
          </w:p>
        </w:tc>
        <w:tc>
          <w:tcPr>
            <w:tcW w:w="2268" w:type="dxa"/>
            <w:tcBorders>
              <w:top w:val="single" w:color="auto" w:sz="4" w:space="0"/>
              <w:bottom w:val="single" w:color="auto" w:sz="4" w:space="0"/>
            </w:tcBorders>
            <w:shd w:val="clear" w:color="auto" w:fill="auto"/>
            <w:noWrap/>
            <w:vAlign w:val="center"/>
          </w:tcPr>
          <w:p w14:paraId="6A0D16D3">
            <w:pPr>
              <w:spacing w:line="360" w:lineRule="auto"/>
              <w:jc w:val="center"/>
              <w:rPr>
                <w:rFonts w:ascii="Times New Roman Regular" w:hAnsi="Times New Roman Regular" w:cs="Times New Roman Regular"/>
                <w:b/>
                <w:bCs/>
                <w:color w:val="000000"/>
                <w:sz w:val="22"/>
                <w:szCs w:val="22"/>
                <w:highlight w:val="none"/>
              </w:rPr>
            </w:pPr>
            <w:r>
              <w:rPr>
                <w:rFonts w:ascii="Times New Roman Regular" w:hAnsi="Times New Roman Regular" w:cs="Times New Roman Regular"/>
                <w:b/>
                <w:bCs/>
                <w:color w:val="000000"/>
                <w:sz w:val="22"/>
                <w:szCs w:val="22"/>
                <w:highlight w:val="none"/>
              </w:rPr>
              <w:t>Forward primer</w:t>
            </w:r>
          </w:p>
          <w:p w14:paraId="13318CD3">
            <w:pPr>
              <w:spacing w:line="360" w:lineRule="auto"/>
              <w:jc w:val="center"/>
              <w:rPr>
                <w:rFonts w:ascii="Times New Roman Regular" w:hAnsi="Times New Roman Regular" w:cs="Times New Roman Regular"/>
                <w:b/>
                <w:bCs/>
                <w:color w:val="000000"/>
                <w:sz w:val="22"/>
                <w:szCs w:val="22"/>
                <w:highlight w:val="none"/>
              </w:rPr>
            </w:pPr>
            <w:r>
              <w:rPr>
                <w:rFonts w:ascii="Times New Roman Regular" w:hAnsi="Times New Roman Regular" w:cs="Times New Roman Regular"/>
                <w:b/>
                <w:bCs/>
                <w:color w:val="000000"/>
                <w:sz w:val="22"/>
                <w:szCs w:val="22"/>
                <w:highlight w:val="none"/>
              </w:rPr>
              <w:t>(5’-3’)</w:t>
            </w:r>
          </w:p>
        </w:tc>
        <w:tc>
          <w:tcPr>
            <w:tcW w:w="2268" w:type="dxa"/>
            <w:tcBorders>
              <w:top w:val="single" w:color="auto" w:sz="4" w:space="0"/>
              <w:bottom w:val="single" w:color="auto" w:sz="4" w:space="0"/>
            </w:tcBorders>
            <w:shd w:val="clear" w:color="auto" w:fill="auto"/>
            <w:noWrap/>
            <w:vAlign w:val="center"/>
          </w:tcPr>
          <w:p w14:paraId="6EF42AE7">
            <w:pPr>
              <w:spacing w:line="360" w:lineRule="auto"/>
              <w:jc w:val="center"/>
              <w:rPr>
                <w:rFonts w:ascii="Times New Roman Regular" w:hAnsi="Times New Roman Regular" w:cs="Times New Roman Regular"/>
                <w:b/>
                <w:bCs/>
                <w:color w:val="000000"/>
                <w:sz w:val="22"/>
                <w:szCs w:val="22"/>
                <w:highlight w:val="none"/>
              </w:rPr>
            </w:pPr>
            <w:r>
              <w:rPr>
                <w:rFonts w:ascii="Times New Roman Regular" w:hAnsi="Times New Roman Regular" w:cs="Times New Roman Regular"/>
                <w:b/>
                <w:bCs/>
                <w:color w:val="000000"/>
                <w:sz w:val="22"/>
                <w:szCs w:val="22"/>
                <w:highlight w:val="none"/>
              </w:rPr>
              <w:t>Reverse primer</w:t>
            </w:r>
          </w:p>
          <w:p w14:paraId="281EDF39">
            <w:pPr>
              <w:spacing w:line="360" w:lineRule="auto"/>
              <w:jc w:val="center"/>
              <w:rPr>
                <w:rFonts w:ascii="Times New Roman Regular" w:hAnsi="Times New Roman Regular" w:cs="Times New Roman Regular"/>
                <w:b/>
                <w:bCs/>
                <w:color w:val="000000"/>
                <w:sz w:val="22"/>
                <w:szCs w:val="22"/>
                <w:highlight w:val="none"/>
              </w:rPr>
            </w:pPr>
            <w:r>
              <w:rPr>
                <w:rFonts w:ascii="Times New Roman Regular" w:hAnsi="Times New Roman Regular" w:cs="Times New Roman Regular"/>
                <w:b/>
                <w:bCs/>
                <w:color w:val="000000"/>
                <w:sz w:val="22"/>
                <w:szCs w:val="22"/>
                <w:highlight w:val="none"/>
              </w:rPr>
              <w:t>(5’-3’)</w:t>
            </w:r>
          </w:p>
        </w:tc>
        <w:tc>
          <w:tcPr>
            <w:tcW w:w="1701" w:type="dxa"/>
            <w:tcBorders>
              <w:top w:val="single" w:color="auto" w:sz="4" w:space="0"/>
              <w:bottom w:val="single" w:color="auto" w:sz="4" w:space="0"/>
            </w:tcBorders>
            <w:shd w:val="clear" w:color="auto" w:fill="auto"/>
            <w:noWrap/>
            <w:vAlign w:val="center"/>
          </w:tcPr>
          <w:p w14:paraId="4366588F">
            <w:pPr>
              <w:spacing w:line="360" w:lineRule="auto"/>
              <w:jc w:val="center"/>
              <w:rPr>
                <w:rFonts w:ascii="Times New Roman Regular" w:hAnsi="Times New Roman Regular" w:cs="Times New Roman Regular"/>
                <w:b/>
                <w:bCs/>
                <w:color w:val="000000"/>
                <w:sz w:val="22"/>
                <w:szCs w:val="22"/>
                <w:highlight w:val="none"/>
              </w:rPr>
            </w:pPr>
            <w:r>
              <w:rPr>
                <w:rFonts w:ascii="Times New Roman Regular" w:hAnsi="Times New Roman Regular" w:cs="Times New Roman Regular"/>
                <w:b/>
                <w:bCs/>
                <w:color w:val="000000"/>
                <w:sz w:val="22"/>
                <w:szCs w:val="22"/>
                <w:highlight w:val="none"/>
                <w:lang w:val="en-US" w:eastAsia="zh-CN"/>
              </w:rPr>
              <w:t>Annealing Temp (</w:t>
            </w:r>
            <w:r>
              <w:rPr>
                <w:rFonts w:ascii="Times New Roman Regular" w:hAnsi="Times New Roman Regular" w:eastAsia="宋体" w:cs="Times New Roman Regular"/>
                <w:sz w:val="22"/>
                <w:szCs w:val="22"/>
                <w:highlight w:val="none"/>
              </w:rPr>
              <w:t>°C</w:t>
            </w:r>
            <w:r>
              <w:rPr>
                <w:rFonts w:ascii="Times New Roman Regular" w:hAnsi="Times New Roman Regular" w:cs="Times New Roman Regular"/>
                <w:b/>
                <w:bCs/>
                <w:color w:val="000000"/>
                <w:sz w:val="22"/>
                <w:szCs w:val="22"/>
                <w:highlight w:val="none"/>
                <w:lang w:val="en-US" w:eastAsia="zh-CN"/>
              </w:rPr>
              <w:t>)</w:t>
            </w:r>
          </w:p>
        </w:tc>
        <w:tc>
          <w:tcPr>
            <w:tcW w:w="1984" w:type="dxa"/>
            <w:tcBorders>
              <w:top w:val="single" w:color="auto" w:sz="4" w:space="0"/>
              <w:bottom w:val="single" w:color="auto" w:sz="4" w:space="0"/>
            </w:tcBorders>
            <w:shd w:val="clear" w:color="auto" w:fill="auto"/>
            <w:noWrap/>
            <w:vAlign w:val="center"/>
          </w:tcPr>
          <w:p w14:paraId="48605165">
            <w:pPr>
              <w:spacing w:line="360" w:lineRule="auto"/>
              <w:jc w:val="center"/>
              <w:rPr>
                <w:rFonts w:ascii="Times New Roman Regular" w:hAnsi="Times New Roman Regular" w:cs="Times New Roman Regular"/>
                <w:b/>
                <w:bCs/>
                <w:color w:val="000000"/>
                <w:sz w:val="22"/>
                <w:szCs w:val="22"/>
                <w:highlight w:val="none"/>
              </w:rPr>
            </w:pPr>
            <w:r>
              <w:rPr>
                <w:rFonts w:ascii="Times New Roman Regular" w:hAnsi="Times New Roman Regular" w:cs="Times New Roman Regular"/>
                <w:b/>
                <w:bCs/>
                <w:color w:val="000000"/>
                <w:sz w:val="22"/>
                <w:szCs w:val="22"/>
                <w:highlight w:val="none"/>
              </w:rPr>
              <w:t>Product Size</w:t>
            </w:r>
          </w:p>
          <w:p w14:paraId="321F7BAA">
            <w:pPr>
              <w:spacing w:line="360" w:lineRule="auto"/>
              <w:jc w:val="center"/>
              <w:rPr>
                <w:rFonts w:ascii="Times New Roman Regular" w:hAnsi="Times New Roman Regular" w:cs="Times New Roman Regular"/>
                <w:b/>
                <w:bCs/>
                <w:color w:val="000000"/>
                <w:sz w:val="22"/>
                <w:szCs w:val="22"/>
                <w:highlight w:val="none"/>
              </w:rPr>
            </w:pPr>
            <w:r>
              <w:rPr>
                <w:rFonts w:ascii="Times New Roman Regular" w:hAnsi="Times New Roman Regular" w:cs="Times New Roman Regular"/>
                <w:b/>
                <w:bCs/>
                <w:color w:val="000000"/>
                <w:sz w:val="22"/>
                <w:szCs w:val="22"/>
                <w:highlight w:val="none"/>
              </w:rPr>
              <w:t>(bp)</w:t>
            </w:r>
          </w:p>
        </w:tc>
      </w:tr>
      <w:tr w14:paraId="6D5660EF">
        <w:trPr>
          <w:trHeight w:val="483" w:hRule="atLeast"/>
        </w:trPr>
        <w:tc>
          <w:tcPr>
            <w:tcW w:w="1361" w:type="dxa"/>
            <w:tcBorders>
              <w:top w:val="single" w:color="auto" w:sz="4" w:space="0"/>
            </w:tcBorders>
            <w:shd w:val="clear" w:color="auto" w:fill="auto"/>
            <w:noWrap/>
            <w:vAlign w:val="center"/>
          </w:tcPr>
          <w:p w14:paraId="046FEA33">
            <w:pPr>
              <w:spacing w:line="360" w:lineRule="auto"/>
              <w:jc w:val="both"/>
              <w:rPr>
                <w:rFonts w:ascii="Times New Roman Regular" w:hAnsi="Times New Roman Regular" w:cs="Times New Roman Regular"/>
                <w:color w:val="000000"/>
                <w:sz w:val="22"/>
                <w:szCs w:val="22"/>
                <w:highlight w:val="none"/>
              </w:rPr>
            </w:pPr>
            <w:r>
              <w:rPr>
                <w:rFonts w:ascii="Times New Roman Regular" w:hAnsi="Times New Roman Regular" w:cs="Times New Roman Regular"/>
                <w:i/>
                <w:iCs/>
                <w:color w:val="000000"/>
                <w:sz w:val="22"/>
                <w:szCs w:val="22"/>
                <w:highlight w:val="none"/>
              </w:rPr>
              <w:t>Rarα</w:t>
            </w:r>
            <w:r>
              <w:rPr>
                <w:rFonts w:ascii="Times New Roman Regular" w:hAnsi="Times New Roman Regular" w:cs="Times New Roman Regular"/>
                <w:color w:val="000000"/>
                <w:sz w:val="22"/>
                <w:szCs w:val="22"/>
                <w:highlight w:val="none"/>
              </w:rPr>
              <w:t>-KO</w:t>
            </w:r>
          </w:p>
        </w:tc>
        <w:tc>
          <w:tcPr>
            <w:tcW w:w="2268" w:type="dxa"/>
            <w:tcBorders>
              <w:top w:val="single" w:color="auto" w:sz="4" w:space="0"/>
            </w:tcBorders>
            <w:shd w:val="clear" w:color="auto" w:fill="auto"/>
            <w:noWrap/>
            <w:vAlign w:val="center"/>
          </w:tcPr>
          <w:p w14:paraId="54785C66">
            <w:pPr>
              <w:spacing w:line="360" w:lineRule="auto"/>
              <w:jc w:val="both"/>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TAGTATGCAACCAGGCTCCTG</w:t>
            </w:r>
          </w:p>
        </w:tc>
        <w:tc>
          <w:tcPr>
            <w:tcW w:w="2268" w:type="dxa"/>
            <w:tcBorders>
              <w:top w:val="single" w:color="auto" w:sz="4" w:space="0"/>
            </w:tcBorders>
            <w:shd w:val="clear" w:color="auto" w:fill="auto"/>
            <w:noWrap/>
            <w:vAlign w:val="center"/>
          </w:tcPr>
          <w:p w14:paraId="287DA5E6">
            <w:pPr>
              <w:spacing w:line="360" w:lineRule="auto"/>
              <w:jc w:val="both"/>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GAGACAAACACACTAGACAGGCAC</w:t>
            </w:r>
          </w:p>
        </w:tc>
        <w:tc>
          <w:tcPr>
            <w:tcW w:w="1701" w:type="dxa"/>
            <w:tcBorders>
              <w:top w:val="single" w:color="auto" w:sz="4" w:space="0"/>
            </w:tcBorders>
            <w:shd w:val="clear" w:color="auto" w:fill="auto"/>
            <w:noWrap/>
            <w:vAlign w:val="center"/>
          </w:tcPr>
          <w:p w14:paraId="77523128">
            <w:pPr>
              <w:spacing w:line="360" w:lineRule="auto"/>
              <w:jc w:val="center"/>
              <w:rPr>
                <w:rFonts w:ascii="Times New Roman Regular" w:hAnsi="Times New Roman Regular" w:eastAsia="宋体" w:cs="Times New Roman Regular"/>
                <w:color w:val="000000"/>
                <w:sz w:val="20"/>
                <w:szCs w:val="20"/>
                <w:highlight w:val="none"/>
                <w:lang w:val="en-US" w:eastAsia="zh-CN"/>
              </w:rPr>
            </w:pPr>
            <w:r>
              <w:rPr>
                <w:rFonts w:ascii="Times New Roman Regular" w:hAnsi="Times New Roman Regular" w:eastAsia="宋体" w:cs="Times New Roman Regular"/>
                <w:color w:val="000000"/>
                <w:sz w:val="20"/>
                <w:szCs w:val="20"/>
                <w:highlight w:val="none"/>
                <w:lang w:val="en-US" w:eastAsia="zh-CN"/>
              </w:rPr>
              <w:t>55</w:t>
            </w:r>
            <w:r>
              <w:rPr>
                <w:rFonts w:ascii="Times New Roman Regular" w:hAnsi="Times New Roman Regular" w:eastAsia="宋体" w:cs="Times New Roman Regular"/>
                <w:sz w:val="20"/>
                <w:szCs w:val="20"/>
                <w:highlight w:val="none"/>
              </w:rPr>
              <w:t>°C</w:t>
            </w:r>
          </w:p>
        </w:tc>
        <w:tc>
          <w:tcPr>
            <w:tcW w:w="1984" w:type="dxa"/>
            <w:tcBorders>
              <w:top w:val="single" w:color="auto" w:sz="4" w:space="0"/>
            </w:tcBorders>
            <w:shd w:val="clear" w:color="auto" w:fill="auto"/>
            <w:noWrap/>
            <w:vAlign w:val="center"/>
          </w:tcPr>
          <w:p w14:paraId="2734CC1C">
            <w:pPr>
              <w:pStyle w:val="17"/>
              <w:spacing w:line="360" w:lineRule="auto"/>
              <w:jc w:val="both"/>
              <w:rPr>
                <w:rFonts w:ascii="Times New Roman Regular" w:hAnsi="Times New Roman Regular" w:cs="Times New Roman Regular"/>
                <w:sz w:val="20"/>
                <w:szCs w:val="20"/>
                <w:highlight w:val="none"/>
              </w:rPr>
            </w:pPr>
            <w:r>
              <w:rPr>
                <w:rFonts w:ascii="Times New Roman Regular" w:hAnsi="Times New Roman Regular" w:cs="Times New Roman Regular"/>
                <w:sz w:val="20"/>
                <w:szCs w:val="20"/>
                <w:highlight w:val="none"/>
              </w:rPr>
              <w:t>WT:</w:t>
            </w:r>
            <w:r>
              <w:rPr>
                <w:rFonts w:ascii="Times New Roman Regular" w:hAnsi="Times New Roman Regular" w:eastAsia="宋体" w:cs="Times New Roman Regular"/>
                <w:sz w:val="20"/>
                <w:szCs w:val="20"/>
                <w:highlight w:val="none"/>
                <w:lang w:val="en-US" w:eastAsia="zh-CN"/>
              </w:rPr>
              <w:t xml:space="preserve"> </w:t>
            </w:r>
            <w:r>
              <w:rPr>
                <w:rFonts w:ascii="Times New Roman Regular" w:hAnsi="Times New Roman Regular" w:cs="Times New Roman Regular"/>
                <w:sz w:val="20"/>
                <w:szCs w:val="20"/>
                <w:highlight w:val="none"/>
              </w:rPr>
              <w:t>271 bp</w:t>
            </w:r>
          </w:p>
          <w:p w14:paraId="2F871C53">
            <w:pPr>
              <w:pStyle w:val="17"/>
              <w:spacing w:line="360" w:lineRule="auto"/>
              <w:jc w:val="both"/>
              <w:rPr>
                <w:rFonts w:ascii="Times New Roman Regular" w:hAnsi="Times New Roman Regular" w:cs="Times New Roman Regular"/>
                <w:sz w:val="20"/>
                <w:szCs w:val="20"/>
                <w:highlight w:val="none"/>
              </w:rPr>
            </w:pPr>
            <w:r>
              <w:rPr>
                <w:rFonts w:ascii="Times New Roman Regular" w:hAnsi="Times New Roman Regular" w:cs="Times New Roman Regular"/>
                <w:sz w:val="20"/>
                <w:szCs w:val="20"/>
                <w:highlight w:val="none"/>
              </w:rPr>
              <w:t>Target: 319 bp</w:t>
            </w:r>
          </w:p>
        </w:tc>
      </w:tr>
      <w:tr w14:paraId="3AF2DA04">
        <w:trPr>
          <w:trHeight w:val="483" w:hRule="atLeast"/>
        </w:trPr>
        <w:tc>
          <w:tcPr>
            <w:tcW w:w="1361" w:type="dxa"/>
            <w:shd w:val="clear" w:color="auto" w:fill="auto"/>
            <w:noWrap/>
            <w:vAlign w:val="center"/>
          </w:tcPr>
          <w:p w14:paraId="25D1A74A">
            <w:pPr>
              <w:spacing w:line="360" w:lineRule="auto"/>
              <w:jc w:val="both"/>
              <w:rPr>
                <w:rFonts w:ascii="Times New Roman Regular" w:hAnsi="Times New Roman Regular" w:cs="Times New Roman Regular"/>
                <w:color w:val="000000"/>
                <w:sz w:val="22"/>
                <w:szCs w:val="22"/>
                <w:highlight w:val="none"/>
              </w:rPr>
            </w:pPr>
            <w:r>
              <w:rPr>
                <w:rFonts w:ascii="Times New Roman Regular" w:hAnsi="Times New Roman Regular" w:cs="Times New Roman Regular"/>
                <w:i/>
                <w:iCs/>
                <w:color w:val="000000"/>
                <w:sz w:val="22"/>
                <w:szCs w:val="22"/>
                <w:highlight w:val="none"/>
              </w:rPr>
              <w:t>Rarα</w:t>
            </w:r>
            <w:r>
              <w:rPr>
                <w:rFonts w:ascii="Times New Roman Regular" w:hAnsi="Times New Roman Regular" w:cs="Times New Roman Regular"/>
                <w:color w:val="000000"/>
                <w:sz w:val="22"/>
                <w:szCs w:val="22"/>
                <w:highlight w:val="none"/>
              </w:rPr>
              <w:t>-WT</w:t>
            </w:r>
          </w:p>
        </w:tc>
        <w:tc>
          <w:tcPr>
            <w:tcW w:w="2268" w:type="dxa"/>
            <w:shd w:val="clear" w:color="auto" w:fill="auto"/>
            <w:noWrap/>
            <w:vAlign w:val="center"/>
          </w:tcPr>
          <w:p w14:paraId="770B7C19">
            <w:pPr>
              <w:spacing w:line="360" w:lineRule="auto"/>
              <w:jc w:val="both"/>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ATCTGGAATTGAAGCTGAGTCCTG</w:t>
            </w:r>
          </w:p>
        </w:tc>
        <w:tc>
          <w:tcPr>
            <w:tcW w:w="2268" w:type="dxa"/>
            <w:shd w:val="clear" w:color="auto" w:fill="auto"/>
            <w:noWrap/>
            <w:vAlign w:val="center"/>
          </w:tcPr>
          <w:p w14:paraId="0EA4D075">
            <w:pPr>
              <w:spacing w:line="360" w:lineRule="auto"/>
              <w:jc w:val="both"/>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CATAGTGGTAGCCGGATGATTTG</w:t>
            </w:r>
          </w:p>
        </w:tc>
        <w:tc>
          <w:tcPr>
            <w:tcW w:w="1701" w:type="dxa"/>
            <w:shd w:val="clear" w:color="auto" w:fill="auto"/>
            <w:noWrap/>
            <w:vAlign w:val="center"/>
          </w:tcPr>
          <w:p w14:paraId="63DDD844">
            <w:pPr>
              <w:spacing w:line="360" w:lineRule="auto"/>
              <w:jc w:val="center"/>
              <w:rPr>
                <w:rFonts w:ascii="Times New Roman Regular" w:hAnsi="Times New Roman Regular" w:eastAsia="宋体" w:cs="Times New Roman Regular"/>
                <w:color w:val="000000"/>
                <w:sz w:val="20"/>
                <w:szCs w:val="20"/>
                <w:highlight w:val="none"/>
                <w:lang w:val="en-US" w:eastAsia="zh-CN"/>
              </w:rPr>
            </w:pPr>
            <w:r>
              <w:rPr>
                <w:rFonts w:ascii="Times New Roman Regular" w:hAnsi="Times New Roman Regular" w:eastAsia="宋体" w:cs="Times New Roman Regular"/>
                <w:color w:val="000000"/>
                <w:sz w:val="20"/>
                <w:szCs w:val="20"/>
                <w:highlight w:val="none"/>
                <w:lang w:val="en-US" w:eastAsia="zh-CN"/>
              </w:rPr>
              <w:t>55°C</w:t>
            </w:r>
          </w:p>
        </w:tc>
        <w:tc>
          <w:tcPr>
            <w:tcW w:w="1984" w:type="dxa"/>
            <w:shd w:val="clear" w:color="auto" w:fill="auto"/>
            <w:noWrap/>
            <w:vAlign w:val="center"/>
          </w:tcPr>
          <w:p w14:paraId="50BE98A5">
            <w:pPr>
              <w:pStyle w:val="17"/>
              <w:spacing w:line="360" w:lineRule="auto"/>
              <w:jc w:val="both"/>
              <w:rPr>
                <w:rFonts w:ascii="Times New Roman Regular" w:hAnsi="Times New Roman Regular" w:cs="Times New Roman Regular"/>
                <w:color w:val="000000"/>
                <w:sz w:val="20"/>
                <w:szCs w:val="20"/>
                <w:highlight w:val="none"/>
              </w:rPr>
            </w:pPr>
            <w:r>
              <w:rPr>
                <w:rFonts w:ascii="Times New Roman Regular" w:hAnsi="Times New Roman Regular" w:cs="Times New Roman Regular"/>
                <w:sz w:val="20"/>
                <w:szCs w:val="20"/>
                <w:highlight w:val="none"/>
              </w:rPr>
              <w:t>WT: 347 bp</w:t>
            </w:r>
          </w:p>
        </w:tc>
      </w:tr>
      <w:tr w14:paraId="2CA93DF7">
        <w:trPr>
          <w:trHeight w:val="483" w:hRule="atLeast"/>
        </w:trPr>
        <w:tc>
          <w:tcPr>
            <w:tcW w:w="1361" w:type="dxa"/>
            <w:shd w:val="clear" w:color="auto" w:fill="auto"/>
            <w:noWrap/>
            <w:vAlign w:val="center"/>
          </w:tcPr>
          <w:p w14:paraId="11A2B0C2">
            <w:pPr>
              <w:spacing w:line="360" w:lineRule="auto"/>
              <w:jc w:val="both"/>
              <w:rPr>
                <w:rFonts w:ascii="Times New Roman Regular" w:hAnsi="Times New Roman Regular" w:cs="Times New Roman Regular"/>
                <w:i/>
                <w:iCs/>
                <w:color w:val="000000"/>
                <w:sz w:val="22"/>
                <w:szCs w:val="22"/>
                <w:highlight w:val="none"/>
              </w:rPr>
            </w:pPr>
            <w:r>
              <w:rPr>
                <w:rFonts w:ascii="Times New Roman Regular" w:hAnsi="Times New Roman Regular" w:cs="Times New Roman Regular"/>
                <w:i/>
                <w:iCs/>
                <w:color w:val="000000"/>
                <w:sz w:val="22"/>
                <w:szCs w:val="22"/>
                <w:highlight w:val="none"/>
              </w:rPr>
              <w:t>Rarγ</w:t>
            </w:r>
            <w:r>
              <w:rPr>
                <w:rFonts w:ascii="Times New Roman Regular" w:hAnsi="Times New Roman Regular" w:cs="Times New Roman Regular"/>
                <w:i/>
                <w:iCs/>
                <w:color w:val="000000"/>
                <w:sz w:val="22"/>
                <w:szCs w:val="22"/>
                <w:highlight w:val="none"/>
                <w:vertAlign w:val="superscript"/>
              </w:rPr>
              <w:t xml:space="preserve"> flox</w:t>
            </w:r>
          </w:p>
        </w:tc>
        <w:tc>
          <w:tcPr>
            <w:tcW w:w="2268" w:type="dxa"/>
            <w:shd w:val="clear" w:color="auto" w:fill="auto"/>
            <w:noWrap/>
            <w:vAlign w:val="center"/>
          </w:tcPr>
          <w:p w14:paraId="2963CC22">
            <w:pPr>
              <w:spacing w:line="360" w:lineRule="auto"/>
              <w:jc w:val="both"/>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AGCAGTTCAGGAATGAAGACAGGC</w:t>
            </w:r>
          </w:p>
        </w:tc>
        <w:tc>
          <w:tcPr>
            <w:tcW w:w="2268" w:type="dxa"/>
            <w:shd w:val="clear" w:color="auto" w:fill="auto"/>
            <w:noWrap/>
            <w:vAlign w:val="center"/>
          </w:tcPr>
          <w:p w14:paraId="749AFD07">
            <w:pPr>
              <w:spacing w:line="360" w:lineRule="auto"/>
              <w:jc w:val="both"/>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CCGCAGATGTAGAGGCAAATGG</w:t>
            </w:r>
          </w:p>
        </w:tc>
        <w:tc>
          <w:tcPr>
            <w:tcW w:w="1701" w:type="dxa"/>
            <w:shd w:val="clear" w:color="auto" w:fill="auto"/>
            <w:noWrap/>
            <w:vAlign w:val="center"/>
          </w:tcPr>
          <w:p w14:paraId="78E9FD16">
            <w:pPr>
              <w:spacing w:line="360" w:lineRule="auto"/>
              <w:jc w:val="center"/>
              <w:rPr>
                <w:rFonts w:ascii="Times New Roman Regular" w:hAnsi="Times New Roman Regular" w:eastAsia="宋体" w:cs="Times New Roman Regular"/>
                <w:color w:val="000000"/>
                <w:sz w:val="20"/>
                <w:szCs w:val="20"/>
                <w:highlight w:val="none"/>
                <w:lang w:val="en-US" w:eastAsia="zh-CN"/>
              </w:rPr>
            </w:pPr>
            <w:r>
              <w:rPr>
                <w:rFonts w:ascii="Times New Roman Regular" w:hAnsi="Times New Roman Regular" w:eastAsia="宋体" w:cs="Times New Roman Regular"/>
                <w:color w:val="000000"/>
                <w:sz w:val="20"/>
                <w:szCs w:val="20"/>
                <w:highlight w:val="none"/>
                <w:lang w:val="en-US" w:eastAsia="zh-CN"/>
              </w:rPr>
              <w:t>55°C</w:t>
            </w:r>
          </w:p>
        </w:tc>
        <w:tc>
          <w:tcPr>
            <w:tcW w:w="1984" w:type="dxa"/>
            <w:shd w:val="clear" w:color="auto" w:fill="auto"/>
            <w:noWrap/>
            <w:vAlign w:val="center"/>
          </w:tcPr>
          <w:p w14:paraId="439F2576">
            <w:pPr>
              <w:pStyle w:val="17"/>
              <w:spacing w:line="360" w:lineRule="auto"/>
              <w:jc w:val="both"/>
              <w:rPr>
                <w:rFonts w:ascii="Times New Roman Regular" w:hAnsi="Times New Roman Regular" w:cs="Times New Roman Regular"/>
                <w:sz w:val="20"/>
                <w:szCs w:val="20"/>
                <w:highlight w:val="none"/>
              </w:rPr>
            </w:pPr>
            <w:r>
              <w:rPr>
                <w:rFonts w:ascii="Times New Roman Regular" w:hAnsi="Times New Roman Regular" w:cs="Times New Roman Regular"/>
                <w:sz w:val="20"/>
                <w:szCs w:val="20"/>
                <w:highlight w:val="none"/>
              </w:rPr>
              <w:t>WT:</w:t>
            </w:r>
            <w:r>
              <w:rPr>
                <w:rFonts w:ascii="Times New Roman Regular" w:hAnsi="Times New Roman Regular" w:eastAsia="宋体" w:cs="Times New Roman Regular"/>
                <w:sz w:val="20"/>
                <w:szCs w:val="20"/>
                <w:highlight w:val="none"/>
                <w:lang w:val="en-US" w:eastAsia="zh-CN"/>
              </w:rPr>
              <w:t xml:space="preserve"> </w:t>
            </w:r>
            <w:r>
              <w:rPr>
                <w:rFonts w:ascii="Times New Roman Regular" w:hAnsi="Times New Roman Regular" w:cs="Times New Roman Regular"/>
                <w:sz w:val="20"/>
                <w:szCs w:val="20"/>
                <w:highlight w:val="none"/>
              </w:rPr>
              <w:t>354 bp</w:t>
            </w:r>
          </w:p>
          <w:p w14:paraId="4B6CEC12">
            <w:pPr>
              <w:pStyle w:val="17"/>
              <w:spacing w:line="360" w:lineRule="auto"/>
              <w:jc w:val="both"/>
              <w:rPr>
                <w:rFonts w:ascii="Times New Roman Regular" w:hAnsi="Times New Roman Regular" w:cs="Times New Roman Regular"/>
                <w:color w:val="000000"/>
                <w:sz w:val="20"/>
                <w:szCs w:val="20"/>
                <w:highlight w:val="none"/>
              </w:rPr>
            </w:pPr>
            <w:r>
              <w:rPr>
                <w:rFonts w:ascii="Times New Roman Regular" w:hAnsi="Times New Roman Regular" w:cs="Times New Roman Regular"/>
                <w:sz w:val="20"/>
                <w:szCs w:val="20"/>
                <w:highlight w:val="none"/>
              </w:rPr>
              <w:t>Targeted: 455 bp</w:t>
            </w:r>
          </w:p>
        </w:tc>
      </w:tr>
      <w:tr w14:paraId="2BE334BB">
        <w:trPr>
          <w:trHeight w:val="483" w:hRule="atLeast"/>
        </w:trPr>
        <w:tc>
          <w:tcPr>
            <w:tcW w:w="1361" w:type="dxa"/>
            <w:tcBorders>
              <w:bottom w:val="single" w:color="auto" w:sz="4" w:space="0"/>
            </w:tcBorders>
            <w:shd w:val="clear" w:color="auto" w:fill="auto"/>
            <w:noWrap/>
            <w:vAlign w:val="center"/>
          </w:tcPr>
          <w:p w14:paraId="73BAF4E2">
            <w:pPr>
              <w:spacing w:line="360" w:lineRule="auto"/>
              <w:jc w:val="both"/>
              <w:rPr>
                <w:rFonts w:ascii="Times New Roman Regular" w:hAnsi="Times New Roman Regular" w:cs="Times New Roman Regular"/>
                <w:color w:val="000000"/>
                <w:sz w:val="22"/>
                <w:szCs w:val="22"/>
                <w:highlight w:val="none"/>
              </w:rPr>
            </w:pPr>
            <w:r>
              <w:rPr>
                <w:rFonts w:ascii="Times New Roman Regular" w:hAnsi="Times New Roman Regular" w:cs="Times New Roman Regular"/>
                <w:i/>
                <w:iCs/>
                <w:color w:val="000000"/>
                <w:sz w:val="22"/>
                <w:szCs w:val="22"/>
                <w:highlight w:val="none"/>
              </w:rPr>
              <w:t>Gdf9</w:t>
            </w:r>
            <w:r>
              <w:rPr>
                <w:rFonts w:ascii="Times New Roman Regular" w:hAnsi="Times New Roman Regular" w:cs="Times New Roman Regular"/>
                <w:color w:val="000000"/>
                <w:sz w:val="22"/>
                <w:szCs w:val="22"/>
                <w:highlight w:val="none"/>
              </w:rPr>
              <w:t>-Cre</w:t>
            </w:r>
          </w:p>
        </w:tc>
        <w:tc>
          <w:tcPr>
            <w:tcW w:w="2268" w:type="dxa"/>
            <w:tcBorders>
              <w:bottom w:val="single" w:color="auto" w:sz="4" w:space="0"/>
            </w:tcBorders>
            <w:shd w:val="clear" w:color="auto" w:fill="auto"/>
            <w:noWrap/>
            <w:vAlign w:val="center"/>
          </w:tcPr>
          <w:p w14:paraId="66517F3B">
            <w:pPr>
              <w:spacing w:line="360" w:lineRule="auto"/>
              <w:jc w:val="both"/>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AAGAACCTGATGGACATGTTCAG</w:t>
            </w:r>
          </w:p>
        </w:tc>
        <w:tc>
          <w:tcPr>
            <w:tcW w:w="2268" w:type="dxa"/>
            <w:tcBorders>
              <w:bottom w:val="single" w:color="auto" w:sz="4" w:space="0"/>
            </w:tcBorders>
            <w:shd w:val="clear" w:color="auto" w:fill="auto"/>
            <w:noWrap/>
            <w:vAlign w:val="center"/>
          </w:tcPr>
          <w:p w14:paraId="5F8AE175">
            <w:pPr>
              <w:spacing w:line="360" w:lineRule="auto"/>
              <w:jc w:val="both"/>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CTGATTCTGGCAATTTCGG</w:t>
            </w:r>
          </w:p>
        </w:tc>
        <w:tc>
          <w:tcPr>
            <w:tcW w:w="1701" w:type="dxa"/>
            <w:tcBorders>
              <w:bottom w:val="single" w:color="auto" w:sz="4" w:space="0"/>
            </w:tcBorders>
            <w:shd w:val="clear" w:color="auto" w:fill="auto"/>
            <w:noWrap/>
            <w:vAlign w:val="center"/>
          </w:tcPr>
          <w:p w14:paraId="6DF83C56">
            <w:pPr>
              <w:spacing w:line="360" w:lineRule="auto"/>
              <w:jc w:val="center"/>
              <w:rPr>
                <w:rFonts w:ascii="Times New Roman Regular" w:hAnsi="Times New Roman Regular" w:eastAsia="宋体" w:cs="Times New Roman Regular"/>
                <w:color w:val="000000"/>
                <w:sz w:val="20"/>
                <w:szCs w:val="20"/>
                <w:highlight w:val="none"/>
                <w:lang w:val="en-US" w:eastAsia="zh-CN"/>
              </w:rPr>
            </w:pPr>
            <w:r>
              <w:rPr>
                <w:rFonts w:ascii="Times New Roman Regular" w:hAnsi="Times New Roman Regular" w:eastAsia="宋体" w:cs="Times New Roman Regular"/>
                <w:color w:val="000000"/>
                <w:sz w:val="20"/>
                <w:szCs w:val="20"/>
                <w:highlight w:val="none"/>
                <w:lang w:val="en-US" w:eastAsia="zh-CN"/>
              </w:rPr>
              <w:t>5</w:t>
            </w:r>
            <w:r>
              <w:rPr>
                <w:rFonts w:hint="eastAsia" w:ascii="Times New Roman Regular" w:hAnsi="Times New Roman Regular" w:eastAsia="宋体" w:cs="Times New Roman Regular"/>
                <w:color w:val="000000"/>
                <w:sz w:val="20"/>
                <w:szCs w:val="20"/>
                <w:highlight w:val="none"/>
                <w:lang w:val="en-US" w:eastAsia="zh-CN"/>
              </w:rPr>
              <w:t>2</w:t>
            </w:r>
            <w:r>
              <w:rPr>
                <w:rFonts w:ascii="Times New Roman Regular" w:hAnsi="Times New Roman Regular" w:eastAsia="宋体" w:cs="Times New Roman Regular"/>
                <w:color w:val="000000"/>
                <w:sz w:val="20"/>
                <w:szCs w:val="20"/>
                <w:highlight w:val="none"/>
                <w:lang w:val="en-US" w:eastAsia="zh-CN"/>
              </w:rPr>
              <w:t>°C</w:t>
            </w:r>
          </w:p>
        </w:tc>
        <w:tc>
          <w:tcPr>
            <w:tcW w:w="1984" w:type="dxa"/>
            <w:tcBorders>
              <w:bottom w:val="single" w:color="auto" w:sz="4" w:space="0"/>
            </w:tcBorders>
            <w:shd w:val="clear" w:color="auto" w:fill="auto"/>
            <w:noWrap/>
            <w:vAlign w:val="center"/>
          </w:tcPr>
          <w:p w14:paraId="672FB297">
            <w:pPr>
              <w:spacing w:line="360" w:lineRule="auto"/>
              <w:jc w:val="both"/>
              <w:rPr>
                <w:rFonts w:ascii="Times New Roman Regular" w:hAnsi="Times New Roman Regular" w:cs="Times New Roman Regular"/>
                <w:color w:val="000000"/>
                <w:sz w:val="20"/>
                <w:szCs w:val="20"/>
                <w:highlight w:val="none"/>
              </w:rPr>
            </w:pPr>
            <w:r>
              <w:rPr>
                <w:rFonts w:ascii="Times New Roman Regular" w:hAnsi="Times New Roman Regular" w:cs="Times New Roman Regular"/>
                <w:sz w:val="20"/>
                <w:szCs w:val="20"/>
                <w:highlight w:val="none"/>
              </w:rPr>
              <w:t>Targeted:</w:t>
            </w:r>
            <w:r>
              <w:rPr>
                <w:rFonts w:ascii="Times New Roman Regular" w:hAnsi="Times New Roman Regular" w:eastAsia="宋体" w:cs="Times New Roman Regular"/>
                <w:sz w:val="20"/>
                <w:szCs w:val="20"/>
                <w:highlight w:val="none"/>
                <w:lang w:val="en-US" w:eastAsia="zh-CN"/>
              </w:rPr>
              <w:t xml:space="preserve"> </w:t>
            </w:r>
            <w:r>
              <w:rPr>
                <w:rFonts w:ascii="Times New Roman Regular" w:hAnsi="Times New Roman Regular" w:cs="Times New Roman Regular"/>
                <w:sz w:val="20"/>
                <w:szCs w:val="20"/>
                <w:highlight w:val="none"/>
              </w:rPr>
              <w:t>45</w:t>
            </w:r>
            <w:r>
              <w:rPr>
                <w:rFonts w:ascii="Times New Roman Regular" w:hAnsi="Times New Roman Regular" w:eastAsia="宋体" w:cs="Times New Roman Regular"/>
                <w:sz w:val="20"/>
                <w:szCs w:val="20"/>
                <w:highlight w:val="none"/>
                <w:lang w:val="en-US" w:eastAsia="zh-CN"/>
              </w:rPr>
              <w:t xml:space="preserve">0 </w:t>
            </w:r>
            <w:r>
              <w:rPr>
                <w:rFonts w:ascii="Times New Roman Regular" w:hAnsi="Times New Roman Regular" w:cs="Times New Roman Regular"/>
                <w:sz w:val="20"/>
                <w:szCs w:val="20"/>
                <w:highlight w:val="none"/>
              </w:rPr>
              <w:t>bp</w:t>
            </w:r>
          </w:p>
        </w:tc>
      </w:tr>
    </w:tbl>
    <w:p w14:paraId="466AB6A9">
      <w:pPr>
        <w:spacing w:line="480" w:lineRule="auto"/>
        <w:rPr>
          <w:highlight w:val="none"/>
          <w:lang w:eastAsia="zh-CN"/>
        </w:rPr>
      </w:pPr>
      <w:r>
        <w:rPr>
          <w:highlight w:val="none"/>
        </w:rPr>
        <w:br w:type="page"/>
      </w:r>
    </w:p>
    <w:p w14:paraId="06EE4B3D">
      <w:pPr>
        <w:pStyle w:val="88"/>
        <w:spacing w:before="0" w:after="0" w:line="480" w:lineRule="auto"/>
        <w:rPr>
          <w:highlight w:val="none"/>
          <w14:ligatures w14:val="standardContextual"/>
        </w:rPr>
      </w:pPr>
      <w:r>
        <w:rPr>
          <w:highlight w:val="none"/>
          <w14:ligatures w14:val="standardContextual"/>
        </w:rPr>
        <w:t>Table S2. Primers for qPCR (mouse)</w:t>
      </w:r>
    </w:p>
    <w:tbl>
      <w:tblPr>
        <w:tblStyle w:val="20"/>
        <w:tblW w:w="9639" w:type="dxa"/>
        <w:tblInd w:w="0" w:type="dxa"/>
        <w:tblLayout w:type="fixed"/>
        <w:tblCellMar>
          <w:top w:w="0" w:type="dxa"/>
          <w:left w:w="108" w:type="dxa"/>
          <w:bottom w:w="0" w:type="dxa"/>
          <w:right w:w="108" w:type="dxa"/>
        </w:tblCellMar>
      </w:tblPr>
      <w:tblGrid>
        <w:gridCol w:w="1701"/>
        <w:gridCol w:w="2268"/>
        <w:gridCol w:w="2268"/>
        <w:gridCol w:w="1701"/>
        <w:gridCol w:w="1701"/>
      </w:tblGrid>
      <w:tr w14:paraId="06508EC8">
        <w:trPr>
          <w:trHeight w:val="516" w:hRule="atLeast"/>
        </w:trPr>
        <w:tc>
          <w:tcPr>
            <w:tcW w:w="1701" w:type="dxa"/>
            <w:tcBorders>
              <w:top w:val="single" w:color="auto" w:sz="4" w:space="0"/>
              <w:bottom w:val="single" w:color="auto" w:sz="4" w:space="0"/>
            </w:tcBorders>
            <w:shd w:val="clear" w:color="auto" w:fill="auto"/>
            <w:noWrap/>
            <w:vAlign w:val="center"/>
          </w:tcPr>
          <w:p w14:paraId="7EC90E77">
            <w:pPr>
              <w:spacing w:line="360" w:lineRule="auto"/>
              <w:jc w:val="center"/>
              <w:rPr>
                <w:b/>
                <w:bCs/>
                <w:color w:val="000000"/>
                <w:sz w:val="20"/>
                <w:szCs w:val="20"/>
                <w:highlight w:val="none"/>
              </w:rPr>
            </w:pPr>
            <w:r>
              <w:rPr>
                <w:b/>
                <w:bCs/>
                <w:color w:val="000000"/>
                <w:sz w:val="20"/>
                <w:szCs w:val="20"/>
                <w:highlight w:val="none"/>
              </w:rPr>
              <w:t>Genes</w:t>
            </w:r>
          </w:p>
        </w:tc>
        <w:tc>
          <w:tcPr>
            <w:tcW w:w="2268" w:type="dxa"/>
            <w:tcBorders>
              <w:top w:val="single" w:color="auto" w:sz="4" w:space="0"/>
              <w:bottom w:val="single" w:color="auto" w:sz="4" w:space="0"/>
            </w:tcBorders>
            <w:shd w:val="clear" w:color="auto" w:fill="auto"/>
            <w:noWrap/>
            <w:vAlign w:val="center"/>
          </w:tcPr>
          <w:p w14:paraId="023CEAFD">
            <w:pPr>
              <w:spacing w:line="360" w:lineRule="auto"/>
              <w:jc w:val="center"/>
              <w:rPr>
                <w:b/>
                <w:bCs/>
                <w:color w:val="000000"/>
                <w:sz w:val="20"/>
                <w:szCs w:val="20"/>
                <w:highlight w:val="none"/>
              </w:rPr>
            </w:pPr>
            <w:r>
              <w:rPr>
                <w:b/>
                <w:bCs/>
                <w:color w:val="000000"/>
                <w:sz w:val="20"/>
                <w:szCs w:val="20"/>
                <w:highlight w:val="none"/>
              </w:rPr>
              <w:t>Forward primer</w:t>
            </w:r>
          </w:p>
          <w:p w14:paraId="760F93D8">
            <w:pPr>
              <w:spacing w:line="360" w:lineRule="auto"/>
              <w:jc w:val="center"/>
              <w:rPr>
                <w:b/>
                <w:bCs/>
                <w:color w:val="000000"/>
                <w:sz w:val="20"/>
                <w:szCs w:val="20"/>
                <w:highlight w:val="none"/>
              </w:rPr>
            </w:pPr>
            <w:r>
              <w:rPr>
                <w:b/>
                <w:bCs/>
                <w:color w:val="000000"/>
                <w:sz w:val="20"/>
                <w:szCs w:val="20"/>
                <w:highlight w:val="none"/>
              </w:rPr>
              <w:t>(5’-3’)</w:t>
            </w:r>
          </w:p>
        </w:tc>
        <w:tc>
          <w:tcPr>
            <w:tcW w:w="2268" w:type="dxa"/>
            <w:tcBorders>
              <w:top w:val="single" w:color="auto" w:sz="4" w:space="0"/>
              <w:bottom w:val="single" w:color="auto" w:sz="4" w:space="0"/>
            </w:tcBorders>
            <w:shd w:val="clear" w:color="auto" w:fill="auto"/>
            <w:noWrap/>
            <w:vAlign w:val="center"/>
          </w:tcPr>
          <w:p w14:paraId="4EA7BE8E">
            <w:pPr>
              <w:spacing w:line="360" w:lineRule="auto"/>
              <w:jc w:val="center"/>
              <w:rPr>
                <w:b/>
                <w:bCs/>
                <w:color w:val="000000"/>
                <w:sz w:val="20"/>
                <w:szCs w:val="20"/>
                <w:highlight w:val="none"/>
              </w:rPr>
            </w:pPr>
            <w:r>
              <w:rPr>
                <w:b/>
                <w:bCs/>
                <w:color w:val="000000"/>
                <w:sz w:val="20"/>
                <w:szCs w:val="20"/>
                <w:highlight w:val="none"/>
              </w:rPr>
              <w:t>Reverse primer</w:t>
            </w:r>
          </w:p>
          <w:p w14:paraId="14462C86">
            <w:pPr>
              <w:spacing w:line="360" w:lineRule="auto"/>
              <w:jc w:val="center"/>
              <w:rPr>
                <w:b/>
                <w:bCs/>
                <w:color w:val="000000"/>
                <w:sz w:val="20"/>
                <w:szCs w:val="20"/>
                <w:highlight w:val="none"/>
              </w:rPr>
            </w:pPr>
            <w:r>
              <w:rPr>
                <w:b/>
                <w:bCs/>
                <w:color w:val="000000"/>
                <w:sz w:val="20"/>
                <w:szCs w:val="20"/>
                <w:highlight w:val="none"/>
              </w:rPr>
              <w:t>(5’-3’)</w:t>
            </w:r>
          </w:p>
        </w:tc>
        <w:tc>
          <w:tcPr>
            <w:tcW w:w="1701" w:type="dxa"/>
            <w:tcBorders>
              <w:top w:val="single" w:color="auto" w:sz="4" w:space="0"/>
              <w:bottom w:val="single" w:color="auto" w:sz="4" w:space="0"/>
            </w:tcBorders>
            <w:vAlign w:val="center"/>
          </w:tcPr>
          <w:p w14:paraId="6326C979">
            <w:pPr>
              <w:spacing w:line="360" w:lineRule="auto"/>
              <w:jc w:val="center"/>
              <w:rPr>
                <w:b/>
                <w:bCs/>
                <w:color w:val="000000"/>
                <w:sz w:val="20"/>
                <w:szCs w:val="20"/>
                <w:highlight w:val="none"/>
              </w:rPr>
            </w:pPr>
            <w:r>
              <w:rPr>
                <w:rFonts w:ascii="Times New Roman Regular" w:hAnsi="Times New Roman Regular" w:cs="Times New Roman Regular"/>
                <w:b/>
                <w:bCs/>
                <w:color w:val="000000"/>
                <w:sz w:val="20"/>
                <w:szCs w:val="20"/>
                <w:highlight w:val="none"/>
                <w:lang w:val="en-US" w:eastAsia="zh-CN"/>
              </w:rPr>
              <w:t>Annealing Temp (</w:t>
            </w:r>
            <w:r>
              <w:rPr>
                <w:rFonts w:ascii="Times New Roman Regular" w:hAnsi="Times New Roman Regular" w:eastAsia="宋体" w:cs="Times New Roman Regular"/>
                <w:sz w:val="20"/>
                <w:szCs w:val="20"/>
                <w:highlight w:val="none"/>
              </w:rPr>
              <w:t>°C</w:t>
            </w:r>
            <w:r>
              <w:rPr>
                <w:rFonts w:ascii="Times New Roman Regular" w:hAnsi="Times New Roman Regular" w:cs="Times New Roman Regular"/>
                <w:b/>
                <w:bCs/>
                <w:color w:val="000000"/>
                <w:sz w:val="20"/>
                <w:szCs w:val="20"/>
                <w:highlight w:val="none"/>
                <w:lang w:val="en-US" w:eastAsia="zh-CN"/>
              </w:rPr>
              <w:t>)</w:t>
            </w:r>
          </w:p>
        </w:tc>
        <w:tc>
          <w:tcPr>
            <w:tcW w:w="1701" w:type="dxa"/>
            <w:tcBorders>
              <w:top w:val="single" w:color="auto" w:sz="4" w:space="0"/>
              <w:bottom w:val="single" w:color="auto" w:sz="4" w:space="0"/>
            </w:tcBorders>
            <w:vAlign w:val="center"/>
          </w:tcPr>
          <w:p w14:paraId="620C1B05">
            <w:pPr>
              <w:spacing w:line="360" w:lineRule="auto"/>
              <w:jc w:val="center"/>
              <w:rPr>
                <w:rFonts w:ascii="Times New Roman Regular" w:hAnsi="Times New Roman Regular" w:cs="Times New Roman Regular"/>
                <w:b/>
                <w:bCs/>
                <w:color w:val="000000"/>
                <w:sz w:val="20"/>
                <w:szCs w:val="20"/>
                <w:highlight w:val="none"/>
              </w:rPr>
            </w:pPr>
            <w:r>
              <w:rPr>
                <w:rFonts w:ascii="Times New Roman Regular" w:hAnsi="Times New Roman Regular" w:cs="Times New Roman Regular"/>
                <w:b/>
                <w:bCs/>
                <w:color w:val="000000"/>
                <w:sz w:val="20"/>
                <w:szCs w:val="20"/>
                <w:highlight w:val="none"/>
              </w:rPr>
              <w:t>Product Size</w:t>
            </w:r>
          </w:p>
          <w:p w14:paraId="05757685">
            <w:pPr>
              <w:spacing w:line="360" w:lineRule="auto"/>
              <w:jc w:val="center"/>
              <w:rPr>
                <w:b/>
                <w:bCs/>
                <w:color w:val="000000"/>
                <w:sz w:val="20"/>
                <w:szCs w:val="20"/>
                <w:highlight w:val="none"/>
              </w:rPr>
            </w:pPr>
            <w:r>
              <w:rPr>
                <w:rFonts w:ascii="Times New Roman Regular" w:hAnsi="Times New Roman Regular" w:cs="Times New Roman Regular"/>
                <w:b/>
                <w:bCs/>
                <w:color w:val="000000"/>
                <w:sz w:val="20"/>
                <w:szCs w:val="20"/>
                <w:highlight w:val="none"/>
              </w:rPr>
              <w:t>(bp)</w:t>
            </w:r>
          </w:p>
        </w:tc>
      </w:tr>
      <w:tr w14:paraId="023191F7">
        <w:trPr>
          <w:trHeight w:val="516" w:hRule="atLeast"/>
        </w:trPr>
        <w:tc>
          <w:tcPr>
            <w:tcW w:w="1701" w:type="dxa"/>
            <w:tcBorders>
              <w:top w:val="single" w:color="auto" w:sz="4" w:space="0"/>
            </w:tcBorders>
            <w:shd w:val="clear" w:color="auto" w:fill="auto"/>
            <w:noWrap/>
            <w:vAlign w:val="center"/>
          </w:tcPr>
          <w:p w14:paraId="5B82468D">
            <w:pPr>
              <w:spacing w:line="360" w:lineRule="auto"/>
              <w:jc w:val="both"/>
              <w:rPr>
                <w:i/>
                <w:iCs/>
                <w:color w:val="000000"/>
                <w:sz w:val="20"/>
                <w:szCs w:val="20"/>
                <w:highlight w:val="none"/>
              </w:rPr>
            </w:pPr>
            <w:r>
              <w:rPr>
                <w:i/>
                <w:iCs/>
                <w:color w:val="000000"/>
                <w:sz w:val="20"/>
                <w:szCs w:val="20"/>
                <w:highlight w:val="none"/>
              </w:rPr>
              <w:t>Raldh1</w:t>
            </w:r>
          </w:p>
        </w:tc>
        <w:tc>
          <w:tcPr>
            <w:tcW w:w="2268" w:type="dxa"/>
            <w:tcBorders>
              <w:top w:val="single" w:color="auto" w:sz="4" w:space="0"/>
            </w:tcBorders>
            <w:shd w:val="clear" w:color="auto" w:fill="auto"/>
            <w:noWrap/>
            <w:vAlign w:val="center"/>
          </w:tcPr>
          <w:p w14:paraId="2FD97C65">
            <w:pPr>
              <w:spacing w:line="360" w:lineRule="auto"/>
              <w:jc w:val="both"/>
              <w:rPr>
                <w:color w:val="000000"/>
                <w:sz w:val="20"/>
                <w:szCs w:val="20"/>
                <w:highlight w:val="none"/>
              </w:rPr>
            </w:pPr>
            <w:r>
              <w:rPr>
                <w:rFonts w:hint="eastAsia"/>
                <w:color w:val="000000"/>
                <w:sz w:val="20"/>
                <w:szCs w:val="20"/>
                <w:highlight w:val="none"/>
              </w:rPr>
              <w:t>ATACTTGTCGGATTTAGGAGGCT</w:t>
            </w:r>
          </w:p>
        </w:tc>
        <w:tc>
          <w:tcPr>
            <w:tcW w:w="2268" w:type="dxa"/>
            <w:tcBorders>
              <w:top w:val="single" w:color="auto" w:sz="4" w:space="0"/>
            </w:tcBorders>
            <w:shd w:val="clear" w:color="auto" w:fill="auto"/>
            <w:noWrap/>
            <w:vAlign w:val="center"/>
          </w:tcPr>
          <w:p w14:paraId="4585FB1E">
            <w:pPr>
              <w:spacing w:line="360" w:lineRule="auto"/>
              <w:jc w:val="both"/>
              <w:rPr>
                <w:color w:val="000000"/>
                <w:sz w:val="20"/>
                <w:szCs w:val="20"/>
                <w:highlight w:val="none"/>
              </w:rPr>
            </w:pPr>
            <w:r>
              <w:rPr>
                <w:rFonts w:hint="eastAsia"/>
                <w:color w:val="000000"/>
                <w:sz w:val="20"/>
                <w:szCs w:val="20"/>
                <w:highlight w:val="none"/>
              </w:rPr>
              <w:t>GGGCCTATCTTCCAAATGAACA</w:t>
            </w:r>
          </w:p>
        </w:tc>
        <w:tc>
          <w:tcPr>
            <w:tcW w:w="1701" w:type="dxa"/>
            <w:tcBorders>
              <w:top w:val="single" w:color="auto" w:sz="4" w:space="0"/>
            </w:tcBorders>
            <w:vAlign w:val="center"/>
          </w:tcPr>
          <w:p w14:paraId="3FFF923A">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tcBorders>
              <w:top w:val="single" w:color="auto" w:sz="4" w:space="0"/>
            </w:tcBorders>
            <w:vAlign w:val="center"/>
          </w:tcPr>
          <w:p w14:paraId="4A999D3A">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192</w:t>
            </w:r>
          </w:p>
        </w:tc>
      </w:tr>
      <w:tr w14:paraId="234D744F">
        <w:trPr>
          <w:trHeight w:val="516" w:hRule="atLeast"/>
        </w:trPr>
        <w:tc>
          <w:tcPr>
            <w:tcW w:w="1701" w:type="dxa"/>
            <w:shd w:val="clear" w:color="auto" w:fill="auto"/>
            <w:noWrap/>
            <w:vAlign w:val="center"/>
          </w:tcPr>
          <w:p w14:paraId="42B966AE">
            <w:pPr>
              <w:spacing w:line="360" w:lineRule="auto"/>
              <w:jc w:val="both"/>
              <w:rPr>
                <w:i/>
                <w:iCs/>
                <w:color w:val="000000"/>
                <w:sz w:val="20"/>
                <w:szCs w:val="20"/>
                <w:highlight w:val="none"/>
              </w:rPr>
            </w:pPr>
            <w:r>
              <w:rPr>
                <w:i/>
                <w:iCs/>
                <w:color w:val="000000"/>
                <w:sz w:val="20"/>
                <w:szCs w:val="20"/>
                <w:highlight w:val="none"/>
              </w:rPr>
              <w:t>Raldh2</w:t>
            </w:r>
          </w:p>
        </w:tc>
        <w:tc>
          <w:tcPr>
            <w:tcW w:w="2268" w:type="dxa"/>
            <w:shd w:val="clear" w:color="auto" w:fill="auto"/>
            <w:noWrap/>
            <w:vAlign w:val="center"/>
          </w:tcPr>
          <w:p w14:paraId="5DA4F2A9">
            <w:pPr>
              <w:spacing w:line="360" w:lineRule="auto"/>
              <w:jc w:val="both"/>
              <w:rPr>
                <w:color w:val="000000"/>
                <w:sz w:val="20"/>
                <w:szCs w:val="20"/>
                <w:highlight w:val="none"/>
              </w:rPr>
            </w:pPr>
            <w:r>
              <w:rPr>
                <w:rFonts w:hint="eastAsia"/>
                <w:color w:val="000000"/>
                <w:sz w:val="20"/>
                <w:szCs w:val="20"/>
                <w:highlight w:val="none"/>
              </w:rPr>
              <w:t>CAGAGAGTGGGAGAGTGTTCC</w:t>
            </w:r>
          </w:p>
        </w:tc>
        <w:tc>
          <w:tcPr>
            <w:tcW w:w="2268" w:type="dxa"/>
            <w:shd w:val="clear" w:color="auto" w:fill="auto"/>
            <w:noWrap/>
            <w:vAlign w:val="center"/>
          </w:tcPr>
          <w:p w14:paraId="1BFE18E2">
            <w:pPr>
              <w:spacing w:line="360" w:lineRule="auto"/>
              <w:jc w:val="both"/>
              <w:rPr>
                <w:color w:val="000000"/>
                <w:sz w:val="20"/>
                <w:szCs w:val="20"/>
                <w:highlight w:val="none"/>
              </w:rPr>
            </w:pPr>
            <w:r>
              <w:rPr>
                <w:rFonts w:hint="eastAsia"/>
                <w:color w:val="000000"/>
                <w:sz w:val="20"/>
                <w:szCs w:val="20"/>
                <w:highlight w:val="none"/>
              </w:rPr>
              <w:t>CACACAGAACCAAGAGAGAAGG</w:t>
            </w:r>
          </w:p>
        </w:tc>
        <w:tc>
          <w:tcPr>
            <w:tcW w:w="1701" w:type="dxa"/>
            <w:vAlign w:val="center"/>
          </w:tcPr>
          <w:p w14:paraId="7E0D679F">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vAlign w:val="center"/>
          </w:tcPr>
          <w:p w14:paraId="634D3093">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136</w:t>
            </w:r>
          </w:p>
        </w:tc>
      </w:tr>
      <w:tr w14:paraId="12D3EFCB">
        <w:trPr>
          <w:trHeight w:val="516" w:hRule="atLeast"/>
        </w:trPr>
        <w:tc>
          <w:tcPr>
            <w:tcW w:w="1701" w:type="dxa"/>
            <w:shd w:val="clear" w:color="auto" w:fill="auto"/>
            <w:noWrap/>
            <w:vAlign w:val="center"/>
          </w:tcPr>
          <w:p w14:paraId="6D73CCAB">
            <w:pPr>
              <w:spacing w:line="360" w:lineRule="auto"/>
              <w:jc w:val="both"/>
              <w:rPr>
                <w:i/>
                <w:iCs/>
                <w:color w:val="000000"/>
                <w:sz w:val="20"/>
                <w:szCs w:val="20"/>
                <w:highlight w:val="none"/>
              </w:rPr>
            </w:pPr>
            <w:bookmarkStart w:id="3" w:name="OLE_LINK1"/>
            <w:r>
              <w:rPr>
                <w:i/>
                <w:iCs/>
                <w:color w:val="000000"/>
                <w:sz w:val="20"/>
                <w:szCs w:val="20"/>
                <w:highlight w:val="none"/>
              </w:rPr>
              <w:t>Raldh3</w:t>
            </w:r>
            <w:bookmarkEnd w:id="3"/>
          </w:p>
        </w:tc>
        <w:tc>
          <w:tcPr>
            <w:tcW w:w="2268" w:type="dxa"/>
            <w:shd w:val="clear" w:color="auto" w:fill="auto"/>
            <w:noWrap/>
            <w:vAlign w:val="center"/>
          </w:tcPr>
          <w:p w14:paraId="0E7FB163">
            <w:pPr>
              <w:spacing w:line="360" w:lineRule="auto"/>
              <w:jc w:val="both"/>
              <w:rPr>
                <w:color w:val="000000"/>
                <w:sz w:val="20"/>
                <w:szCs w:val="20"/>
                <w:highlight w:val="none"/>
              </w:rPr>
            </w:pPr>
            <w:r>
              <w:rPr>
                <w:rFonts w:hint="eastAsia"/>
                <w:color w:val="000000"/>
                <w:sz w:val="20"/>
                <w:szCs w:val="20"/>
                <w:highlight w:val="none"/>
              </w:rPr>
              <w:t>GGGTCACACTGGAGCTAGGA</w:t>
            </w:r>
          </w:p>
        </w:tc>
        <w:tc>
          <w:tcPr>
            <w:tcW w:w="2268" w:type="dxa"/>
            <w:shd w:val="clear" w:color="auto" w:fill="auto"/>
            <w:noWrap/>
            <w:vAlign w:val="center"/>
          </w:tcPr>
          <w:p w14:paraId="53C4E0C8">
            <w:pPr>
              <w:spacing w:line="360" w:lineRule="auto"/>
              <w:jc w:val="both"/>
              <w:rPr>
                <w:color w:val="000000"/>
                <w:sz w:val="20"/>
                <w:szCs w:val="20"/>
                <w:highlight w:val="none"/>
              </w:rPr>
            </w:pPr>
            <w:r>
              <w:rPr>
                <w:color w:val="000000"/>
                <w:sz w:val="20"/>
                <w:szCs w:val="20"/>
                <w:highlight w:val="none"/>
              </w:rPr>
              <w:t>CTGGCCTCTTCTTGGCGAA</w:t>
            </w:r>
          </w:p>
        </w:tc>
        <w:tc>
          <w:tcPr>
            <w:tcW w:w="1701" w:type="dxa"/>
            <w:shd w:val="clear" w:color="auto" w:fill="auto"/>
            <w:vAlign w:val="center"/>
          </w:tcPr>
          <w:p w14:paraId="42F02CE0">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vAlign w:val="center"/>
          </w:tcPr>
          <w:p w14:paraId="12F66D83">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201</w:t>
            </w:r>
          </w:p>
        </w:tc>
      </w:tr>
      <w:tr w14:paraId="6BEBC559">
        <w:trPr>
          <w:trHeight w:val="516" w:hRule="atLeast"/>
        </w:trPr>
        <w:tc>
          <w:tcPr>
            <w:tcW w:w="1701" w:type="dxa"/>
            <w:shd w:val="clear" w:color="auto" w:fill="auto"/>
            <w:noWrap/>
            <w:vAlign w:val="center"/>
          </w:tcPr>
          <w:p w14:paraId="67A2F0DF">
            <w:pPr>
              <w:spacing w:line="360" w:lineRule="auto"/>
              <w:jc w:val="both"/>
              <w:rPr>
                <w:i/>
                <w:iCs/>
                <w:color w:val="000000"/>
                <w:sz w:val="20"/>
                <w:szCs w:val="20"/>
                <w:highlight w:val="none"/>
              </w:rPr>
            </w:pPr>
            <w:r>
              <w:rPr>
                <w:i/>
                <w:iCs/>
                <w:color w:val="000000"/>
                <w:sz w:val="20"/>
                <w:szCs w:val="20"/>
                <w:highlight w:val="none"/>
              </w:rPr>
              <w:t>Rarα</w:t>
            </w:r>
          </w:p>
        </w:tc>
        <w:tc>
          <w:tcPr>
            <w:tcW w:w="2268" w:type="dxa"/>
            <w:shd w:val="clear" w:color="auto" w:fill="auto"/>
            <w:noWrap/>
            <w:vAlign w:val="bottom"/>
          </w:tcPr>
          <w:p w14:paraId="70FF88B4">
            <w:pPr>
              <w:spacing w:line="360" w:lineRule="auto"/>
              <w:jc w:val="both"/>
              <w:rPr>
                <w:color w:val="000000"/>
                <w:sz w:val="20"/>
                <w:szCs w:val="20"/>
                <w:highlight w:val="none"/>
              </w:rPr>
            </w:pPr>
            <w:r>
              <w:rPr>
                <w:color w:val="000000"/>
                <w:sz w:val="20"/>
                <w:szCs w:val="20"/>
                <w:highlight w:val="none"/>
              </w:rPr>
              <w:t>TTCTTTCCCCCTATGCTGGGT</w:t>
            </w:r>
          </w:p>
        </w:tc>
        <w:tc>
          <w:tcPr>
            <w:tcW w:w="2268" w:type="dxa"/>
            <w:shd w:val="clear" w:color="auto" w:fill="auto"/>
            <w:noWrap/>
            <w:vAlign w:val="center"/>
          </w:tcPr>
          <w:p w14:paraId="162C5E99">
            <w:pPr>
              <w:spacing w:line="360" w:lineRule="auto"/>
              <w:jc w:val="both"/>
              <w:rPr>
                <w:color w:val="000000"/>
                <w:sz w:val="20"/>
                <w:szCs w:val="20"/>
                <w:highlight w:val="none"/>
              </w:rPr>
            </w:pPr>
            <w:r>
              <w:rPr>
                <w:color w:val="000000"/>
                <w:sz w:val="20"/>
                <w:szCs w:val="20"/>
                <w:highlight w:val="none"/>
              </w:rPr>
              <w:t>GGGAGGGCTGGGTACTATCTC</w:t>
            </w:r>
          </w:p>
        </w:tc>
        <w:tc>
          <w:tcPr>
            <w:tcW w:w="1701" w:type="dxa"/>
            <w:shd w:val="clear" w:color="auto" w:fill="auto"/>
            <w:vAlign w:val="center"/>
          </w:tcPr>
          <w:p w14:paraId="3F35DB24">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vAlign w:val="center"/>
          </w:tcPr>
          <w:p w14:paraId="1024B977">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150</w:t>
            </w:r>
          </w:p>
        </w:tc>
      </w:tr>
      <w:tr w14:paraId="15492EAE">
        <w:trPr>
          <w:trHeight w:val="516" w:hRule="atLeast"/>
        </w:trPr>
        <w:tc>
          <w:tcPr>
            <w:tcW w:w="1701" w:type="dxa"/>
            <w:shd w:val="clear" w:color="auto" w:fill="auto"/>
            <w:noWrap/>
            <w:vAlign w:val="center"/>
          </w:tcPr>
          <w:p w14:paraId="4EFECD3C">
            <w:pPr>
              <w:spacing w:line="360" w:lineRule="auto"/>
              <w:jc w:val="both"/>
              <w:rPr>
                <w:i/>
                <w:iCs/>
                <w:color w:val="000000"/>
                <w:sz w:val="20"/>
                <w:szCs w:val="20"/>
                <w:highlight w:val="none"/>
              </w:rPr>
            </w:pPr>
            <w:r>
              <w:rPr>
                <w:i/>
                <w:iCs/>
                <w:color w:val="000000"/>
                <w:sz w:val="20"/>
                <w:szCs w:val="20"/>
                <w:highlight w:val="none"/>
              </w:rPr>
              <w:t>Rarβ</w:t>
            </w:r>
          </w:p>
        </w:tc>
        <w:tc>
          <w:tcPr>
            <w:tcW w:w="2268" w:type="dxa"/>
            <w:shd w:val="clear" w:color="auto" w:fill="auto"/>
            <w:noWrap/>
            <w:vAlign w:val="center"/>
          </w:tcPr>
          <w:p w14:paraId="201451D6">
            <w:pPr>
              <w:spacing w:line="360" w:lineRule="auto"/>
              <w:jc w:val="both"/>
              <w:rPr>
                <w:color w:val="000000"/>
                <w:sz w:val="20"/>
                <w:szCs w:val="20"/>
                <w:highlight w:val="none"/>
              </w:rPr>
            </w:pPr>
            <w:r>
              <w:rPr>
                <w:color w:val="000000"/>
                <w:sz w:val="20"/>
                <w:szCs w:val="20"/>
                <w:highlight w:val="none"/>
              </w:rPr>
              <w:t>GCAGTGCGTGGACACATGA</w:t>
            </w:r>
          </w:p>
        </w:tc>
        <w:tc>
          <w:tcPr>
            <w:tcW w:w="2268" w:type="dxa"/>
            <w:shd w:val="clear" w:color="auto" w:fill="auto"/>
            <w:noWrap/>
            <w:vAlign w:val="center"/>
          </w:tcPr>
          <w:p w14:paraId="46944CD1">
            <w:pPr>
              <w:spacing w:line="360" w:lineRule="auto"/>
              <w:jc w:val="both"/>
              <w:rPr>
                <w:color w:val="000000"/>
                <w:sz w:val="20"/>
                <w:szCs w:val="20"/>
                <w:highlight w:val="none"/>
              </w:rPr>
            </w:pPr>
            <w:r>
              <w:rPr>
                <w:color w:val="000000"/>
                <w:sz w:val="20"/>
                <w:szCs w:val="20"/>
                <w:highlight w:val="none"/>
              </w:rPr>
              <w:t>GGTAGAAGCTGCAAACTGACT</w:t>
            </w:r>
          </w:p>
        </w:tc>
        <w:tc>
          <w:tcPr>
            <w:tcW w:w="1701" w:type="dxa"/>
            <w:shd w:val="clear" w:color="auto" w:fill="auto"/>
            <w:vAlign w:val="center"/>
          </w:tcPr>
          <w:p w14:paraId="4253D21B">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vAlign w:val="center"/>
          </w:tcPr>
          <w:p w14:paraId="24B02A08">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201</w:t>
            </w:r>
          </w:p>
        </w:tc>
      </w:tr>
      <w:tr w14:paraId="2680A6CB">
        <w:trPr>
          <w:trHeight w:val="516" w:hRule="atLeast"/>
        </w:trPr>
        <w:tc>
          <w:tcPr>
            <w:tcW w:w="1701" w:type="dxa"/>
            <w:shd w:val="clear" w:color="auto" w:fill="auto"/>
            <w:noWrap/>
            <w:vAlign w:val="center"/>
          </w:tcPr>
          <w:p w14:paraId="33907E69">
            <w:pPr>
              <w:spacing w:line="360" w:lineRule="auto"/>
              <w:jc w:val="both"/>
              <w:rPr>
                <w:i/>
                <w:iCs/>
                <w:color w:val="000000"/>
                <w:sz w:val="20"/>
                <w:szCs w:val="20"/>
                <w:highlight w:val="none"/>
              </w:rPr>
            </w:pPr>
            <w:r>
              <w:rPr>
                <w:i/>
                <w:iCs/>
                <w:color w:val="000000"/>
                <w:sz w:val="20"/>
                <w:szCs w:val="20"/>
                <w:highlight w:val="none"/>
              </w:rPr>
              <w:t>Rarγ</w:t>
            </w:r>
          </w:p>
        </w:tc>
        <w:tc>
          <w:tcPr>
            <w:tcW w:w="2268" w:type="dxa"/>
            <w:shd w:val="clear" w:color="auto" w:fill="auto"/>
            <w:noWrap/>
            <w:vAlign w:val="center"/>
          </w:tcPr>
          <w:p w14:paraId="494E5AA2">
            <w:pPr>
              <w:spacing w:line="360" w:lineRule="auto"/>
              <w:jc w:val="both"/>
              <w:rPr>
                <w:color w:val="000000"/>
                <w:sz w:val="20"/>
                <w:szCs w:val="20"/>
                <w:highlight w:val="none"/>
              </w:rPr>
            </w:pPr>
            <w:r>
              <w:rPr>
                <w:color w:val="000000"/>
                <w:sz w:val="20"/>
                <w:szCs w:val="20"/>
                <w:highlight w:val="none"/>
              </w:rPr>
              <w:t>TGCCTGGTTTTACAGGGCTC</w:t>
            </w:r>
          </w:p>
        </w:tc>
        <w:tc>
          <w:tcPr>
            <w:tcW w:w="2268" w:type="dxa"/>
            <w:shd w:val="clear" w:color="auto" w:fill="auto"/>
            <w:noWrap/>
            <w:vAlign w:val="center"/>
          </w:tcPr>
          <w:p w14:paraId="5DF7E68C">
            <w:pPr>
              <w:spacing w:line="360" w:lineRule="auto"/>
              <w:jc w:val="both"/>
              <w:rPr>
                <w:color w:val="000000"/>
                <w:sz w:val="20"/>
                <w:szCs w:val="20"/>
                <w:highlight w:val="none"/>
              </w:rPr>
            </w:pPr>
            <w:r>
              <w:rPr>
                <w:color w:val="000000"/>
                <w:sz w:val="20"/>
                <w:szCs w:val="20"/>
                <w:highlight w:val="none"/>
              </w:rPr>
              <w:t>TCCGAGAATGTCATAGTGTCCT</w:t>
            </w:r>
          </w:p>
        </w:tc>
        <w:tc>
          <w:tcPr>
            <w:tcW w:w="1701" w:type="dxa"/>
            <w:shd w:val="clear" w:color="auto" w:fill="auto"/>
            <w:vAlign w:val="center"/>
          </w:tcPr>
          <w:p w14:paraId="0A545FB4">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vAlign w:val="center"/>
          </w:tcPr>
          <w:p w14:paraId="61E843DF">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127</w:t>
            </w:r>
          </w:p>
        </w:tc>
      </w:tr>
      <w:tr w14:paraId="2BA7CB05">
        <w:trPr>
          <w:trHeight w:val="516" w:hRule="atLeast"/>
        </w:trPr>
        <w:tc>
          <w:tcPr>
            <w:tcW w:w="1701" w:type="dxa"/>
            <w:shd w:val="clear" w:color="auto" w:fill="auto"/>
            <w:noWrap/>
            <w:vAlign w:val="center"/>
          </w:tcPr>
          <w:p w14:paraId="308B78FD">
            <w:pPr>
              <w:spacing w:line="360" w:lineRule="auto"/>
              <w:jc w:val="both"/>
              <w:rPr>
                <w:i/>
                <w:iCs/>
                <w:color w:val="000000"/>
                <w:sz w:val="20"/>
                <w:szCs w:val="20"/>
                <w:highlight w:val="none"/>
              </w:rPr>
            </w:pPr>
            <w:r>
              <w:rPr>
                <w:i/>
                <w:iCs/>
                <w:color w:val="000000"/>
                <w:sz w:val="20"/>
                <w:szCs w:val="20"/>
                <w:highlight w:val="none"/>
              </w:rPr>
              <w:t>Rxrα</w:t>
            </w:r>
          </w:p>
        </w:tc>
        <w:tc>
          <w:tcPr>
            <w:tcW w:w="2268" w:type="dxa"/>
            <w:shd w:val="clear" w:color="auto" w:fill="auto"/>
            <w:noWrap/>
            <w:vAlign w:val="center"/>
          </w:tcPr>
          <w:p w14:paraId="71AD4112">
            <w:pPr>
              <w:spacing w:line="360" w:lineRule="auto"/>
              <w:jc w:val="both"/>
              <w:rPr>
                <w:color w:val="000000"/>
                <w:sz w:val="20"/>
                <w:szCs w:val="20"/>
                <w:highlight w:val="none"/>
              </w:rPr>
            </w:pPr>
            <w:r>
              <w:rPr>
                <w:color w:val="000000"/>
                <w:sz w:val="20"/>
                <w:szCs w:val="20"/>
                <w:highlight w:val="none"/>
              </w:rPr>
              <w:t>CACACCCACATTGGGCTTC</w:t>
            </w:r>
          </w:p>
        </w:tc>
        <w:tc>
          <w:tcPr>
            <w:tcW w:w="2268" w:type="dxa"/>
            <w:shd w:val="clear" w:color="auto" w:fill="auto"/>
            <w:noWrap/>
            <w:vAlign w:val="center"/>
          </w:tcPr>
          <w:p w14:paraId="1EA65477">
            <w:pPr>
              <w:spacing w:line="360" w:lineRule="auto"/>
              <w:jc w:val="both"/>
              <w:rPr>
                <w:color w:val="000000"/>
                <w:sz w:val="20"/>
                <w:szCs w:val="20"/>
                <w:highlight w:val="none"/>
              </w:rPr>
            </w:pPr>
            <w:r>
              <w:rPr>
                <w:color w:val="000000"/>
                <w:sz w:val="20"/>
                <w:szCs w:val="20"/>
                <w:highlight w:val="none"/>
              </w:rPr>
              <w:t>GAGGCCATATTTCCTGAGGGA</w:t>
            </w:r>
          </w:p>
        </w:tc>
        <w:tc>
          <w:tcPr>
            <w:tcW w:w="1701" w:type="dxa"/>
            <w:shd w:val="clear" w:color="auto" w:fill="auto"/>
            <w:vAlign w:val="center"/>
          </w:tcPr>
          <w:p w14:paraId="6E0315B2">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vAlign w:val="center"/>
          </w:tcPr>
          <w:p w14:paraId="07643DE9">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144</w:t>
            </w:r>
          </w:p>
        </w:tc>
      </w:tr>
      <w:tr w14:paraId="6850C961">
        <w:trPr>
          <w:trHeight w:val="516" w:hRule="atLeast"/>
        </w:trPr>
        <w:tc>
          <w:tcPr>
            <w:tcW w:w="1701" w:type="dxa"/>
            <w:shd w:val="clear" w:color="auto" w:fill="auto"/>
            <w:noWrap/>
            <w:vAlign w:val="center"/>
          </w:tcPr>
          <w:p w14:paraId="5F243B35">
            <w:pPr>
              <w:spacing w:line="360" w:lineRule="auto"/>
              <w:jc w:val="both"/>
              <w:rPr>
                <w:i/>
                <w:iCs/>
                <w:color w:val="000000"/>
                <w:sz w:val="20"/>
                <w:szCs w:val="20"/>
                <w:highlight w:val="none"/>
              </w:rPr>
            </w:pPr>
            <w:r>
              <w:rPr>
                <w:i/>
                <w:iCs/>
                <w:color w:val="000000"/>
                <w:sz w:val="20"/>
                <w:szCs w:val="20"/>
                <w:highlight w:val="none"/>
              </w:rPr>
              <w:t>Rxrβ</w:t>
            </w:r>
          </w:p>
        </w:tc>
        <w:tc>
          <w:tcPr>
            <w:tcW w:w="2268" w:type="dxa"/>
            <w:shd w:val="clear" w:color="auto" w:fill="auto"/>
            <w:noWrap/>
            <w:vAlign w:val="center"/>
          </w:tcPr>
          <w:p w14:paraId="0C004988">
            <w:pPr>
              <w:spacing w:line="360" w:lineRule="auto"/>
              <w:jc w:val="both"/>
              <w:rPr>
                <w:color w:val="000000"/>
                <w:sz w:val="20"/>
                <w:szCs w:val="20"/>
                <w:highlight w:val="none"/>
              </w:rPr>
            </w:pPr>
            <w:r>
              <w:rPr>
                <w:color w:val="000000"/>
                <w:sz w:val="20"/>
                <w:szCs w:val="20"/>
                <w:highlight w:val="none"/>
              </w:rPr>
              <w:t>CCTACTCGTGTCGTGATAACAAA</w:t>
            </w:r>
          </w:p>
        </w:tc>
        <w:tc>
          <w:tcPr>
            <w:tcW w:w="2268" w:type="dxa"/>
            <w:shd w:val="clear" w:color="auto" w:fill="auto"/>
            <w:noWrap/>
            <w:vAlign w:val="center"/>
          </w:tcPr>
          <w:p w14:paraId="0211A1C1">
            <w:pPr>
              <w:spacing w:line="360" w:lineRule="auto"/>
              <w:jc w:val="both"/>
              <w:rPr>
                <w:color w:val="000000"/>
                <w:sz w:val="20"/>
                <w:szCs w:val="20"/>
                <w:highlight w:val="none"/>
              </w:rPr>
            </w:pPr>
            <w:r>
              <w:rPr>
                <w:color w:val="000000"/>
                <w:sz w:val="20"/>
                <w:szCs w:val="20"/>
                <w:highlight w:val="none"/>
              </w:rPr>
              <w:t>CTCAACGCCTTGGTCACTCT</w:t>
            </w:r>
          </w:p>
        </w:tc>
        <w:tc>
          <w:tcPr>
            <w:tcW w:w="1701" w:type="dxa"/>
            <w:shd w:val="clear" w:color="auto" w:fill="auto"/>
            <w:vAlign w:val="center"/>
          </w:tcPr>
          <w:p w14:paraId="79771731">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vAlign w:val="center"/>
          </w:tcPr>
          <w:p w14:paraId="68C1A7D7">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248</w:t>
            </w:r>
          </w:p>
        </w:tc>
      </w:tr>
      <w:tr w14:paraId="49B505B9">
        <w:trPr>
          <w:trHeight w:val="516" w:hRule="atLeast"/>
        </w:trPr>
        <w:tc>
          <w:tcPr>
            <w:tcW w:w="1701" w:type="dxa"/>
            <w:shd w:val="clear" w:color="auto" w:fill="auto"/>
            <w:noWrap/>
            <w:vAlign w:val="center"/>
          </w:tcPr>
          <w:p w14:paraId="7E4A8C1D">
            <w:pPr>
              <w:spacing w:line="360" w:lineRule="auto"/>
              <w:jc w:val="both"/>
              <w:rPr>
                <w:i/>
                <w:iCs/>
                <w:color w:val="000000"/>
                <w:sz w:val="20"/>
                <w:szCs w:val="20"/>
                <w:highlight w:val="none"/>
              </w:rPr>
            </w:pPr>
            <w:r>
              <w:rPr>
                <w:i/>
                <w:iCs/>
                <w:color w:val="000000"/>
                <w:sz w:val="20"/>
                <w:szCs w:val="20"/>
                <w:highlight w:val="none"/>
              </w:rPr>
              <w:t>Rxrγ</w:t>
            </w:r>
          </w:p>
        </w:tc>
        <w:tc>
          <w:tcPr>
            <w:tcW w:w="2268" w:type="dxa"/>
            <w:shd w:val="clear" w:color="auto" w:fill="auto"/>
            <w:noWrap/>
            <w:vAlign w:val="center"/>
          </w:tcPr>
          <w:p w14:paraId="0CEE3ABC">
            <w:pPr>
              <w:spacing w:line="360" w:lineRule="auto"/>
              <w:jc w:val="both"/>
              <w:rPr>
                <w:color w:val="000000"/>
                <w:sz w:val="20"/>
                <w:szCs w:val="20"/>
                <w:highlight w:val="none"/>
              </w:rPr>
            </w:pPr>
            <w:r>
              <w:rPr>
                <w:color w:val="000000"/>
                <w:sz w:val="20"/>
                <w:szCs w:val="20"/>
                <w:highlight w:val="none"/>
              </w:rPr>
              <w:t>CATCTACACCTGTCGGGATAACA</w:t>
            </w:r>
          </w:p>
        </w:tc>
        <w:tc>
          <w:tcPr>
            <w:tcW w:w="2268" w:type="dxa"/>
            <w:shd w:val="clear" w:color="auto" w:fill="auto"/>
            <w:noWrap/>
            <w:vAlign w:val="center"/>
          </w:tcPr>
          <w:p w14:paraId="2A4FFE10">
            <w:pPr>
              <w:spacing w:line="360" w:lineRule="auto"/>
              <w:jc w:val="both"/>
              <w:rPr>
                <w:color w:val="000000"/>
                <w:sz w:val="20"/>
                <w:szCs w:val="20"/>
                <w:highlight w:val="none"/>
              </w:rPr>
            </w:pPr>
            <w:r>
              <w:rPr>
                <w:color w:val="000000"/>
                <w:sz w:val="20"/>
                <w:szCs w:val="20"/>
                <w:highlight w:val="none"/>
              </w:rPr>
              <w:t>CATGTCTTCGTGGCTACTACTG</w:t>
            </w:r>
          </w:p>
        </w:tc>
        <w:tc>
          <w:tcPr>
            <w:tcW w:w="1701" w:type="dxa"/>
            <w:shd w:val="clear" w:color="auto" w:fill="auto"/>
            <w:vAlign w:val="center"/>
          </w:tcPr>
          <w:p w14:paraId="59D27564">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vAlign w:val="center"/>
          </w:tcPr>
          <w:p w14:paraId="79EE6566">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190</w:t>
            </w:r>
          </w:p>
        </w:tc>
      </w:tr>
      <w:tr w14:paraId="1585F053">
        <w:trPr>
          <w:trHeight w:val="516" w:hRule="atLeast"/>
        </w:trPr>
        <w:tc>
          <w:tcPr>
            <w:tcW w:w="1701" w:type="dxa"/>
            <w:shd w:val="clear" w:color="auto" w:fill="auto"/>
            <w:noWrap/>
            <w:vAlign w:val="center"/>
          </w:tcPr>
          <w:p w14:paraId="40A953DD">
            <w:pPr>
              <w:spacing w:line="360" w:lineRule="auto"/>
              <w:jc w:val="both"/>
              <w:rPr>
                <w:i/>
                <w:iCs/>
                <w:color w:val="000000"/>
                <w:sz w:val="20"/>
                <w:szCs w:val="20"/>
                <w:highlight w:val="none"/>
              </w:rPr>
            </w:pPr>
            <w:r>
              <w:rPr>
                <w:i/>
                <w:iCs/>
                <w:color w:val="000000"/>
                <w:sz w:val="20"/>
                <w:szCs w:val="20"/>
                <w:highlight w:val="none"/>
              </w:rPr>
              <w:t>Cyp26a1</w:t>
            </w:r>
          </w:p>
        </w:tc>
        <w:tc>
          <w:tcPr>
            <w:tcW w:w="2268" w:type="dxa"/>
            <w:shd w:val="clear" w:color="auto" w:fill="auto"/>
            <w:noWrap/>
            <w:vAlign w:val="center"/>
          </w:tcPr>
          <w:p w14:paraId="3B030DF7">
            <w:pPr>
              <w:spacing w:line="360" w:lineRule="auto"/>
              <w:jc w:val="both"/>
              <w:rPr>
                <w:color w:val="000000"/>
                <w:sz w:val="20"/>
                <w:szCs w:val="20"/>
                <w:highlight w:val="none"/>
              </w:rPr>
            </w:pPr>
            <w:r>
              <w:rPr>
                <w:color w:val="000000"/>
                <w:sz w:val="20"/>
                <w:szCs w:val="20"/>
                <w:highlight w:val="none"/>
              </w:rPr>
              <w:t>ACAAGACGCATCTGTTTGGG</w:t>
            </w:r>
          </w:p>
        </w:tc>
        <w:tc>
          <w:tcPr>
            <w:tcW w:w="2268" w:type="dxa"/>
            <w:shd w:val="clear" w:color="auto" w:fill="auto"/>
            <w:noWrap/>
            <w:vAlign w:val="center"/>
          </w:tcPr>
          <w:p w14:paraId="7F3B9DE9">
            <w:pPr>
              <w:spacing w:line="360" w:lineRule="auto"/>
              <w:jc w:val="both"/>
              <w:rPr>
                <w:color w:val="000000"/>
                <w:sz w:val="20"/>
                <w:szCs w:val="20"/>
                <w:highlight w:val="none"/>
              </w:rPr>
            </w:pPr>
            <w:r>
              <w:rPr>
                <w:color w:val="000000"/>
                <w:sz w:val="20"/>
                <w:szCs w:val="20"/>
                <w:highlight w:val="none"/>
              </w:rPr>
              <w:t>TGCATAATCACCTTCTTTCGCTG</w:t>
            </w:r>
          </w:p>
        </w:tc>
        <w:tc>
          <w:tcPr>
            <w:tcW w:w="1701" w:type="dxa"/>
            <w:shd w:val="clear" w:color="auto" w:fill="auto"/>
            <w:vAlign w:val="center"/>
          </w:tcPr>
          <w:p w14:paraId="2D25E40A">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vAlign w:val="center"/>
          </w:tcPr>
          <w:p w14:paraId="21AA18CB">
            <w:pPr>
              <w:spacing w:line="360" w:lineRule="auto"/>
              <w:jc w:val="center"/>
              <w:rPr>
                <w:color w:val="000000"/>
                <w:sz w:val="20"/>
                <w:szCs w:val="20"/>
                <w:highlight w:val="none"/>
              </w:rPr>
            </w:pPr>
            <w:r>
              <w:rPr>
                <w:rFonts w:hint="eastAsia" w:eastAsia="宋体"/>
                <w:color w:val="000000"/>
                <w:sz w:val="20"/>
                <w:szCs w:val="20"/>
                <w:highlight w:val="none"/>
                <w:lang w:val="en-US" w:eastAsia="zh-CN"/>
              </w:rPr>
              <w:t>190</w:t>
            </w:r>
          </w:p>
        </w:tc>
      </w:tr>
      <w:tr w14:paraId="5187D08E">
        <w:trPr>
          <w:trHeight w:val="516" w:hRule="atLeast"/>
        </w:trPr>
        <w:tc>
          <w:tcPr>
            <w:tcW w:w="1701" w:type="dxa"/>
            <w:shd w:val="clear" w:color="auto" w:fill="auto"/>
            <w:noWrap/>
            <w:vAlign w:val="center"/>
          </w:tcPr>
          <w:p w14:paraId="4E616C0E">
            <w:pPr>
              <w:spacing w:line="360" w:lineRule="auto"/>
              <w:jc w:val="both"/>
              <w:rPr>
                <w:i/>
                <w:iCs/>
                <w:color w:val="000000"/>
                <w:sz w:val="20"/>
                <w:szCs w:val="20"/>
                <w:highlight w:val="none"/>
              </w:rPr>
            </w:pPr>
            <w:r>
              <w:rPr>
                <w:i/>
                <w:iCs/>
                <w:color w:val="000000"/>
                <w:sz w:val="20"/>
                <w:szCs w:val="20"/>
                <w:highlight w:val="none"/>
              </w:rPr>
              <w:t>Cyp26b1</w:t>
            </w:r>
          </w:p>
        </w:tc>
        <w:tc>
          <w:tcPr>
            <w:tcW w:w="2268" w:type="dxa"/>
            <w:shd w:val="clear" w:color="auto" w:fill="auto"/>
            <w:noWrap/>
            <w:vAlign w:val="center"/>
          </w:tcPr>
          <w:p w14:paraId="0A7B2F01">
            <w:pPr>
              <w:spacing w:line="360" w:lineRule="auto"/>
              <w:jc w:val="both"/>
              <w:rPr>
                <w:color w:val="000000"/>
                <w:sz w:val="20"/>
                <w:szCs w:val="20"/>
                <w:highlight w:val="none"/>
              </w:rPr>
            </w:pPr>
            <w:r>
              <w:rPr>
                <w:color w:val="000000"/>
                <w:sz w:val="20"/>
                <w:szCs w:val="20"/>
                <w:highlight w:val="none"/>
              </w:rPr>
              <w:t>TCATCGGAGAGACTGGTCACT</w:t>
            </w:r>
          </w:p>
        </w:tc>
        <w:tc>
          <w:tcPr>
            <w:tcW w:w="2268" w:type="dxa"/>
            <w:shd w:val="clear" w:color="auto" w:fill="auto"/>
            <w:noWrap/>
            <w:vAlign w:val="center"/>
          </w:tcPr>
          <w:p w14:paraId="32C6EBA4">
            <w:pPr>
              <w:spacing w:line="360" w:lineRule="auto"/>
              <w:jc w:val="both"/>
              <w:rPr>
                <w:color w:val="000000"/>
                <w:sz w:val="20"/>
                <w:szCs w:val="20"/>
                <w:highlight w:val="none"/>
              </w:rPr>
            </w:pPr>
            <w:r>
              <w:rPr>
                <w:color w:val="000000"/>
                <w:sz w:val="20"/>
                <w:szCs w:val="20"/>
                <w:highlight w:val="none"/>
              </w:rPr>
              <w:t>GGTGCTCACTAGCTGGTGTTC</w:t>
            </w:r>
          </w:p>
        </w:tc>
        <w:tc>
          <w:tcPr>
            <w:tcW w:w="1701" w:type="dxa"/>
            <w:shd w:val="clear" w:color="auto" w:fill="auto"/>
            <w:vAlign w:val="center"/>
          </w:tcPr>
          <w:p w14:paraId="144AC7D9">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vAlign w:val="center"/>
          </w:tcPr>
          <w:p w14:paraId="13E19E6F">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173</w:t>
            </w:r>
          </w:p>
        </w:tc>
      </w:tr>
      <w:tr w14:paraId="07C7C139">
        <w:trPr>
          <w:trHeight w:val="516" w:hRule="atLeast"/>
        </w:trPr>
        <w:tc>
          <w:tcPr>
            <w:tcW w:w="1701" w:type="dxa"/>
            <w:shd w:val="clear" w:color="auto" w:fill="auto"/>
            <w:noWrap/>
            <w:vAlign w:val="center"/>
          </w:tcPr>
          <w:p w14:paraId="6258B552">
            <w:pPr>
              <w:spacing w:line="360" w:lineRule="auto"/>
              <w:jc w:val="both"/>
              <w:rPr>
                <w:i/>
                <w:iCs/>
                <w:color w:val="000000"/>
                <w:sz w:val="20"/>
                <w:szCs w:val="20"/>
                <w:highlight w:val="none"/>
              </w:rPr>
            </w:pPr>
            <w:r>
              <w:rPr>
                <w:i/>
                <w:iCs/>
                <w:color w:val="000000"/>
                <w:sz w:val="20"/>
                <w:szCs w:val="20"/>
                <w:highlight w:val="none"/>
              </w:rPr>
              <w:t>Cyp26c1</w:t>
            </w:r>
          </w:p>
        </w:tc>
        <w:tc>
          <w:tcPr>
            <w:tcW w:w="2268" w:type="dxa"/>
            <w:shd w:val="clear" w:color="auto" w:fill="auto"/>
            <w:noWrap/>
            <w:vAlign w:val="center"/>
          </w:tcPr>
          <w:p w14:paraId="0030ED8C">
            <w:pPr>
              <w:spacing w:line="360" w:lineRule="auto"/>
              <w:jc w:val="both"/>
              <w:rPr>
                <w:color w:val="000000"/>
                <w:sz w:val="20"/>
                <w:szCs w:val="20"/>
                <w:highlight w:val="none"/>
              </w:rPr>
            </w:pPr>
            <w:r>
              <w:rPr>
                <w:color w:val="000000"/>
                <w:sz w:val="20"/>
                <w:szCs w:val="20"/>
                <w:highlight w:val="none"/>
              </w:rPr>
              <w:t>GCTACGGGACAGTGTTTAAGAC</w:t>
            </w:r>
          </w:p>
        </w:tc>
        <w:tc>
          <w:tcPr>
            <w:tcW w:w="2268" w:type="dxa"/>
            <w:shd w:val="clear" w:color="auto" w:fill="auto"/>
            <w:noWrap/>
            <w:vAlign w:val="center"/>
          </w:tcPr>
          <w:p w14:paraId="7015D6C5">
            <w:pPr>
              <w:spacing w:line="360" w:lineRule="auto"/>
              <w:jc w:val="both"/>
              <w:rPr>
                <w:color w:val="000000"/>
                <w:sz w:val="20"/>
                <w:szCs w:val="20"/>
                <w:highlight w:val="none"/>
              </w:rPr>
            </w:pPr>
            <w:r>
              <w:rPr>
                <w:color w:val="000000"/>
                <w:sz w:val="20"/>
                <w:szCs w:val="20"/>
                <w:highlight w:val="none"/>
              </w:rPr>
              <w:t>GCGCCAAGTAGTGTGTGTGA</w:t>
            </w:r>
          </w:p>
        </w:tc>
        <w:tc>
          <w:tcPr>
            <w:tcW w:w="1701" w:type="dxa"/>
            <w:shd w:val="clear" w:color="auto" w:fill="auto"/>
            <w:vAlign w:val="center"/>
          </w:tcPr>
          <w:p w14:paraId="10DD2547">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vAlign w:val="center"/>
          </w:tcPr>
          <w:p w14:paraId="0EEBD143">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163</w:t>
            </w:r>
          </w:p>
        </w:tc>
      </w:tr>
      <w:tr w14:paraId="34F3B495">
        <w:trPr>
          <w:trHeight w:val="516" w:hRule="atLeast"/>
        </w:trPr>
        <w:tc>
          <w:tcPr>
            <w:tcW w:w="1701" w:type="dxa"/>
            <w:shd w:val="clear" w:color="auto" w:fill="auto"/>
            <w:noWrap/>
            <w:vAlign w:val="center"/>
          </w:tcPr>
          <w:p w14:paraId="154C5EEF">
            <w:pPr>
              <w:spacing w:line="360" w:lineRule="auto"/>
              <w:jc w:val="both"/>
              <w:rPr>
                <w:i/>
                <w:iCs/>
                <w:color w:val="000000"/>
                <w:sz w:val="20"/>
                <w:szCs w:val="20"/>
                <w:highlight w:val="none"/>
              </w:rPr>
            </w:pPr>
            <w:r>
              <w:rPr>
                <w:i/>
                <w:iCs/>
                <w:color w:val="000000"/>
                <w:sz w:val="20"/>
                <w:szCs w:val="20"/>
                <w:highlight w:val="none"/>
              </w:rPr>
              <w:t>Gdf9</w:t>
            </w:r>
          </w:p>
        </w:tc>
        <w:tc>
          <w:tcPr>
            <w:tcW w:w="2268" w:type="dxa"/>
            <w:shd w:val="clear" w:color="auto" w:fill="auto"/>
            <w:noWrap/>
            <w:vAlign w:val="center"/>
          </w:tcPr>
          <w:p w14:paraId="2DE2A548">
            <w:pPr>
              <w:spacing w:line="360" w:lineRule="auto"/>
              <w:jc w:val="both"/>
              <w:rPr>
                <w:color w:val="000000"/>
                <w:sz w:val="20"/>
                <w:szCs w:val="20"/>
                <w:highlight w:val="none"/>
              </w:rPr>
            </w:pPr>
            <w:r>
              <w:rPr>
                <w:color w:val="000000"/>
                <w:sz w:val="20"/>
                <w:szCs w:val="20"/>
                <w:highlight w:val="none"/>
              </w:rPr>
              <w:t>TCTTAGTAGCCTTAGCTCTCAGG</w:t>
            </w:r>
          </w:p>
        </w:tc>
        <w:tc>
          <w:tcPr>
            <w:tcW w:w="2268" w:type="dxa"/>
            <w:shd w:val="clear" w:color="auto" w:fill="auto"/>
            <w:noWrap/>
            <w:vAlign w:val="center"/>
          </w:tcPr>
          <w:p w14:paraId="6AEB864F">
            <w:pPr>
              <w:spacing w:line="360" w:lineRule="auto"/>
              <w:jc w:val="both"/>
              <w:rPr>
                <w:color w:val="000000"/>
                <w:sz w:val="20"/>
                <w:szCs w:val="20"/>
                <w:highlight w:val="none"/>
              </w:rPr>
            </w:pPr>
            <w:r>
              <w:rPr>
                <w:color w:val="000000"/>
                <w:sz w:val="20"/>
                <w:szCs w:val="20"/>
                <w:highlight w:val="none"/>
              </w:rPr>
              <w:t>TGTCAGTCCCATCTACAGGCA</w:t>
            </w:r>
          </w:p>
        </w:tc>
        <w:tc>
          <w:tcPr>
            <w:tcW w:w="1701" w:type="dxa"/>
            <w:shd w:val="clear" w:color="auto" w:fill="auto"/>
            <w:vAlign w:val="center"/>
          </w:tcPr>
          <w:p w14:paraId="688C65A7">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vAlign w:val="center"/>
          </w:tcPr>
          <w:p w14:paraId="6D24B9AB">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116</w:t>
            </w:r>
          </w:p>
        </w:tc>
      </w:tr>
      <w:tr w14:paraId="51BC398E">
        <w:trPr>
          <w:trHeight w:val="516" w:hRule="atLeast"/>
        </w:trPr>
        <w:tc>
          <w:tcPr>
            <w:tcW w:w="1701" w:type="dxa"/>
            <w:shd w:val="clear" w:color="auto" w:fill="auto"/>
            <w:noWrap/>
            <w:vAlign w:val="center"/>
          </w:tcPr>
          <w:p w14:paraId="04637B7E">
            <w:pPr>
              <w:spacing w:line="360" w:lineRule="auto"/>
              <w:jc w:val="both"/>
              <w:rPr>
                <w:i/>
                <w:iCs/>
                <w:color w:val="000000"/>
                <w:sz w:val="20"/>
                <w:szCs w:val="20"/>
                <w:highlight w:val="none"/>
              </w:rPr>
            </w:pPr>
            <w:r>
              <w:rPr>
                <w:i/>
                <w:iCs/>
                <w:color w:val="000000"/>
                <w:sz w:val="20"/>
                <w:szCs w:val="20"/>
                <w:highlight w:val="none"/>
              </w:rPr>
              <w:t>Zp3</w:t>
            </w:r>
          </w:p>
        </w:tc>
        <w:tc>
          <w:tcPr>
            <w:tcW w:w="2268" w:type="dxa"/>
            <w:shd w:val="clear" w:color="auto" w:fill="auto"/>
            <w:noWrap/>
            <w:vAlign w:val="center"/>
          </w:tcPr>
          <w:p w14:paraId="77854F8F">
            <w:pPr>
              <w:spacing w:line="360" w:lineRule="auto"/>
              <w:jc w:val="both"/>
              <w:rPr>
                <w:color w:val="000000"/>
                <w:sz w:val="20"/>
                <w:szCs w:val="20"/>
                <w:highlight w:val="none"/>
              </w:rPr>
            </w:pPr>
            <w:r>
              <w:rPr>
                <w:color w:val="000000"/>
                <w:sz w:val="20"/>
                <w:szCs w:val="20"/>
                <w:highlight w:val="none"/>
              </w:rPr>
              <w:t>CCTCAGGACTAACCGTGTGGA</w:t>
            </w:r>
          </w:p>
        </w:tc>
        <w:tc>
          <w:tcPr>
            <w:tcW w:w="2268" w:type="dxa"/>
            <w:shd w:val="clear" w:color="auto" w:fill="auto"/>
            <w:noWrap/>
            <w:vAlign w:val="center"/>
          </w:tcPr>
          <w:p w14:paraId="504A2965">
            <w:pPr>
              <w:spacing w:line="360" w:lineRule="auto"/>
              <w:jc w:val="both"/>
              <w:rPr>
                <w:color w:val="000000"/>
                <w:sz w:val="20"/>
                <w:szCs w:val="20"/>
                <w:highlight w:val="none"/>
              </w:rPr>
            </w:pPr>
            <w:r>
              <w:rPr>
                <w:color w:val="000000"/>
                <w:sz w:val="20"/>
                <w:szCs w:val="20"/>
                <w:highlight w:val="none"/>
              </w:rPr>
              <w:t>CCATCAGGCGAAGAGAGAAAG</w:t>
            </w:r>
          </w:p>
        </w:tc>
        <w:tc>
          <w:tcPr>
            <w:tcW w:w="1701" w:type="dxa"/>
            <w:shd w:val="clear" w:color="auto" w:fill="auto"/>
            <w:vAlign w:val="center"/>
          </w:tcPr>
          <w:p w14:paraId="4822D8B0">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vAlign w:val="center"/>
          </w:tcPr>
          <w:p w14:paraId="7BDFBF56">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149</w:t>
            </w:r>
          </w:p>
        </w:tc>
      </w:tr>
      <w:tr w14:paraId="2821B1B8">
        <w:trPr>
          <w:trHeight w:val="516" w:hRule="atLeast"/>
        </w:trPr>
        <w:tc>
          <w:tcPr>
            <w:tcW w:w="1701" w:type="dxa"/>
            <w:shd w:val="clear" w:color="auto" w:fill="auto"/>
            <w:noWrap/>
            <w:vAlign w:val="center"/>
          </w:tcPr>
          <w:p w14:paraId="3CF8EB68">
            <w:pPr>
              <w:spacing w:line="360" w:lineRule="auto"/>
              <w:jc w:val="both"/>
              <w:rPr>
                <w:i/>
                <w:iCs/>
                <w:color w:val="000000"/>
                <w:sz w:val="20"/>
                <w:szCs w:val="20"/>
                <w:highlight w:val="none"/>
              </w:rPr>
            </w:pPr>
            <w:r>
              <w:rPr>
                <w:i/>
                <w:iCs/>
                <w:color w:val="000000"/>
                <w:sz w:val="20"/>
                <w:szCs w:val="20"/>
                <w:highlight w:val="none"/>
              </w:rPr>
              <w:t>Pten</w:t>
            </w:r>
          </w:p>
        </w:tc>
        <w:tc>
          <w:tcPr>
            <w:tcW w:w="2268" w:type="dxa"/>
            <w:shd w:val="clear" w:color="auto" w:fill="auto"/>
            <w:noWrap/>
            <w:vAlign w:val="center"/>
          </w:tcPr>
          <w:p w14:paraId="346BC10F">
            <w:pPr>
              <w:spacing w:line="360" w:lineRule="auto"/>
              <w:jc w:val="both"/>
              <w:rPr>
                <w:color w:val="000000"/>
                <w:sz w:val="20"/>
                <w:szCs w:val="20"/>
                <w:highlight w:val="none"/>
              </w:rPr>
            </w:pPr>
            <w:r>
              <w:rPr>
                <w:color w:val="000000"/>
                <w:sz w:val="20"/>
                <w:szCs w:val="20"/>
                <w:highlight w:val="none"/>
              </w:rPr>
              <w:t>TGGATTCGACTTAGACTTGACCT</w:t>
            </w:r>
          </w:p>
        </w:tc>
        <w:tc>
          <w:tcPr>
            <w:tcW w:w="2268" w:type="dxa"/>
            <w:shd w:val="clear" w:color="auto" w:fill="auto"/>
            <w:noWrap/>
            <w:vAlign w:val="center"/>
          </w:tcPr>
          <w:p w14:paraId="24DA32D8">
            <w:pPr>
              <w:spacing w:line="360" w:lineRule="auto"/>
              <w:jc w:val="both"/>
              <w:rPr>
                <w:color w:val="000000"/>
                <w:sz w:val="20"/>
                <w:szCs w:val="20"/>
                <w:highlight w:val="none"/>
              </w:rPr>
            </w:pPr>
            <w:r>
              <w:rPr>
                <w:color w:val="000000"/>
                <w:sz w:val="20"/>
                <w:szCs w:val="20"/>
                <w:highlight w:val="none"/>
              </w:rPr>
              <w:t>GCGGTGTCATAATGTCTCTCAG</w:t>
            </w:r>
          </w:p>
        </w:tc>
        <w:tc>
          <w:tcPr>
            <w:tcW w:w="1701" w:type="dxa"/>
            <w:shd w:val="clear" w:color="auto" w:fill="auto"/>
            <w:vAlign w:val="center"/>
          </w:tcPr>
          <w:p w14:paraId="61DD4C80">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vAlign w:val="center"/>
          </w:tcPr>
          <w:p w14:paraId="01CCC802">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180</w:t>
            </w:r>
          </w:p>
        </w:tc>
      </w:tr>
      <w:tr w14:paraId="44F84F39">
        <w:trPr>
          <w:trHeight w:val="516" w:hRule="atLeast"/>
        </w:trPr>
        <w:tc>
          <w:tcPr>
            <w:tcW w:w="1701" w:type="dxa"/>
            <w:tcBorders>
              <w:bottom w:val="single" w:color="auto" w:sz="4" w:space="0"/>
            </w:tcBorders>
            <w:shd w:val="clear" w:color="auto" w:fill="auto"/>
            <w:noWrap/>
            <w:vAlign w:val="center"/>
          </w:tcPr>
          <w:p w14:paraId="2FABB424">
            <w:pPr>
              <w:spacing w:line="360" w:lineRule="auto"/>
              <w:jc w:val="both"/>
              <w:rPr>
                <w:i/>
                <w:iCs/>
                <w:color w:val="000000"/>
                <w:sz w:val="20"/>
                <w:szCs w:val="20"/>
                <w:highlight w:val="none"/>
              </w:rPr>
            </w:pPr>
            <w:r>
              <w:rPr>
                <w:i/>
                <w:iCs/>
                <w:color w:val="000000"/>
                <w:sz w:val="20"/>
                <w:szCs w:val="20"/>
                <w:highlight w:val="none"/>
              </w:rPr>
              <w:t>Rpl19</w:t>
            </w:r>
          </w:p>
        </w:tc>
        <w:tc>
          <w:tcPr>
            <w:tcW w:w="2268" w:type="dxa"/>
            <w:tcBorders>
              <w:bottom w:val="single" w:color="auto" w:sz="4" w:space="0"/>
            </w:tcBorders>
            <w:shd w:val="clear" w:color="auto" w:fill="auto"/>
            <w:noWrap/>
            <w:vAlign w:val="center"/>
          </w:tcPr>
          <w:p w14:paraId="692AA0D1">
            <w:pPr>
              <w:spacing w:line="360" w:lineRule="auto"/>
              <w:jc w:val="both"/>
              <w:rPr>
                <w:color w:val="000000"/>
                <w:sz w:val="20"/>
                <w:szCs w:val="20"/>
                <w:highlight w:val="none"/>
              </w:rPr>
            </w:pPr>
            <w:r>
              <w:rPr>
                <w:color w:val="000000"/>
                <w:sz w:val="20"/>
                <w:szCs w:val="20"/>
                <w:highlight w:val="none"/>
              </w:rPr>
              <w:t>CTGAAGGTCAAAGGGAATGTGTTC</w:t>
            </w:r>
          </w:p>
        </w:tc>
        <w:tc>
          <w:tcPr>
            <w:tcW w:w="2268" w:type="dxa"/>
            <w:tcBorders>
              <w:bottom w:val="single" w:color="auto" w:sz="4" w:space="0"/>
            </w:tcBorders>
            <w:shd w:val="clear" w:color="auto" w:fill="auto"/>
            <w:noWrap/>
            <w:vAlign w:val="center"/>
          </w:tcPr>
          <w:p w14:paraId="236866AB">
            <w:pPr>
              <w:spacing w:line="360" w:lineRule="auto"/>
              <w:jc w:val="both"/>
              <w:rPr>
                <w:color w:val="000000"/>
                <w:sz w:val="20"/>
                <w:szCs w:val="20"/>
                <w:highlight w:val="none"/>
              </w:rPr>
            </w:pPr>
            <w:r>
              <w:rPr>
                <w:color w:val="000000"/>
                <w:sz w:val="20"/>
                <w:szCs w:val="20"/>
                <w:highlight w:val="none"/>
              </w:rPr>
              <w:t>TGGTCAGCCAGGAGCTTCTTG</w:t>
            </w:r>
          </w:p>
        </w:tc>
        <w:tc>
          <w:tcPr>
            <w:tcW w:w="1701" w:type="dxa"/>
            <w:tcBorders>
              <w:bottom w:val="single" w:color="auto" w:sz="4" w:space="0"/>
            </w:tcBorders>
            <w:shd w:val="clear" w:color="auto" w:fill="auto"/>
            <w:vAlign w:val="center"/>
          </w:tcPr>
          <w:p w14:paraId="77376172">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tcBorders>
              <w:bottom w:val="single" w:color="auto" w:sz="4" w:space="0"/>
            </w:tcBorders>
            <w:vAlign w:val="center"/>
          </w:tcPr>
          <w:p w14:paraId="22A23C84">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101</w:t>
            </w:r>
          </w:p>
        </w:tc>
      </w:tr>
    </w:tbl>
    <w:p w14:paraId="05040B30">
      <w:pPr>
        <w:spacing w:line="480" w:lineRule="auto"/>
        <w:rPr>
          <w:b/>
          <w:bCs/>
          <w:kern w:val="32"/>
          <w:highlight w:val="none"/>
          <w:lang w:val="en-US" w:eastAsia="zh-CN"/>
        </w:rPr>
      </w:pPr>
      <w:r>
        <w:rPr>
          <w:highlight w:val="none"/>
        </w:rPr>
        <w:br w:type="page"/>
      </w:r>
    </w:p>
    <w:p w14:paraId="072DDCE0">
      <w:pPr>
        <w:pStyle w:val="88"/>
        <w:spacing w:before="0" w:after="0" w:line="480" w:lineRule="auto"/>
        <w:rPr>
          <w:highlight w:val="none"/>
          <w14:ligatures w14:val="standardContextual"/>
        </w:rPr>
      </w:pPr>
      <w:r>
        <w:rPr>
          <w:highlight w:val="none"/>
          <w14:ligatures w14:val="standardContextual"/>
        </w:rPr>
        <w:t>Table S3. Primers for qPCR (human)</w:t>
      </w:r>
    </w:p>
    <w:tbl>
      <w:tblPr>
        <w:tblStyle w:val="20"/>
        <w:tblW w:w="9639"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2268"/>
        <w:gridCol w:w="2268"/>
        <w:gridCol w:w="1701"/>
        <w:gridCol w:w="1701"/>
      </w:tblGrid>
      <w:tr w14:paraId="0CACAA5D">
        <w:trPr>
          <w:trHeight w:val="484" w:hRule="atLeast"/>
        </w:trPr>
        <w:tc>
          <w:tcPr>
            <w:tcW w:w="1701" w:type="dxa"/>
            <w:tcBorders>
              <w:top w:val="single" w:color="auto" w:sz="4" w:space="0"/>
              <w:left w:val="nil"/>
              <w:bottom w:val="single" w:color="auto" w:sz="4" w:space="0"/>
              <w:right w:val="nil"/>
            </w:tcBorders>
            <w:shd w:val="clear" w:color="auto" w:fill="auto"/>
            <w:noWrap/>
            <w:vAlign w:val="center"/>
          </w:tcPr>
          <w:p w14:paraId="057F25D7">
            <w:pPr>
              <w:spacing w:line="360" w:lineRule="auto"/>
              <w:jc w:val="center"/>
              <w:rPr>
                <w:rFonts w:ascii="Times New Roman Regular" w:hAnsi="Times New Roman Regular" w:cs="Times New Roman Regular"/>
                <w:b/>
                <w:bCs/>
                <w:color w:val="000000"/>
                <w:sz w:val="20"/>
                <w:szCs w:val="20"/>
                <w:highlight w:val="none"/>
              </w:rPr>
            </w:pPr>
            <w:r>
              <w:rPr>
                <w:rFonts w:ascii="Times New Roman Regular" w:hAnsi="Times New Roman Regular" w:cs="Times New Roman Regular"/>
                <w:b/>
                <w:bCs/>
                <w:color w:val="000000"/>
                <w:sz w:val="20"/>
                <w:szCs w:val="20"/>
                <w:highlight w:val="none"/>
              </w:rPr>
              <w:t>Genes</w:t>
            </w:r>
          </w:p>
        </w:tc>
        <w:tc>
          <w:tcPr>
            <w:tcW w:w="2268" w:type="dxa"/>
            <w:tcBorders>
              <w:top w:val="single" w:color="auto" w:sz="4" w:space="0"/>
              <w:left w:val="nil"/>
              <w:bottom w:val="single" w:color="auto" w:sz="4" w:space="0"/>
              <w:right w:val="nil"/>
            </w:tcBorders>
            <w:shd w:val="clear" w:color="auto" w:fill="auto"/>
            <w:noWrap/>
            <w:vAlign w:val="center"/>
          </w:tcPr>
          <w:p w14:paraId="79DB5FE0">
            <w:pPr>
              <w:spacing w:line="360" w:lineRule="auto"/>
              <w:jc w:val="center"/>
              <w:rPr>
                <w:rFonts w:ascii="Times New Roman Regular" w:hAnsi="Times New Roman Regular" w:cs="Times New Roman Regular"/>
                <w:b/>
                <w:bCs/>
                <w:color w:val="000000"/>
                <w:sz w:val="20"/>
                <w:szCs w:val="20"/>
                <w:highlight w:val="none"/>
              </w:rPr>
            </w:pPr>
            <w:r>
              <w:rPr>
                <w:rFonts w:ascii="Times New Roman Regular" w:hAnsi="Times New Roman Regular" w:cs="Times New Roman Regular"/>
                <w:b/>
                <w:bCs/>
                <w:color w:val="000000"/>
                <w:sz w:val="20"/>
                <w:szCs w:val="20"/>
                <w:highlight w:val="none"/>
              </w:rPr>
              <w:t>Forward primer</w:t>
            </w:r>
          </w:p>
          <w:p w14:paraId="6FFA0C1C">
            <w:pPr>
              <w:spacing w:line="360" w:lineRule="auto"/>
              <w:jc w:val="center"/>
              <w:rPr>
                <w:rFonts w:ascii="Times New Roman Regular" w:hAnsi="Times New Roman Regular" w:cs="Times New Roman Regular"/>
                <w:b/>
                <w:bCs/>
                <w:color w:val="000000"/>
                <w:sz w:val="20"/>
                <w:szCs w:val="20"/>
                <w:highlight w:val="none"/>
              </w:rPr>
            </w:pPr>
            <w:r>
              <w:rPr>
                <w:rFonts w:ascii="Times New Roman Regular" w:hAnsi="Times New Roman Regular" w:cs="Times New Roman Regular"/>
                <w:b/>
                <w:bCs/>
                <w:color w:val="000000"/>
                <w:sz w:val="20"/>
                <w:szCs w:val="20"/>
                <w:highlight w:val="none"/>
              </w:rPr>
              <w:t>(5’-3’)</w:t>
            </w:r>
          </w:p>
        </w:tc>
        <w:tc>
          <w:tcPr>
            <w:tcW w:w="2268" w:type="dxa"/>
            <w:tcBorders>
              <w:top w:val="single" w:color="auto" w:sz="4" w:space="0"/>
              <w:left w:val="nil"/>
              <w:bottom w:val="single" w:color="auto" w:sz="4" w:space="0"/>
              <w:right w:val="nil"/>
            </w:tcBorders>
            <w:shd w:val="clear" w:color="auto" w:fill="auto"/>
            <w:noWrap/>
            <w:vAlign w:val="center"/>
          </w:tcPr>
          <w:p w14:paraId="66AF7233">
            <w:pPr>
              <w:spacing w:line="360" w:lineRule="auto"/>
              <w:jc w:val="center"/>
              <w:rPr>
                <w:rFonts w:ascii="Times New Roman Regular" w:hAnsi="Times New Roman Regular" w:cs="Times New Roman Regular"/>
                <w:b/>
                <w:bCs/>
                <w:color w:val="000000"/>
                <w:sz w:val="20"/>
                <w:szCs w:val="20"/>
                <w:highlight w:val="none"/>
              </w:rPr>
            </w:pPr>
            <w:r>
              <w:rPr>
                <w:rFonts w:ascii="Times New Roman Regular" w:hAnsi="Times New Roman Regular" w:cs="Times New Roman Regular"/>
                <w:b/>
                <w:bCs/>
                <w:color w:val="000000"/>
                <w:sz w:val="20"/>
                <w:szCs w:val="20"/>
                <w:highlight w:val="none"/>
              </w:rPr>
              <w:t>Reverse primer</w:t>
            </w:r>
          </w:p>
          <w:p w14:paraId="73BCFB3F">
            <w:pPr>
              <w:spacing w:line="360" w:lineRule="auto"/>
              <w:jc w:val="center"/>
              <w:rPr>
                <w:rFonts w:ascii="Times New Roman Regular" w:hAnsi="Times New Roman Regular" w:cs="Times New Roman Regular"/>
                <w:b/>
                <w:bCs/>
                <w:color w:val="000000"/>
                <w:sz w:val="20"/>
                <w:szCs w:val="20"/>
                <w:highlight w:val="none"/>
              </w:rPr>
            </w:pPr>
            <w:r>
              <w:rPr>
                <w:rFonts w:ascii="Times New Roman Regular" w:hAnsi="Times New Roman Regular" w:cs="Times New Roman Regular"/>
                <w:b/>
                <w:bCs/>
                <w:color w:val="000000"/>
                <w:sz w:val="20"/>
                <w:szCs w:val="20"/>
                <w:highlight w:val="none"/>
              </w:rPr>
              <w:t>(5’-3’)</w:t>
            </w:r>
          </w:p>
        </w:tc>
        <w:tc>
          <w:tcPr>
            <w:tcW w:w="1701" w:type="dxa"/>
            <w:tcBorders>
              <w:top w:val="single" w:color="auto" w:sz="4" w:space="0"/>
              <w:left w:val="nil"/>
              <w:bottom w:val="single" w:color="auto" w:sz="4" w:space="0"/>
              <w:right w:val="nil"/>
            </w:tcBorders>
            <w:shd w:val="clear" w:color="auto" w:fill="auto"/>
            <w:noWrap/>
            <w:vAlign w:val="center"/>
          </w:tcPr>
          <w:p w14:paraId="33FF8F3B">
            <w:pPr>
              <w:spacing w:line="360" w:lineRule="auto"/>
              <w:jc w:val="center"/>
              <w:rPr>
                <w:rFonts w:ascii="Times New Roman Regular" w:hAnsi="Times New Roman Regular" w:cs="Times New Roman Regular"/>
                <w:b/>
                <w:bCs/>
                <w:color w:val="000000"/>
                <w:sz w:val="20"/>
                <w:szCs w:val="20"/>
                <w:highlight w:val="none"/>
              </w:rPr>
            </w:pPr>
            <w:r>
              <w:rPr>
                <w:rFonts w:ascii="Times New Roman Regular" w:hAnsi="Times New Roman Regular" w:cs="Times New Roman Regular"/>
                <w:b/>
                <w:bCs/>
                <w:color w:val="000000"/>
                <w:sz w:val="20"/>
                <w:szCs w:val="20"/>
                <w:highlight w:val="none"/>
                <w:lang w:val="en-US" w:eastAsia="zh-CN"/>
              </w:rPr>
              <w:t>Annealing Temp (</w:t>
            </w:r>
            <w:r>
              <w:rPr>
                <w:rFonts w:ascii="Times New Roman Regular" w:hAnsi="Times New Roman Regular" w:eastAsia="宋体" w:cs="Times New Roman Regular"/>
                <w:sz w:val="20"/>
                <w:szCs w:val="20"/>
                <w:highlight w:val="none"/>
              </w:rPr>
              <w:t>°C</w:t>
            </w:r>
            <w:r>
              <w:rPr>
                <w:rFonts w:ascii="Times New Roman Regular" w:hAnsi="Times New Roman Regular" w:cs="Times New Roman Regular"/>
                <w:b/>
                <w:bCs/>
                <w:color w:val="000000"/>
                <w:sz w:val="20"/>
                <w:szCs w:val="20"/>
                <w:highlight w:val="none"/>
                <w:lang w:val="en-US" w:eastAsia="zh-CN"/>
              </w:rPr>
              <w:t>)</w:t>
            </w:r>
          </w:p>
        </w:tc>
        <w:tc>
          <w:tcPr>
            <w:tcW w:w="1701" w:type="dxa"/>
            <w:tcBorders>
              <w:top w:val="single" w:color="auto" w:sz="4" w:space="0"/>
              <w:left w:val="nil"/>
              <w:bottom w:val="single" w:color="auto" w:sz="4" w:space="0"/>
              <w:right w:val="nil"/>
            </w:tcBorders>
            <w:shd w:val="clear" w:color="auto" w:fill="auto"/>
            <w:noWrap/>
            <w:vAlign w:val="center"/>
          </w:tcPr>
          <w:p w14:paraId="6E26A146">
            <w:pPr>
              <w:spacing w:line="360" w:lineRule="auto"/>
              <w:jc w:val="center"/>
              <w:rPr>
                <w:rFonts w:ascii="Times New Roman Regular" w:hAnsi="Times New Roman Regular" w:cs="Times New Roman Regular"/>
                <w:b/>
                <w:bCs/>
                <w:color w:val="000000"/>
                <w:sz w:val="20"/>
                <w:szCs w:val="20"/>
                <w:highlight w:val="none"/>
              </w:rPr>
            </w:pPr>
            <w:r>
              <w:rPr>
                <w:rFonts w:ascii="Times New Roman Regular" w:hAnsi="Times New Roman Regular" w:cs="Times New Roman Regular"/>
                <w:b/>
                <w:bCs/>
                <w:color w:val="000000"/>
                <w:sz w:val="20"/>
                <w:szCs w:val="20"/>
                <w:highlight w:val="none"/>
              </w:rPr>
              <w:t>Product Size</w:t>
            </w:r>
          </w:p>
          <w:p w14:paraId="5B05E846">
            <w:pPr>
              <w:spacing w:line="360" w:lineRule="auto"/>
              <w:jc w:val="center"/>
              <w:rPr>
                <w:rFonts w:ascii="Times New Roman Regular" w:hAnsi="Times New Roman Regular" w:cs="Times New Roman Regular"/>
                <w:b/>
                <w:bCs/>
                <w:color w:val="000000"/>
                <w:sz w:val="20"/>
                <w:szCs w:val="20"/>
                <w:highlight w:val="none"/>
              </w:rPr>
            </w:pPr>
            <w:r>
              <w:rPr>
                <w:rFonts w:ascii="Times New Roman Regular" w:hAnsi="Times New Roman Regular" w:cs="Times New Roman Regular"/>
                <w:b/>
                <w:bCs/>
                <w:color w:val="000000"/>
                <w:sz w:val="20"/>
                <w:szCs w:val="20"/>
                <w:highlight w:val="none"/>
              </w:rPr>
              <w:t>(bp)</w:t>
            </w:r>
          </w:p>
        </w:tc>
      </w:tr>
      <w:tr w14:paraId="0CEEBCD9">
        <w:trPr>
          <w:trHeight w:val="484" w:hRule="atLeast"/>
        </w:trPr>
        <w:tc>
          <w:tcPr>
            <w:tcW w:w="1701" w:type="dxa"/>
            <w:tcBorders>
              <w:top w:val="single" w:color="auto" w:sz="4" w:space="0"/>
              <w:left w:val="nil"/>
              <w:bottom w:val="nil"/>
              <w:right w:val="nil"/>
            </w:tcBorders>
            <w:shd w:val="clear" w:color="auto" w:fill="auto"/>
            <w:noWrap/>
            <w:vAlign w:val="center"/>
          </w:tcPr>
          <w:p w14:paraId="57105899">
            <w:pPr>
              <w:spacing w:line="360" w:lineRule="auto"/>
              <w:rPr>
                <w:i/>
                <w:iCs/>
                <w:color w:val="000000"/>
                <w:sz w:val="20"/>
                <w:szCs w:val="20"/>
                <w:highlight w:val="none"/>
              </w:rPr>
            </w:pPr>
            <w:r>
              <w:rPr>
                <w:i/>
                <w:iCs/>
                <w:color w:val="000000"/>
                <w:sz w:val="20"/>
                <w:szCs w:val="20"/>
                <w:highlight w:val="none"/>
              </w:rPr>
              <w:t>RALDH1</w:t>
            </w:r>
          </w:p>
        </w:tc>
        <w:tc>
          <w:tcPr>
            <w:tcW w:w="2268" w:type="dxa"/>
            <w:tcBorders>
              <w:top w:val="single" w:color="auto" w:sz="4" w:space="0"/>
              <w:left w:val="nil"/>
              <w:bottom w:val="nil"/>
              <w:right w:val="nil"/>
            </w:tcBorders>
            <w:shd w:val="clear" w:color="auto" w:fill="auto"/>
            <w:noWrap/>
            <w:vAlign w:val="center"/>
          </w:tcPr>
          <w:p w14:paraId="2923C2DF">
            <w:pPr>
              <w:spacing w:line="360" w:lineRule="auto"/>
              <w:rPr>
                <w:color w:val="000000"/>
                <w:sz w:val="20"/>
                <w:szCs w:val="20"/>
                <w:highlight w:val="none"/>
              </w:rPr>
            </w:pPr>
            <w:r>
              <w:rPr>
                <w:color w:val="000000"/>
                <w:sz w:val="20"/>
                <w:szCs w:val="20"/>
                <w:highlight w:val="none"/>
              </w:rPr>
              <w:t>GCACGCCAGACTTACCTGTC</w:t>
            </w:r>
          </w:p>
        </w:tc>
        <w:tc>
          <w:tcPr>
            <w:tcW w:w="2268" w:type="dxa"/>
            <w:tcBorders>
              <w:top w:val="single" w:color="auto" w:sz="4" w:space="0"/>
              <w:left w:val="nil"/>
              <w:bottom w:val="nil"/>
              <w:right w:val="nil"/>
            </w:tcBorders>
            <w:shd w:val="clear" w:color="auto" w:fill="auto"/>
            <w:noWrap/>
            <w:vAlign w:val="center"/>
          </w:tcPr>
          <w:p w14:paraId="5BF79DF5">
            <w:pPr>
              <w:spacing w:line="360" w:lineRule="auto"/>
              <w:rPr>
                <w:color w:val="000000"/>
                <w:sz w:val="20"/>
                <w:szCs w:val="20"/>
                <w:highlight w:val="none"/>
              </w:rPr>
            </w:pPr>
            <w:r>
              <w:rPr>
                <w:color w:val="000000"/>
                <w:sz w:val="20"/>
                <w:szCs w:val="20"/>
                <w:highlight w:val="none"/>
              </w:rPr>
              <w:t>CCTCCTCAGTTGCAGGATTAAAG</w:t>
            </w:r>
          </w:p>
        </w:tc>
        <w:tc>
          <w:tcPr>
            <w:tcW w:w="1701" w:type="dxa"/>
            <w:tcBorders>
              <w:top w:val="single" w:color="auto" w:sz="4" w:space="0"/>
              <w:left w:val="nil"/>
              <w:bottom w:val="nil"/>
              <w:right w:val="nil"/>
            </w:tcBorders>
            <w:shd w:val="clear" w:color="auto" w:fill="auto"/>
            <w:noWrap/>
            <w:vAlign w:val="center"/>
          </w:tcPr>
          <w:p w14:paraId="45739BA4">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tcBorders>
              <w:top w:val="single" w:color="auto" w:sz="4" w:space="0"/>
              <w:left w:val="nil"/>
              <w:bottom w:val="nil"/>
              <w:right w:val="nil"/>
            </w:tcBorders>
            <w:shd w:val="clear" w:color="auto" w:fill="auto"/>
            <w:noWrap/>
            <w:vAlign w:val="center"/>
          </w:tcPr>
          <w:p w14:paraId="7F26C209">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129</w:t>
            </w:r>
          </w:p>
        </w:tc>
      </w:tr>
      <w:tr w14:paraId="5AC09365">
        <w:trPr>
          <w:trHeight w:val="484" w:hRule="atLeast"/>
        </w:trPr>
        <w:tc>
          <w:tcPr>
            <w:tcW w:w="1701" w:type="dxa"/>
            <w:tcBorders>
              <w:top w:val="nil"/>
              <w:left w:val="nil"/>
              <w:bottom w:val="nil"/>
              <w:right w:val="nil"/>
            </w:tcBorders>
            <w:shd w:val="clear" w:color="auto" w:fill="auto"/>
            <w:noWrap/>
            <w:vAlign w:val="center"/>
          </w:tcPr>
          <w:p w14:paraId="3DCF81C3">
            <w:pPr>
              <w:spacing w:line="360" w:lineRule="auto"/>
              <w:rPr>
                <w:i/>
                <w:iCs/>
                <w:color w:val="000000"/>
                <w:sz w:val="20"/>
                <w:szCs w:val="20"/>
                <w:highlight w:val="none"/>
              </w:rPr>
            </w:pPr>
            <w:r>
              <w:rPr>
                <w:i/>
                <w:iCs/>
                <w:color w:val="000000"/>
                <w:sz w:val="20"/>
                <w:szCs w:val="20"/>
                <w:highlight w:val="none"/>
              </w:rPr>
              <w:t>RALDH2</w:t>
            </w:r>
          </w:p>
        </w:tc>
        <w:tc>
          <w:tcPr>
            <w:tcW w:w="2268" w:type="dxa"/>
            <w:tcBorders>
              <w:top w:val="nil"/>
              <w:left w:val="nil"/>
              <w:bottom w:val="nil"/>
              <w:right w:val="nil"/>
            </w:tcBorders>
            <w:shd w:val="clear" w:color="auto" w:fill="auto"/>
            <w:noWrap/>
            <w:vAlign w:val="center"/>
          </w:tcPr>
          <w:p w14:paraId="5CB1E0C4">
            <w:pPr>
              <w:spacing w:line="360" w:lineRule="auto"/>
              <w:rPr>
                <w:color w:val="000000"/>
                <w:sz w:val="20"/>
                <w:szCs w:val="20"/>
                <w:highlight w:val="none"/>
              </w:rPr>
            </w:pPr>
            <w:r>
              <w:rPr>
                <w:color w:val="000000"/>
                <w:sz w:val="20"/>
                <w:szCs w:val="20"/>
                <w:highlight w:val="none"/>
              </w:rPr>
              <w:t>TTGCAGGGCGTCATCAAAAC</w:t>
            </w:r>
          </w:p>
        </w:tc>
        <w:tc>
          <w:tcPr>
            <w:tcW w:w="2268" w:type="dxa"/>
            <w:tcBorders>
              <w:top w:val="nil"/>
              <w:left w:val="nil"/>
              <w:bottom w:val="nil"/>
              <w:right w:val="nil"/>
            </w:tcBorders>
            <w:shd w:val="clear" w:color="auto" w:fill="auto"/>
            <w:noWrap/>
            <w:vAlign w:val="center"/>
          </w:tcPr>
          <w:p w14:paraId="2F08B19F">
            <w:pPr>
              <w:spacing w:line="360" w:lineRule="auto"/>
              <w:rPr>
                <w:color w:val="000000"/>
                <w:sz w:val="20"/>
                <w:szCs w:val="20"/>
                <w:highlight w:val="none"/>
              </w:rPr>
            </w:pPr>
            <w:r>
              <w:rPr>
                <w:color w:val="000000"/>
                <w:sz w:val="20"/>
                <w:szCs w:val="20"/>
                <w:highlight w:val="none"/>
              </w:rPr>
              <w:t>ACACTCCAATGGGTTCATGTC</w:t>
            </w:r>
          </w:p>
        </w:tc>
        <w:tc>
          <w:tcPr>
            <w:tcW w:w="1701" w:type="dxa"/>
            <w:tcBorders>
              <w:top w:val="nil"/>
              <w:left w:val="nil"/>
              <w:bottom w:val="nil"/>
              <w:right w:val="nil"/>
            </w:tcBorders>
            <w:shd w:val="clear" w:color="auto" w:fill="auto"/>
            <w:noWrap/>
            <w:vAlign w:val="center"/>
          </w:tcPr>
          <w:p w14:paraId="7B92E23F">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tcBorders>
              <w:top w:val="nil"/>
              <w:left w:val="nil"/>
              <w:bottom w:val="nil"/>
              <w:right w:val="nil"/>
            </w:tcBorders>
            <w:shd w:val="clear" w:color="auto" w:fill="auto"/>
            <w:noWrap/>
            <w:vAlign w:val="center"/>
          </w:tcPr>
          <w:p w14:paraId="4CFE81A6">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121</w:t>
            </w:r>
          </w:p>
        </w:tc>
      </w:tr>
      <w:tr w14:paraId="7B9B5322">
        <w:trPr>
          <w:trHeight w:val="484" w:hRule="atLeast"/>
        </w:trPr>
        <w:tc>
          <w:tcPr>
            <w:tcW w:w="1701" w:type="dxa"/>
            <w:tcBorders>
              <w:top w:val="nil"/>
              <w:left w:val="nil"/>
              <w:bottom w:val="nil"/>
              <w:right w:val="nil"/>
            </w:tcBorders>
            <w:shd w:val="clear" w:color="auto" w:fill="auto"/>
            <w:noWrap/>
            <w:vAlign w:val="center"/>
          </w:tcPr>
          <w:p w14:paraId="28E37E95">
            <w:pPr>
              <w:spacing w:line="360" w:lineRule="auto"/>
              <w:rPr>
                <w:i/>
                <w:iCs/>
                <w:color w:val="000000"/>
                <w:sz w:val="20"/>
                <w:szCs w:val="20"/>
                <w:highlight w:val="none"/>
              </w:rPr>
            </w:pPr>
            <w:r>
              <w:rPr>
                <w:i/>
                <w:iCs/>
                <w:color w:val="000000"/>
                <w:sz w:val="20"/>
                <w:szCs w:val="20"/>
                <w:highlight w:val="none"/>
              </w:rPr>
              <w:t>RALDH3</w:t>
            </w:r>
          </w:p>
        </w:tc>
        <w:tc>
          <w:tcPr>
            <w:tcW w:w="2268" w:type="dxa"/>
            <w:tcBorders>
              <w:top w:val="nil"/>
              <w:left w:val="nil"/>
              <w:bottom w:val="nil"/>
              <w:right w:val="nil"/>
            </w:tcBorders>
            <w:shd w:val="clear" w:color="auto" w:fill="auto"/>
            <w:noWrap/>
            <w:vAlign w:val="center"/>
          </w:tcPr>
          <w:p w14:paraId="3A7BDB64">
            <w:pPr>
              <w:spacing w:line="360" w:lineRule="auto"/>
              <w:rPr>
                <w:color w:val="000000"/>
                <w:sz w:val="20"/>
                <w:szCs w:val="20"/>
                <w:highlight w:val="none"/>
              </w:rPr>
            </w:pPr>
            <w:r>
              <w:rPr>
                <w:color w:val="000000"/>
                <w:sz w:val="20"/>
                <w:szCs w:val="20"/>
                <w:highlight w:val="none"/>
              </w:rPr>
              <w:t>TGAATGGCACGAATCCAAGAG</w:t>
            </w:r>
          </w:p>
        </w:tc>
        <w:tc>
          <w:tcPr>
            <w:tcW w:w="2268" w:type="dxa"/>
            <w:tcBorders>
              <w:top w:val="nil"/>
              <w:left w:val="nil"/>
              <w:bottom w:val="nil"/>
              <w:right w:val="nil"/>
            </w:tcBorders>
            <w:shd w:val="clear" w:color="auto" w:fill="auto"/>
            <w:noWrap/>
            <w:vAlign w:val="center"/>
          </w:tcPr>
          <w:p w14:paraId="3C9C6D2F">
            <w:pPr>
              <w:spacing w:line="360" w:lineRule="auto"/>
              <w:rPr>
                <w:color w:val="000000"/>
                <w:sz w:val="20"/>
                <w:szCs w:val="20"/>
                <w:highlight w:val="none"/>
              </w:rPr>
            </w:pPr>
            <w:r>
              <w:rPr>
                <w:color w:val="000000"/>
                <w:sz w:val="20"/>
                <w:szCs w:val="20"/>
                <w:highlight w:val="none"/>
              </w:rPr>
              <w:t>CACGTCGGGCTTATCTCCT</w:t>
            </w:r>
          </w:p>
        </w:tc>
        <w:tc>
          <w:tcPr>
            <w:tcW w:w="1701" w:type="dxa"/>
            <w:tcBorders>
              <w:top w:val="nil"/>
              <w:left w:val="nil"/>
              <w:bottom w:val="nil"/>
              <w:right w:val="nil"/>
            </w:tcBorders>
            <w:shd w:val="clear" w:color="auto" w:fill="auto"/>
            <w:noWrap/>
            <w:vAlign w:val="center"/>
          </w:tcPr>
          <w:p w14:paraId="58158674">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tcBorders>
              <w:top w:val="nil"/>
              <w:left w:val="nil"/>
              <w:bottom w:val="nil"/>
              <w:right w:val="nil"/>
            </w:tcBorders>
            <w:shd w:val="clear" w:color="auto" w:fill="auto"/>
            <w:noWrap/>
            <w:vAlign w:val="center"/>
          </w:tcPr>
          <w:p w14:paraId="4CD3FCF0">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100</w:t>
            </w:r>
          </w:p>
        </w:tc>
      </w:tr>
      <w:tr w14:paraId="78C94825">
        <w:trPr>
          <w:trHeight w:val="484" w:hRule="atLeast"/>
        </w:trPr>
        <w:tc>
          <w:tcPr>
            <w:tcW w:w="1701" w:type="dxa"/>
            <w:tcBorders>
              <w:top w:val="nil"/>
              <w:left w:val="nil"/>
              <w:bottom w:val="nil"/>
              <w:right w:val="nil"/>
            </w:tcBorders>
            <w:shd w:val="clear" w:color="auto" w:fill="auto"/>
            <w:noWrap/>
            <w:vAlign w:val="center"/>
          </w:tcPr>
          <w:p w14:paraId="10D1384A">
            <w:pPr>
              <w:spacing w:line="360" w:lineRule="auto"/>
              <w:rPr>
                <w:i/>
                <w:iCs/>
                <w:color w:val="000000"/>
                <w:sz w:val="20"/>
                <w:szCs w:val="20"/>
                <w:highlight w:val="none"/>
              </w:rPr>
            </w:pPr>
            <w:r>
              <w:rPr>
                <w:i/>
                <w:iCs/>
                <w:color w:val="000000"/>
                <w:sz w:val="20"/>
                <w:szCs w:val="20"/>
                <w:highlight w:val="none"/>
              </w:rPr>
              <w:t>RARα</w:t>
            </w:r>
          </w:p>
        </w:tc>
        <w:tc>
          <w:tcPr>
            <w:tcW w:w="2268" w:type="dxa"/>
            <w:tcBorders>
              <w:top w:val="nil"/>
              <w:left w:val="nil"/>
              <w:bottom w:val="nil"/>
              <w:right w:val="nil"/>
            </w:tcBorders>
            <w:shd w:val="clear" w:color="auto" w:fill="auto"/>
            <w:noWrap/>
            <w:vAlign w:val="center"/>
          </w:tcPr>
          <w:p w14:paraId="456928F4">
            <w:pPr>
              <w:spacing w:line="360" w:lineRule="auto"/>
              <w:rPr>
                <w:color w:val="000000"/>
                <w:sz w:val="20"/>
                <w:szCs w:val="20"/>
                <w:highlight w:val="none"/>
              </w:rPr>
            </w:pPr>
            <w:r>
              <w:rPr>
                <w:color w:val="000000"/>
                <w:sz w:val="20"/>
                <w:szCs w:val="20"/>
                <w:highlight w:val="none"/>
              </w:rPr>
              <w:t>AAGCCCGAGTGCTCTGAGA</w:t>
            </w:r>
          </w:p>
        </w:tc>
        <w:tc>
          <w:tcPr>
            <w:tcW w:w="2268" w:type="dxa"/>
            <w:tcBorders>
              <w:top w:val="nil"/>
              <w:left w:val="nil"/>
              <w:bottom w:val="nil"/>
              <w:right w:val="nil"/>
            </w:tcBorders>
            <w:shd w:val="clear" w:color="auto" w:fill="auto"/>
            <w:noWrap/>
            <w:vAlign w:val="center"/>
          </w:tcPr>
          <w:p w14:paraId="6E54E9B6">
            <w:pPr>
              <w:spacing w:line="360" w:lineRule="auto"/>
              <w:rPr>
                <w:color w:val="000000"/>
                <w:sz w:val="20"/>
                <w:szCs w:val="20"/>
                <w:highlight w:val="none"/>
              </w:rPr>
            </w:pPr>
            <w:r>
              <w:rPr>
                <w:color w:val="000000"/>
                <w:sz w:val="20"/>
                <w:szCs w:val="20"/>
                <w:highlight w:val="none"/>
              </w:rPr>
              <w:t>TTCGTAGTGTATTTGCCCAGC</w:t>
            </w:r>
          </w:p>
        </w:tc>
        <w:tc>
          <w:tcPr>
            <w:tcW w:w="1701" w:type="dxa"/>
            <w:tcBorders>
              <w:top w:val="nil"/>
              <w:left w:val="nil"/>
              <w:bottom w:val="nil"/>
              <w:right w:val="nil"/>
            </w:tcBorders>
            <w:shd w:val="clear" w:color="auto" w:fill="auto"/>
            <w:noWrap/>
            <w:vAlign w:val="center"/>
          </w:tcPr>
          <w:p w14:paraId="4A96D97C">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tcBorders>
              <w:top w:val="nil"/>
              <w:left w:val="nil"/>
              <w:bottom w:val="nil"/>
              <w:right w:val="nil"/>
            </w:tcBorders>
            <w:shd w:val="clear" w:color="auto" w:fill="auto"/>
            <w:noWrap/>
            <w:vAlign w:val="center"/>
          </w:tcPr>
          <w:p w14:paraId="18225951">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122</w:t>
            </w:r>
          </w:p>
        </w:tc>
      </w:tr>
      <w:tr w14:paraId="1656D368">
        <w:trPr>
          <w:trHeight w:val="484" w:hRule="atLeast"/>
        </w:trPr>
        <w:tc>
          <w:tcPr>
            <w:tcW w:w="1701" w:type="dxa"/>
            <w:tcBorders>
              <w:top w:val="nil"/>
              <w:left w:val="nil"/>
              <w:bottom w:val="nil"/>
              <w:right w:val="nil"/>
            </w:tcBorders>
            <w:shd w:val="clear" w:color="auto" w:fill="auto"/>
            <w:noWrap/>
            <w:vAlign w:val="center"/>
          </w:tcPr>
          <w:p w14:paraId="5CE1BDD5">
            <w:pPr>
              <w:spacing w:line="360" w:lineRule="auto"/>
              <w:rPr>
                <w:i/>
                <w:iCs/>
                <w:color w:val="000000"/>
                <w:sz w:val="20"/>
                <w:szCs w:val="20"/>
                <w:highlight w:val="none"/>
              </w:rPr>
            </w:pPr>
            <w:r>
              <w:rPr>
                <w:i/>
                <w:iCs/>
                <w:color w:val="000000"/>
                <w:sz w:val="20"/>
                <w:szCs w:val="20"/>
                <w:highlight w:val="none"/>
              </w:rPr>
              <w:t>RARβ</w:t>
            </w:r>
          </w:p>
        </w:tc>
        <w:tc>
          <w:tcPr>
            <w:tcW w:w="2268" w:type="dxa"/>
            <w:tcBorders>
              <w:top w:val="nil"/>
              <w:left w:val="nil"/>
              <w:bottom w:val="nil"/>
              <w:right w:val="nil"/>
            </w:tcBorders>
            <w:shd w:val="clear" w:color="auto" w:fill="auto"/>
            <w:noWrap/>
            <w:vAlign w:val="center"/>
          </w:tcPr>
          <w:p w14:paraId="5B3C8119">
            <w:pPr>
              <w:spacing w:line="360" w:lineRule="auto"/>
              <w:rPr>
                <w:color w:val="000000"/>
                <w:sz w:val="20"/>
                <w:szCs w:val="20"/>
                <w:highlight w:val="none"/>
              </w:rPr>
            </w:pPr>
            <w:r>
              <w:rPr>
                <w:color w:val="000000"/>
                <w:sz w:val="20"/>
                <w:szCs w:val="20"/>
                <w:highlight w:val="none"/>
              </w:rPr>
              <w:t>CCCCAGAACAAGACACCATGA</w:t>
            </w:r>
          </w:p>
        </w:tc>
        <w:tc>
          <w:tcPr>
            <w:tcW w:w="2268" w:type="dxa"/>
            <w:tcBorders>
              <w:top w:val="nil"/>
              <w:left w:val="nil"/>
              <w:bottom w:val="nil"/>
              <w:right w:val="nil"/>
            </w:tcBorders>
            <w:shd w:val="clear" w:color="auto" w:fill="auto"/>
            <w:noWrap/>
            <w:vAlign w:val="center"/>
          </w:tcPr>
          <w:p w14:paraId="3B318B6D">
            <w:pPr>
              <w:spacing w:line="360" w:lineRule="auto"/>
              <w:rPr>
                <w:color w:val="000000"/>
                <w:sz w:val="20"/>
                <w:szCs w:val="20"/>
                <w:highlight w:val="none"/>
              </w:rPr>
            </w:pPr>
            <w:r>
              <w:rPr>
                <w:color w:val="000000"/>
                <w:sz w:val="20"/>
                <w:szCs w:val="20"/>
                <w:highlight w:val="none"/>
              </w:rPr>
              <w:t>TTTTGTCGGTTCCTCAAGGTC</w:t>
            </w:r>
          </w:p>
        </w:tc>
        <w:tc>
          <w:tcPr>
            <w:tcW w:w="1701" w:type="dxa"/>
            <w:tcBorders>
              <w:top w:val="nil"/>
              <w:left w:val="nil"/>
              <w:bottom w:val="nil"/>
              <w:right w:val="nil"/>
            </w:tcBorders>
            <w:shd w:val="clear" w:color="auto" w:fill="auto"/>
            <w:noWrap/>
            <w:vAlign w:val="center"/>
          </w:tcPr>
          <w:p w14:paraId="76BEAB49">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tcBorders>
              <w:top w:val="nil"/>
              <w:left w:val="nil"/>
              <w:bottom w:val="nil"/>
              <w:right w:val="nil"/>
            </w:tcBorders>
            <w:shd w:val="clear" w:color="auto" w:fill="auto"/>
            <w:noWrap/>
            <w:vAlign w:val="center"/>
          </w:tcPr>
          <w:p w14:paraId="0BBE15CB">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209</w:t>
            </w:r>
          </w:p>
        </w:tc>
      </w:tr>
      <w:tr w14:paraId="34DA253A">
        <w:trPr>
          <w:trHeight w:val="484" w:hRule="atLeast"/>
        </w:trPr>
        <w:tc>
          <w:tcPr>
            <w:tcW w:w="1701" w:type="dxa"/>
            <w:tcBorders>
              <w:top w:val="nil"/>
              <w:left w:val="nil"/>
              <w:bottom w:val="nil"/>
              <w:right w:val="nil"/>
            </w:tcBorders>
            <w:shd w:val="clear" w:color="auto" w:fill="auto"/>
            <w:noWrap/>
            <w:vAlign w:val="center"/>
          </w:tcPr>
          <w:p w14:paraId="1BF8FB46">
            <w:pPr>
              <w:spacing w:line="360" w:lineRule="auto"/>
              <w:rPr>
                <w:i/>
                <w:iCs/>
                <w:color w:val="000000"/>
                <w:sz w:val="20"/>
                <w:szCs w:val="20"/>
                <w:highlight w:val="none"/>
              </w:rPr>
            </w:pPr>
            <w:r>
              <w:rPr>
                <w:i/>
                <w:iCs/>
                <w:color w:val="000000"/>
                <w:sz w:val="20"/>
                <w:szCs w:val="20"/>
                <w:highlight w:val="none"/>
              </w:rPr>
              <w:t>RARγ</w:t>
            </w:r>
          </w:p>
        </w:tc>
        <w:tc>
          <w:tcPr>
            <w:tcW w:w="2268" w:type="dxa"/>
            <w:tcBorders>
              <w:top w:val="nil"/>
              <w:left w:val="nil"/>
              <w:bottom w:val="nil"/>
              <w:right w:val="nil"/>
            </w:tcBorders>
            <w:shd w:val="clear" w:color="auto" w:fill="auto"/>
            <w:noWrap/>
            <w:vAlign w:val="center"/>
          </w:tcPr>
          <w:p w14:paraId="39CC72A3">
            <w:pPr>
              <w:spacing w:line="360" w:lineRule="auto"/>
              <w:rPr>
                <w:color w:val="000000"/>
                <w:sz w:val="20"/>
                <w:szCs w:val="20"/>
                <w:highlight w:val="none"/>
              </w:rPr>
            </w:pPr>
            <w:r>
              <w:rPr>
                <w:color w:val="000000"/>
                <w:sz w:val="20"/>
                <w:szCs w:val="20"/>
                <w:highlight w:val="none"/>
              </w:rPr>
              <w:t>TGTCACCGCGACAAAAACTGT</w:t>
            </w:r>
          </w:p>
        </w:tc>
        <w:tc>
          <w:tcPr>
            <w:tcW w:w="2268" w:type="dxa"/>
            <w:tcBorders>
              <w:top w:val="nil"/>
              <w:left w:val="nil"/>
              <w:bottom w:val="nil"/>
              <w:right w:val="nil"/>
            </w:tcBorders>
            <w:shd w:val="clear" w:color="auto" w:fill="auto"/>
            <w:noWrap/>
            <w:vAlign w:val="center"/>
          </w:tcPr>
          <w:p w14:paraId="7356B89E">
            <w:pPr>
              <w:spacing w:line="360" w:lineRule="auto"/>
              <w:rPr>
                <w:color w:val="000000"/>
                <w:sz w:val="20"/>
                <w:szCs w:val="20"/>
                <w:highlight w:val="none"/>
              </w:rPr>
            </w:pPr>
            <w:r>
              <w:rPr>
                <w:color w:val="000000"/>
                <w:sz w:val="20"/>
                <w:szCs w:val="20"/>
                <w:highlight w:val="none"/>
              </w:rPr>
              <w:t>CGAGGGGAAAGTCTCCTGA</w:t>
            </w:r>
          </w:p>
        </w:tc>
        <w:tc>
          <w:tcPr>
            <w:tcW w:w="1701" w:type="dxa"/>
            <w:tcBorders>
              <w:top w:val="nil"/>
              <w:left w:val="nil"/>
              <w:bottom w:val="nil"/>
              <w:right w:val="nil"/>
            </w:tcBorders>
            <w:shd w:val="clear" w:color="auto" w:fill="auto"/>
            <w:noWrap/>
            <w:vAlign w:val="center"/>
          </w:tcPr>
          <w:p w14:paraId="60F58AB2">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tcBorders>
              <w:top w:val="nil"/>
              <w:left w:val="nil"/>
              <w:bottom w:val="nil"/>
              <w:right w:val="nil"/>
            </w:tcBorders>
            <w:shd w:val="clear" w:color="auto" w:fill="auto"/>
            <w:noWrap/>
            <w:vAlign w:val="center"/>
          </w:tcPr>
          <w:p w14:paraId="46D6ADE6">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234</w:t>
            </w:r>
          </w:p>
        </w:tc>
      </w:tr>
      <w:tr w14:paraId="6D747173">
        <w:trPr>
          <w:trHeight w:val="484" w:hRule="atLeast"/>
        </w:trPr>
        <w:tc>
          <w:tcPr>
            <w:tcW w:w="1701" w:type="dxa"/>
            <w:tcBorders>
              <w:top w:val="nil"/>
              <w:left w:val="nil"/>
              <w:bottom w:val="nil"/>
              <w:right w:val="nil"/>
            </w:tcBorders>
            <w:shd w:val="clear" w:color="auto" w:fill="auto"/>
            <w:noWrap/>
            <w:vAlign w:val="center"/>
          </w:tcPr>
          <w:p w14:paraId="2FD2DF4A">
            <w:pPr>
              <w:spacing w:line="360" w:lineRule="auto"/>
              <w:rPr>
                <w:i/>
                <w:iCs/>
                <w:color w:val="000000"/>
                <w:sz w:val="20"/>
                <w:szCs w:val="20"/>
                <w:highlight w:val="none"/>
              </w:rPr>
            </w:pPr>
            <w:r>
              <w:rPr>
                <w:i/>
                <w:iCs/>
                <w:color w:val="000000"/>
                <w:sz w:val="20"/>
                <w:szCs w:val="20"/>
                <w:highlight w:val="none"/>
              </w:rPr>
              <w:t>RXRα</w:t>
            </w:r>
          </w:p>
        </w:tc>
        <w:tc>
          <w:tcPr>
            <w:tcW w:w="2268" w:type="dxa"/>
            <w:tcBorders>
              <w:top w:val="nil"/>
              <w:left w:val="nil"/>
              <w:bottom w:val="nil"/>
              <w:right w:val="nil"/>
            </w:tcBorders>
            <w:shd w:val="clear" w:color="auto" w:fill="auto"/>
            <w:noWrap/>
            <w:vAlign w:val="center"/>
          </w:tcPr>
          <w:p w14:paraId="47CCDCB8">
            <w:pPr>
              <w:spacing w:line="360" w:lineRule="auto"/>
              <w:rPr>
                <w:color w:val="000000"/>
                <w:sz w:val="20"/>
                <w:szCs w:val="20"/>
                <w:highlight w:val="none"/>
              </w:rPr>
            </w:pPr>
            <w:r>
              <w:rPr>
                <w:color w:val="000000"/>
                <w:sz w:val="20"/>
                <w:szCs w:val="20"/>
                <w:highlight w:val="none"/>
              </w:rPr>
              <w:t>GGACTGCCTGATTGACAAGC</w:t>
            </w:r>
          </w:p>
        </w:tc>
        <w:tc>
          <w:tcPr>
            <w:tcW w:w="2268" w:type="dxa"/>
            <w:tcBorders>
              <w:top w:val="nil"/>
              <w:left w:val="nil"/>
              <w:bottom w:val="nil"/>
              <w:right w:val="nil"/>
            </w:tcBorders>
            <w:shd w:val="clear" w:color="auto" w:fill="auto"/>
            <w:noWrap/>
            <w:vAlign w:val="center"/>
          </w:tcPr>
          <w:p w14:paraId="193C5996">
            <w:pPr>
              <w:spacing w:line="360" w:lineRule="auto"/>
              <w:rPr>
                <w:color w:val="000000"/>
                <w:sz w:val="20"/>
                <w:szCs w:val="20"/>
                <w:highlight w:val="none"/>
              </w:rPr>
            </w:pPr>
            <w:r>
              <w:rPr>
                <w:color w:val="000000"/>
                <w:sz w:val="20"/>
                <w:szCs w:val="20"/>
                <w:highlight w:val="none"/>
              </w:rPr>
              <w:t>TTCAGCCCCATGTTTGCCTC</w:t>
            </w:r>
          </w:p>
        </w:tc>
        <w:tc>
          <w:tcPr>
            <w:tcW w:w="1701" w:type="dxa"/>
            <w:tcBorders>
              <w:top w:val="nil"/>
              <w:left w:val="nil"/>
              <w:bottom w:val="nil"/>
              <w:right w:val="nil"/>
            </w:tcBorders>
            <w:shd w:val="clear" w:color="auto" w:fill="auto"/>
            <w:noWrap/>
            <w:vAlign w:val="center"/>
          </w:tcPr>
          <w:p w14:paraId="3B4581B2">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tcBorders>
              <w:top w:val="nil"/>
              <w:left w:val="nil"/>
              <w:bottom w:val="nil"/>
              <w:right w:val="nil"/>
            </w:tcBorders>
            <w:shd w:val="clear" w:color="auto" w:fill="auto"/>
            <w:noWrap/>
            <w:vAlign w:val="center"/>
          </w:tcPr>
          <w:p w14:paraId="748D57F6">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246</w:t>
            </w:r>
          </w:p>
        </w:tc>
      </w:tr>
      <w:tr w14:paraId="53F3D712">
        <w:trPr>
          <w:trHeight w:val="484" w:hRule="atLeast"/>
        </w:trPr>
        <w:tc>
          <w:tcPr>
            <w:tcW w:w="1701" w:type="dxa"/>
            <w:tcBorders>
              <w:top w:val="nil"/>
              <w:left w:val="nil"/>
              <w:bottom w:val="nil"/>
              <w:right w:val="nil"/>
            </w:tcBorders>
            <w:shd w:val="clear" w:color="auto" w:fill="auto"/>
            <w:noWrap/>
            <w:vAlign w:val="center"/>
          </w:tcPr>
          <w:p w14:paraId="27313700">
            <w:pPr>
              <w:spacing w:line="360" w:lineRule="auto"/>
              <w:rPr>
                <w:i/>
                <w:iCs/>
                <w:color w:val="000000"/>
                <w:sz w:val="20"/>
                <w:szCs w:val="20"/>
                <w:highlight w:val="none"/>
              </w:rPr>
            </w:pPr>
            <w:r>
              <w:rPr>
                <w:i/>
                <w:iCs/>
                <w:color w:val="000000"/>
                <w:sz w:val="20"/>
                <w:szCs w:val="20"/>
                <w:highlight w:val="none"/>
              </w:rPr>
              <w:t>RXRβ</w:t>
            </w:r>
          </w:p>
        </w:tc>
        <w:tc>
          <w:tcPr>
            <w:tcW w:w="2268" w:type="dxa"/>
            <w:tcBorders>
              <w:top w:val="nil"/>
              <w:left w:val="nil"/>
              <w:bottom w:val="nil"/>
              <w:right w:val="nil"/>
            </w:tcBorders>
            <w:shd w:val="clear" w:color="auto" w:fill="auto"/>
            <w:noWrap/>
            <w:vAlign w:val="center"/>
          </w:tcPr>
          <w:p w14:paraId="2617B5F8">
            <w:pPr>
              <w:spacing w:line="360" w:lineRule="auto"/>
              <w:rPr>
                <w:color w:val="000000"/>
                <w:sz w:val="20"/>
                <w:szCs w:val="20"/>
                <w:highlight w:val="none"/>
              </w:rPr>
            </w:pPr>
            <w:r>
              <w:rPr>
                <w:color w:val="000000"/>
                <w:sz w:val="20"/>
                <w:szCs w:val="20"/>
                <w:highlight w:val="none"/>
              </w:rPr>
              <w:t>TTGCCGGGACAACAAAGACT</w:t>
            </w:r>
          </w:p>
        </w:tc>
        <w:tc>
          <w:tcPr>
            <w:tcW w:w="2268" w:type="dxa"/>
            <w:tcBorders>
              <w:top w:val="nil"/>
              <w:left w:val="nil"/>
              <w:bottom w:val="nil"/>
              <w:right w:val="nil"/>
            </w:tcBorders>
            <w:shd w:val="clear" w:color="auto" w:fill="auto"/>
            <w:noWrap/>
            <w:vAlign w:val="center"/>
          </w:tcPr>
          <w:p w14:paraId="76ACC30E">
            <w:pPr>
              <w:spacing w:line="360" w:lineRule="auto"/>
              <w:rPr>
                <w:color w:val="000000"/>
                <w:sz w:val="20"/>
                <w:szCs w:val="20"/>
                <w:highlight w:val="none"/>
              </w:rPr>
            </w:pPr>
            <w:r>
              <w:rPr>
                <w:color w:val="000000"/>
                <w:sz w:val="20"/>
                <w:szCs w:val="20"/>
                <w:highlight w:val="none"/>
              </w:rPr>
              <w:t>CCCTGGTCACTCTTCTGTTCC</w:t>
            </w:r>
          </w:p>
        </w:tc>
        <w:tc>
          <w:tcPr>
            <w:tcW w:w="1701" w:type="dxa"/>
            <w:tcBorders>
              <w:top w:val="nil"/>
              <w:left w:val="nil"/>
              <w:bottom w:val="nil"/>
              <w:right w:val="nil"/>
            </w:tcBorders>
            <w:shd w:val="clear" w:color="auto" w:fill="auto"/>
            <w:noWrap/>
            <w:vAlign w:val="center"/>
          </w:tcPr>
          <w:p w14:paraId="5CC3F9BA">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tcBorders>
              <w:top w:val="nil"/>
              <w:left w:val="nil"/>
              <w:bottom w:val="nil"/>
              <w:right w:val="nil"/>
            </w:tcBorders>
            <w:shd w:val="clear" w:color="auto" w:fill="auto"/>
            <w:noWrap/>
            <w:vAlign w:val="center"/>
          </w:tcPr>
          <w:p w14:paraId="65504855">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234</w:t>
            </w:r>
          </w:p>
        </w:tc>
      </w:tr>
      <w:tr w14:paraId="60861A69">
        <w:trPr>
          <w:trHeight w:val="484" w:hRule="atLeast"/>
        </w:trPr>
        <w:tc>
          <w:tcPr>
            <w:tcW w:w="1701" w:type="dxa"/>
            <w:tcBorders>
              <w:top w:val="nil"/>
              <w:left w:val="nil"/>
              <w:bottom w:val="nil"/>
              <w:right w:val="nil"/>
            </w:tcBorders>
            <w:shd w:val="clear" w:color="auto" w:fill="auto"/>
            <w:noWrap/>
            <w:vAlign w:val="center"/>
          </w:tcPr>
          <w:p w14:paraId="4C8EA07C">
            <w:pPr>
              <w:spacing w:line="360" w:lineRule="auto"/>
              <w:rPr>
                <w:i/>
                <w:iCs/>
                <w:color w:val="000000"/>
                <w:sz w:val="20"/>
                <w:szCs w:val="20"/>
                <w:highlight w:val="none"/>
              </w:rPr>
            </w:pPr>
            <w:r>
              <w:rPr>
                <w:i/>
                <w:iCs/>
                <w:color w:val="000000"/>
                <w:sz w:val="20"/>
                <w:szCs w:val="20"/>
                <w:highlight w:val="none"/>
              </w:rPr>
              <w:t>RXRγ</w:t>
            </w:r>
          </w:p>
        </w:tc>
        <w:tc>
          <w:tcPr>
            <w:tcW w:w="2268" w:type="dxa"/>
            <w:tcBorders>
              <w:top w:val="nil"/>
              <w:left w:val="nil"/>
              <w:bottom w:val="nil"/>
              <w:right w:val="nil"/>
            </w:tcBorders>
            <w:shd w:val="clear" w:color="auto" w:fill="auto"/>
            <w:noWrap/>
            <w:vAlign w:val="center"/>
          </w:tcPr>
          <w:p w14:paraId="16AF91D0">
            <w:pPr>
              <w:spacing w:line="360" w:lineRule="auto"/>
              <w:rPr>
                <w:color w:val="000000"/>
                <w:sz w:val="20"/>
                <w:szCs w:val="20"/>
                <w:highlight w:val="none"/>
              </w:rPr>
            </w:pPr>
            <w:r>
              <w:rPr>
                <w:color w:val="000000"/>
                <w:sz w:val="20"/>
                <w:szCs w:val="20"/>
                <w:highlight w:val="none"/>
              </w:rPr>
              <w:t>CCGGATCTCTGGTTAAACACATC</w:t>
            </w:r>
          </w:p>
        </w:tc>
        <w:tc>
          <w:tcPr>
            <w:tcW w:w="2268" w:type="dxa"/>
            <w:tcBorders>
              <w:top w:val="nil"/>
              <w:left w:val="nil"/>
              <w:bottom w:val="nil"/>
              <w:right w:val="nil"/>
            </w:tcBorders>
            <w:shd w:val="clear" w:color="auto" w:fill="auto"/>
            <w:noWrap/>
            <w:vAlign w:val="center"/>
          </w:tcPr>
          <w:p w14:paraId="68798717">
            <w:pPr>
              <w:spacing w:line="360" w:lineRule="auto"/>
              <w:rPr>
                <w:color w:val="000000"/>
                <w:sz w:val="20"/>
                <w:szCs w:val="20"/>
                <w:highlight w:val="none"/>
              </w:rPr>
            </w:pPr>
            <w:r>
              <w:rPr>
                <w:color w:val="000000"/>
                <w:sz w:val="20"/>
                <w:szCs w:val="20"/>
                <w:highlight w:val="none"/>
              </w:rPr>
              <w:t>GTCCTTCCTTATCGTCCTCTTGA</w:t>
            </w:r>
          </w:p>
        </w:tc>
        <w:tc>
          <w:tcPr>
            <w:tcW w:w="1701" w:type="dxa"/>
            <w:tcBorders>
              <w:top w:val="nil"/>
              <w:left w:val="nil"/>
              <w:bottom w:val="nil"/>
              <w:right w:val="nil"/>
            </w:tcBorders>
            <w:shd w:val="clear" w:color="auto" w:fill="auto"/>
            <w:noWrap/>
            <w:vAlign w:val="center"/>
          </w:tcPr>
          <w:p w14:paraId="194075D8">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tcBorders>
              <w:top w:val="nil"/>
              <w:left w:val="nil"/>
              <w:bottom w:val="nil"/>
              <w:right w:val="nil"/>
            </w:tcBorders>
            <w:shd w:val="clear" w:color="auto" w:fill="auto"/>
            <w:noWrap/>
            <w:vAlign w:val="center"/>
          </w:tcPr>
          <w:p w14:paraId="58F595F1">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119</w:t>
            </w:r>
          </w:p>
        </w:tc>
      </w:tr>
      <w:tr w14:paraId="63E0EE2E">
        <w:trPr>
          <w:trHeight w:val="484" w:hRule="atLeast"/>
        </w:trPr>
        <w:tc>
          <w:tcPr>
            <w:tcW w:w="1701" w:type="dxa"/>
            <w:tcBorders>
              <w:top w:val="nil"/>
              <w:left w:val="nil"/>
              <w:bottom w:val="nil"/>
              <w:right w:val="nil"/>
            </w:tcBorders>
            <w:shd w:val="clear" w:color="auto" w:fill="auto"/>
            <w:noWrap/>
            <w:vAlign w:val="center"/>
          </w:tcPr>
          <w:p w14:paraId="13B02283">
            <w:pPr>
              <w:spacing w:line="360" w:lineRule="auto"/>
              <w:rPr>
                <w:i/>
                <w:iCs/>
                <w:color w:val="000000"/>
                <w:sz w:val="20"/>
                <w:szCs w:val="20"/>
                <w:highlight w:val="none"/>
              </w:rPr>
            </w:pPr>
            <w:r>
              <w:rPr>
                <w:i/>
                <w:iCs/>
                <w:color w:val="000000"/>
                <w:sz w:val="20"/>
                <w:szCs w:val="20"/>
                <w:highlight w:val="none"/>
              </w:rPr>
              <w:t>CYP26A1</w:t>
            </w:r>
          </w:p>
        </w:tc>
        <w:tc>
          <w:tcPr>
            <w:tcW w:w="2268" w:type="dxa"/>
            <w:tcBorders>
              <w:top w:val="nil"/>
              <w:left w:val="nil"/>
              <w:bottom w:val="nil"/>
              <w:right w:val="nil"/>
            </w:tcBorders>
            <w:shd w:val="clear" w:color="auto" w:fill="auto"/>
            <w:noWrap/>
            <w:vAlign w:val="center"/>
          </w:tcPr>
          <w:p w14:paraId="6728B26F">
            <w:pPr>
              <w:spacing w:line="360" w:lineRule="auto"/>
              <w:rPr>
                <w:color w:val="000000"/>
                <w:sz w:val="20"/>
                <w:szCs w:val="20"/>
                <w:highlight w:val="none"/>
              </w:rPr>
            </w:pPr>
            <w:r>
              <w:rPr>
                <w:color w:val="000000"/>
                <w:sz w:val="20"/>
                <w:szCs w:val="20"/>
                <w:highlight w:val="none"/>
              </w:rPr>
              <w:t>GAATGCTACGTGCCGGTGAT</w:t>
            </w:r>
          </w:p>
        </w:tc>
        <w:tc>
          <w:tcPr>
            <w:tcW w:w="2268" w:type="dxa"/>
            <w:tcBorders>
              <w:top w:val="nil"/>
              <w:left w:val="nil"/>
              <w:bottom w:val="nil"/>
              <w:right w:val="nil"/>
            </w:tcBorders>
            <w:shd w:val="clear" w:color="auto" w:fill="auto"/>
            <w:noWrap/>
            <w:vAlign w:val="center"/>
          </w:tcPr>
          <w:p w14:paraId="1F524B08">
            <w:pPr>
              <w:spacing w:line="360" w:lineRule="auto"/>
              <w:rPr>
                <w:color w:val="000000"/>
                <w:sz w:val="20"/>
                <w:szCs w:val="20"/>
                <w:highlight w:val="none"/>
              </w:rPr>
            </w:pPr>
            <w:r>
              <w:rPr>
                <w:color w:val="000000"/>
                <w:sz w:val="20"/>
                <w:szCs w:val="20"/>
                <w:highlight w:val="none"/>
              </w:rPr>
              <w:t>CATGGCGATTCGGAACATGAG</w:t>
            </w:r>
          </w:p>
        </w:tc>
        <w:tc>
          <w:tcPr>
            <w:tcW w:w="1701" w:type="dxa"/>
            <w:tcBorders>
              <w:top w:val="nil"/>
              <w:left w:val="nil"/>
              <w:bottom w:val="nil"/>
              <w:right w:val="nil"/>
            </w:tcBorders>
            <w:shd w:val="clear" w:color="auto" w:fill="auto"/>
            <w:noWrap/>
            <w:vAlign w:val="center"/>
          </w:tcPr>
          <w:p w14:paraId="33152B4D">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tcBorders>
              <w:top w:val="nil"/>
              <w:left w:val="nil"/>
              <w:bottom w:val="nil"/>
              <w:right w:val="nil"/>
            </w:tcBorders>
            <w:shd w:val="clear" w:color="auto" w:fill="auto"/>
            <w:noWrap/>
            <w:vAlign w:val="center"/>
          </w:tcPr>
          <w:p w14:paraId="4E2B080E">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123</w:t>
            </w:r>
          </w:p>
        </w:tc>
      </w:tr>
      <w:tr w14:paraId="35E54AFA">
        <w:trPr>
          <w:trHeight w:val="484" w:hRule="atLeast"/>
        </w:trPr>
        <w:tc>
          <w:tcPr>
            <w:tcW w:w="1701" w:type="dxa"/>
            <w:tcBorders>
              <w:top w:val="nil"/>
              <w:left w:val="nil"/>
              <w:bottom w:val="nil"/>
              <w:right w:val="nil"/>
            </w:tcBorders>
            <w:shd w:val="clear" w:color="auto" w:fill="auto"/>
            <w:noWrap/>
            <w:vAlign w:val="center"/>
          </w:tcPr>
          <w:p w14:paraId="471E4688">
            <w:pPr>
              <w:spacing w:line="360" w:lineRule="auto"/>
              <w:rPr>
                <w:i/>
                <w:iCs/>
                <w:color w:val="000000"/>
                <w:sz w:val="20"/>
                <w:szCs w:val="20"/>
                <w:highlight w:val="none"/>
              </w:rPr>
            </w:pPr>
            <w:r>
              <w:rPr>
                <w:i/>
                <w:iCs/>
                <w:color w:val="000000"/>
                <w:sz w:val="20"/>
                <w:szCs w:val="20"/>
                <w:highlight w:val="none"/>
              </w:rPr>
              <w:t>CYP26B1</w:t>
            </w:r>
          </w:p>
        </w:tc>
        <w:tc>
          <w:tcPr>
            <w:tcW w:w="2268" w:type="dxa"/>
            <w:tcBorders>
              <w:top w:val="nil"/>
              <w:left w:val="nil"/>
              <w:bottom w:val="nil"/>
              <w:right w:val="nil"/>
            </w:tcBorders>
            <w:shd w:val="clear" w:color="auto" w:fill="auto"/>
            <w:noWrap/>
            <w:vAlign w:val="center"/>
          </w:tcPr>
          <w:p w14:paraId="6F84B7DB">
            <w:pPr>
              <w:spacing w:line="360" w:lineRule="auto"/>
              <w:rPr>
                <w:color w:val="000000"/>
                <w:sz w:val="20"/>
                <w:szCs w:val="20"/>
                <w:highlight w:val="none"/>
              </w:rPr>
            </w:pPr>
            <w:r>
              <w:rPr>
                <w:color w:val="000000"/>
                <w:sz w:val="20"/>
                <w:szCs w:val="20"/>
                <w:highlight w:val="none"/>
              </w:rPr>
              <w:t>GGCAACGTGTTCAAGACGC</w:t>
            </w:r>
          </w:p>
        </w:tc>
        <w:tc>
          <w:tcPr>
            <w:tcW w:w="2268" w:type="dxa"/>
            <w:tcBorders>
              <w:top w:val="nil"/>
              <w:left w:val="nil"/>
              <w:bottom w:val="nil"/>
              <w:right w:val="nil"/>
            </w:tcBorders>
            <w:shd w:val="clear" w:color="auto" w:fill="auto"/>
            <w:noWrap/>
            <w:vAlign w:val="center"/>
          </w:tcPr>
          <w:p w14:paraId="518E2E57">
            <w:pPr>
              <w:spacing w:line="360" w:lineRule="auto"/>
              <w:rPr>
                <w:color w:val="000000"/>
                <w:sz w:val="20"/>
                <w:szCs w:val="20"/>
                <w:highlight w:val="none"/>
              </w:rPr>
            </w:pPr>
            <w:r>
              <w:rPr>
                <w:color w:val="000000"/>
                <w:sz w:val="20"/>
                <w:szCs w:val="20"/>
                <w:highlight w:val="none"/>
              </w:rPr>
              <w:t>TGCTCGCCCATGAGGATCT</w:t>
            </w:r>
          </w:p>
        </w:tc>
        <w:tc>
          <w:tcPr>
            <w:tcW w:w="1701" w:type="dxa"/>
            <w:tcBorders>
              <w:top w:val="nil"/>
              <w:left w:val="nil"/>
              <w:bottom w:val="nil"/>
              <w:right w:val="nil"/>
            </w:tcBorders>
            <w:shd w:val="clear" w:color="auto" w:fill="auto"/>
            <w:noWrap/>
            <w:vAlign w:val="center"/>
          </w:tcPr>
          <w:p w14:paraId="56949B18">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tcBorders>
              <w:top w:val="nil"/>
              <w:left w:val="nil"/>
              <w:bottom w:val="nil"/>
              <w:right w:val="nil"/>
            </w:tcBorders>
            <w:shd w:val="clear" w:color="auto" w:fill="auto"/>
            <w:noWrap/>
            <w:vAlign w:val="center"/>
          </w:tcPr>
          <w:p w14:paraId="1E0EB93E">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89</w:t>
            </w:r>
          </w:p>
        </w:tc>
      </w:tr>
      <w:tr w14:paraId="019534AD">
        <w:trPr>
          <w:trHeight w:val="484" w:hRule="atLeast"/>
        </w:trPr>
        <w:tc>
          <w:tcPr>
            <w:tcW w:w="1701" w:type="dxa"/>
            <w:tcBorders>
              <w:top w:val="nil"/>
              <w:left w:val="nil"/>
              <w:bottom w:val="nil"/>
              <w:right w:val="nil"/>
            </w:tcBorders>
            <w:shd w:val="clear" w:color="auto" w:fill="auto"/>
            <w:noWrap/>
            <w:vAlign w:val="center"/>
          </w:tcPr>
          <w:p w14:paraId="387A2F4A">
            <w:pPr>
              <w:spacing w:line="360" w:lineRule="auto"/>
              <w:rPr>
                <w:i/>
                <w:iCs/>
                <w:color w:val="000000"/>
                <w:sz w:val="20"/>
                <w:szCs w:val="20"/>
                <w:highlight w:val="none"/>
              </w:rPr>
            </w:pPr>
            <w:r>
              <w:rPr>
                <w:i/>
                <w:iCs/>
                <w:color w:val="000000"/>
                <w:sz w:val="20"/>
                <w:szCs w:val="20"/>
                <w:highlight w:val="none"/>
              </w:rPr>
              <w:t>CYP26C1</w:t>
            </w:r>
          </w:p>
        </w:tc>
        <w:tc>
          <w:tcPr>
            <w:tcW w:w="2268" w:type="dxa"/>
            <w:tcBorders>
              <w:top w:val="nil"/>
              <w:left w:val="nil"/>
              <w:bottom w:val="nil"/>
              <w:right w:val="nil"/>
            </w:tcBorders>
            <w:shd w:val="clear" w:color="auto" w:fill="auto"/>
            <w:noWrap/>
            <w:vAlign w:val="center"/>
          </w:tcPr>
          <w:p w14:paraId="4274F4E3">
            <w:pPr>
              <w:spacing w:line="360" w:lineRule="auto"/>
              <w:rPr>
                <w:color w:val="000000"/>
                <w:sz w:val="20"/>
                <w:szCs w:val="20"/>
                <w:highlight w:val="none"/>
              </w:rPr>
            </w:pPr>
            <w:r>
              <w:rPr>
                <w:color w:val="000000"/>
                <w:sz w:val="20"/>
                <w:szCs w:val="20"/>
                <w:highlight w:val="none"/>
              </w:rPr>
              <w:t>CACACTGCTAGGTGCGGTC</w:t>
            </w:r>
          </w:p>
        </w:tc>
        <w:tc>
          <w:tcPr>
            <w:tcW w:w="2268" w:type="dxa"/>
            <w:tcBorders>
              <w:top w:val="nil"/>
              <w:left w:val="nil"/>
              <w:bottom w:val="nil"/>
              <w:right w:val="nil"/>
            </w:tcBorders>
            <w:shd w:val="clear" w:color="auto" w:fill="auto"/>
            <w:noWrap/>
            <w:vAlign w:val="center"/>
          </w:tcPr>
          <w:p w14:paraId="1BE37B7D">
            <w:pPr>
              <w:spacing w:line="360" w:lineRule="auto"/>
              <w:rPr>
                <w:color w:val="000000"/>
                <w:sz w:val="20"/>
                <w:szCs w:val="20"/>
                <w:highlight w:val="none"/>
              </w:rPr>
            </w:pPr>
            <w:r>
              <w:rPr>
                <w:color w:val="000000"/>
                <w:sz w:val="20"/>
                <w:szCs w:val="20"/>
                <w:highlight w:val="none"/>
              </w:rPr>
              <w:t>TGGAGGCGTCGTAGACTGAG</w:t>
            </w:r>
          </w:p>
        </w:tc>
        <w:tc>
          <w:tcPr>
            <w:tcW w:w="1701" w:type="dxa"/>
            <w:tcBorders>
              <w:top w:val="nil"/>
              <w:left w:val="nil"/>
              <w:bottom w:val="nil"/>
              <w:right w:val="nil"/>
            </w:tcBorders>
            <w:shd w:val="clear" w:color="auto" w:fill="auto"/>
            <w:noWrap/>
            <w:vAlign w:val="center"/>
          </w:tcPr>
          <w:p w14:paraId="010527C8">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tcBorders>
              <w:top w:val="nil"/>
              <w:left w:val="nil"/>
              <w:bottom w:val="nil"/>
              <w:right w:val="nil"/>
            </w:tcBorders>
            <w:shd w:val="clear" w:color="auto" w:fill="auto"/>
            <w:noWrap/>
            <w:vAlign w:val="center"/>
          </w:tcPr>
          <w:p w14:paraId="3DD3CE11">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173</w:t>
            </w:r>
          </w:p>
        </w:tc>
      </w:tr>
      <w:tr w14:paraId="12058136">
        <w:trPr>
          <w:trHeight w:val="484" w:hRule="atLeast"/>
        </w:trPr>
        <w:tc>
          <w:tcPr>
            <w:tcW w:w="1701" w:type="dxa"/>
            <w:tcBorders>
              <w:top w:val="nil"/>
              <w:left w:val="nil"/>
              <w:bottom w:val="nil"/>
              <w:right w:val="nil"/>
            </w:tcBorders>
            <w:shd w:val="clear" w:color="auto" w:fill="auto"/>
            <w:noWrap/>
            <w:vAlign w:val="center"/>
          </w:tcPr>
          <w:p w14:paraId="54128F43">
            <w:pPr>
              <w:spacing w:line="360" w:lineRule="auto"/>
              <w:rPr>
                <w:i/>
                <w:iCs/>
                <w:color w:val="000000"/>
                <w:sz w:val="20"/>
                <w:szCs w:val="20"/>
                <w:highlight w:val="none"/>
              </w:rPr>
            </w:pPr>
            <w:r>
              <w:rPr>
                <w:i/>
                <w:iCs/>
                <w:color w:val="000000"/>
                <w:sz w:val="20"/>
                <w:szCs w:val="20"/>
                <w:highlight w:val="none"/>
              </w:rPr>
              <w:t>ACTB</w:t>
            </w:r>
          </w:p>
        </w:tc>
        <w:tc>
          <w:tcPr>
            <w:tcW w:w="2268" w:type="dxa"/>
            <w:tcBorders>
              <w:top w:val="nil"/>
              <w:left w:val="nil"/>
              <w:bottom w:val="nil"/>
              <w:right w:val="nil"/>
            </w:tcBorders>
            <w:shd w:val="clear" w:color="auto" w:fill="auto"/>
            <w:noWrap/>
            <w:vAlign w:val="center"/>
          </w:tcPr>
          <w:p w14:paraId="670EE2F1">
            <w:pPr>
              <w:spacing w:line="360" w:lineRule="auto"/>
              <w:rPr>
                <w:color w:val="000000"/>
                <w:sz w:val="20"/>
                <w:szCs w:val="20"/>
                <w:highlight w:val="none"/>
              </w:rPr>
            </w:pPr>
            <w:r>
              <w:rPr>
                <w:color w:val="000000"/>
                <w:sz w:val="20"/>
                <w:szCs w:val="20"/>
                <w:highlight w:val="none"/>
              </w:rPr>
              <w:t>TGCCCATCTACGAGGGGTAT</w:t>
            </w:r>
          </w:p>
        </w:tc>
        <w:tc>
          <w:tcPr>
            <w:tcW w:w="2268" w:type="dxa"/>
            <w:tcBorders>
              <w:top w:val="nil"/>
              <w:left w:val="nil"/>
              <w:bottom w:val="nil"/>
              <w:right w:val="nil"/>
            </w:tcBorders>
            <w:shd w:val="clear" w:color="auto" w:fill="auto"/>
            <w:noWrap/>
            <w:vAlign w:val="center"/>
          </w:tcPr>
          <w:p w14:paraId="4125288B">
            <w:pPr>
              <w:spacing w:line="360" w:lineRule="auto"/>
              <w:rPr>
                <w:color w:val="000000"/>
                <w:sz w:val="20"/>
                <w:szCs w:val="20"/>
                <w:highlight w:val="none"/>
              </w:rPr>
            </w:pPr>
            <w:r>
              <w:rPr>
                <w:color w:val="000000"/>
                <w:sz w:val="20"/>
                <w:szCs w:val="20"/>
                <w:highlight w:val="none"/>
              </w:rPr>
              <w:t>CTTAATGTCACGCACGATTTCC</w:t>
            </w:r>
          </w:p>
        </w:tc>
        <w:tc>
          <w:tcPr>
            <w:tcW w:w="1701" w:type="dxa"/>
            <w:tcBorders>
              <w:top w:val="nil"/>
              <w:left w:val="nil"/>
              <w:bottom w:val="nil"/>
              <w:right w:val="nil"/>
            </w:tcBorders>
            <w:shd w:val="clear" w:color="auto" w:fill="auto"/>
            <w:noWrap/>
            <w:vAlign w:val="center"/>
          </w:tcPr>
          <w:p w14:paraId="4991330A">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tcBorders>
              <w:top w:val="nil"/>
              <w:left w:val="nil"/>
              <w:bottom w:val="nil"/>
              <w:right w:val="nil"/>
            </w:tcBorders>
            <w:shd w:val="clear" w:color="auto" w:fill="auto"/>
            <w:noWrap/>
            <w:vAlign w:val="center"/>
          </w:tcPr>
          <w:p w14:paraId="625FD89A">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152</w:t>
            </w:r>
          </w:p>
        </w:tc>
      </w:tr>
      <w:tr w14:paraId="47BA9B72">
        <w:trPr>
          <w:trHeight w:val="484" w:hRule="atLeast"/>
        </w:trPr>
        <w:tc>
          <w:tcPr>
            <w:tcW w:w="1701" w:type="dxa"/>
            <w:tcBorders>
              <w:top w:val="nil"/>
              <w:left w:val="nil"/>
              <w:bottom w:val="single" w:color="auto" w:sz="4" w:space="0"/>
              <w:right w:val="nil"/>
            </w:tcBorders>
            <w:shd w:val="clear" w:color="auto" w:fill="auto"/>
            <w:noWrap/>
            <w:vAlign w:val="center"/>
          </w:tcPr>
          <w:p w14:paraId="783AB25B">
            <w:pPr>
              <w:spacing w:line="360" w:lineRule="auto"/>
              <w:rPr>
                <w:i/>
                <w:iCs/>
                <w:color w:val="000000"/>
                <w:sz w:val="20"/>
                <w:szCs w:val="20"/>
                <w:highlight w:val="none"/>
              </w:rPr>
            </w:pPr>
            <w:r>
              <w:rPr>
                <w:i/>
                <w:iCs/>
                <w:color w:val="000000"/>
                <w:sz w:val="20"/>
                <w:szCs w:val="20"/>
                <w:highlight w:val="none"/>
              </w:rPr>
              <w:t>RPS24</w:t>
            </w:r>
          </w:p>
        </w:tc>
        <w:tc>
          <w:tcPr>
            <w:tcW w:w="2268" w:type="dxa"/>
            <w:tcBorders>
              <w:top w:val="nil"/>
              <w:left w:val="nil"/>
              <w:bottom w:val="single" w:color="auto" w:sz="4" w:space="0"/>
              <w:right w:val="nil"/>
            </w:tcBorders>
            <w:shd w:val="clear" w:color="auto" w:fill="auto"/>
            <w:noWrap/>
            <w:vAlign w:val="center"/>
          </w:tcPr>
          <w:p w14:paraId="7ED940AB">
            <w:pPr>
              <w:spacing w:line="360" w:lineRule="auto"/>
              <w:rPr>
                <w:color w:val="000000"/>
                <w:sz w:val="20"/>
                <w:szCs w:val="20"/>
                <w:highlight w:val="none"/>
              </w:rPr>
            </w:pPr>
            <w:r>
              <w:rPr>
                <w:color w:val="000000"/>
                <w:sz w:val="20"/>
                <w:szCs w:val="20"/>
                <w:highlight w:val="none"/>
              </w:rPr>
              <w:t>AAGACCACACCGGATGTCATC</w:t>
            </w:r>
          </w:p>
        </w:tc>
        <w:tc>
          <w:tcPr>
            <w:tcW w:w="2268" w:type="dxa"/>
            <w:tcBorders>
              <w:top w:val="nil"/>
              <w:left w:val="nil"/>
              <w:bottom w:val="single" w:color="auto" w:sz="4" w:space="0"/>
              <w:right w:val="nil"/>
            </w:tcBorders>
            <w:shd w:val="clear" w:color="auto" w:fill="auto"/>
            <w:noWrap/>
            <w:vAlign w:val="center"/>
          </w:tcPr>
          <w:p w14:paraId="6F92EAD0">
            <w:pPr>
              <w:spacing w:line="360" w:lineRule="auto"/>
              <w:rPr>
                <w:color w:val="000000"/>
                <w:sz w:val="20"/>
                <w:szCs w:val="20"/>
                <w:highlight w:val="none"/>
              </w:rPr>
            </w:pPr>
            <w:r>
              <w:rPr>
                <w:color w:val="000000"/>
                <w:sz w:val="20"/>
                <w:szCs w:val="20"/>
                <w:highlight w:val="none"/>
              </w:rPr>
              <w:t>TGCCAAAGCCAGTTGTCTTG</w:t>
            </w:r>
          </w:p>
        </w:tc>
        <w:tc>
          <w:tcPr>
            <w:tcW w:w="1701" w:type="dxa"/>
            <w:tcBorders>
              <w:top w:val="nil"/>
              <w:left w:val="nil"/>
              <w:bottom w:val="single" w:color="auto" w:sz="4" w:space="0"/>
              <w:right w:val="nil"/>
            </w:tcBorders>
            <w:shd w:val="clear" w:color="auto" w:fill="auto"/>
            <w:noWrap/>
            <w:vAlign w:val="center"/>
          </w:tcPr>
          <w:p w14:paraId="72470FCA">
            <w:pPr>
              <w:spacing w:line="360" w:lineRule="auto"/>
              <w:jc w:val="center"/>
              <w:rP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60</w:t>
            </w:r>
            <w:r>
              <w:rPr>
                <w:rFonts w:ascii="Times New Roman Regular" w:hAnsi="Times New Roman Regular" w:eastAsia="宋体" w:cs="Times New Roman Regular"/>
                <w:color w:val="000000"/>
                <w:sz w:val="20"/>
                <w:szCs w:val="20"/>
                <w:highlight w:val="none"/>
                <w:lang w:val="en-US" w:eastAsia="zh-CN"/>
              </w:rPr>
              <w:t>°C</w:t>
            </w:r>
          </w:p>
        </w:tc>
        <w:tc>
          <w:tcPr>
            <w:tcW w:w="1701" w:type="dxa"/>
            <w:tcBorders>
              <w:top w:val="nil"/>
              <w:left w:val="nil"/>
              <w:bottom w:val="single" w:color="auto" w:sz="4" w:space="0"/>
              <w:right w:val="nil"/>
            </w:tcBorders>
            <w:shd w:val="clear" w:color="auto" w:fill="auto"/>
            <w:noWrap/>
            <w:vAlign w:val="center"/>
          </w:tcPr>
          <w:p w14:paraId="2B35BDAF">
            <w:pPr>
              <w:spacing w:line="360" w:lineRule="auto"/>
              <w:jc w:val="center"/>
              <w:rPr>
                <w:rFonts w:eastAsia="宋体"/>
                <w:color w:val="000000"/>
                <w:sz w:val="20"/>
                <w:szCs w:val="20"/>
                <w:highlight w:val="none"/>
                <w:lang w:val="en-US" w:eastAsia="zh-CN"/>
              </w:rPr>
            </w:pPr>
            <w:r>
              <w:rPr>
                <w:rFonts w:hint="eastAsia" w:eastAsia="宋体"/>
                <w:color w:val="000000"/>
                <w:sz w:val="20"/>
                <w:szCs w:val="20"/>
                <w:highlight w:val="none"/>
                <w:lang w:val="en-US" w:eastAsia="zh-CN"/>
              </w:rPr>
              <w:t>76</w:t>
            </w:r>
          </w:p>
        </w:tc>
      </w:tr>
    </w:tbl>
    <w:p w14:paraId="5CEA3915">
      <w:pPr>
        <w:spacing w:line="480" w:lineRule="auto"/>
        <w:rPr>
          <w:rFonts w:eastAsiaTheme="minorEastAsia"/>
          <w:b/>
          <w:bCs/>
          <w:kern w:val="32"/>
          <w:highlight w:val="none"/>
          <w:lang w:eastAsia="en-US"/>
        </w:rPr>
      </w:pPr>
      <w:r>
        <w:rPr>
          <w:highlight w:val="none"/>
        </w:rPr>
        <w:br w:type="page"/>
      </w:r>
    </w:p>
    <w:p w14:paraId="209CBE36">
      <w:pPr>
        <w:pStyle w:val="88"/>
        <w:spacing w:before="0" w:after="0" w:line="480" w:lineRule="auto"/>
        <w:rPr>
          <w:highlight w:val="none"/>
          <w14:ligatures w14:val="standardContextual"/>
        </w:rPr>
      </w:pPr>
      <w:r>
        <w:rPr>
          <w:highlight w:val="none"/>
          <w14:ligatures w14:val="standardContextual"/>
        </w:rPr>
        <w:t>Table S4. Antibodies for immunodetection</w:t>
      </w:r>
    </w:p>
    <w:tbl>
      <w:tblPr>
        <w:tblStyle w:val="20"/>
        <w:tblW w:w="5023" w:type="pct"/>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80"/>
        <w:gridCol w:w="1050"/>
        <w:gridCol w:w="1249"/>
        <w:gridCol w:w="848"/>
        <w:gridCol w:w="1225"/>
        <w:gridCol w:w="1504"/>
        <w:gridCol w:w="1401"/>
        <w:gridCol w:w="721"/>
        <w:gridCol w:w="831"/>
      </w:tblGrid>
      <w:tr w14:paraId="1BF0ADC3">
        <w:trPr>
          <w:trHeight w:val="90" w:hRule="atLeast"/>
          <w:tblHeader/>
          <w:jc w:val="center"/>
        </w:trPr>
        <w:tc>
          <w:tcPr>
            <w:tcW w:w="589" w:type="pct"/>
            <w:tcBorders>
              <w:top w:val="single" w:color="auto" w:sz="4" w:space="0"/>
              <w:bottom w:val="single" w:color="auto" w:sz="4" w:space="0"/>
            </w:tcBorders>
            <w:shd w:val="clear" w:color="auto" w:fill="auto"/>
            <w:noWrap/>
            <w:vAlign w:val="center"/>
          </w:tcPr>
          <w:p w14:paraId="3839E074">
            <w:pPr>
              <w:snapToGrid w:val="0"/>
              <w:spacing w:line="360" w:lineRule="auto"/>
              <w:jc w:val="center"/>
              <w:rPr>
                <w:rFonts w:ascii="Times New Roman Regular" w:hAnsi="Times New Roman Regular" w:cs="Times New Roman Regular"/>
                <w:b/>
                <w:bCs/>
                <w:color w:val="000000"/>
                <w:sz w:val="20"/>
                <w:szCs w:val="20"/>
                <w:highlight w:val="none"/>
              </w:rPr>
            </w:pPr>
            <w:r>
              <w:rPr>
                <w:rFonts w:ascii="Times New Roman Regular" w:hAnsi="Times New Roman Regular" w:cs="Times New Roman Regular"/>
                <w:b/>
                <w:bCs/>
                <w:color w:val="000000"/>
                <w:sz w:val="20"/>
                <w:szCs w:val="20"/>
                <w:highlight w:val="none"/>
              </w:rPr>
              <w:t>Antibody</w:t>
            </w:r>
          </w:p>
        </w:tc>
        <w:tc>
          <w:tcPr>
            <w:tcW w:w="524" w:type="pct"/>
            <w:tcBorders>
              <w:top w:val="single" w:color="auto" w:sz="4" w:space="0"/>
              <w:bottom w:val="single" w:color="auto" w:sz="4" w:space="0"/>
            </w:tcBorders>
            <w:shd w:val="clear" w:color="auto" w:fill="auto"/>
            <w:noWrap/>
            <w:vAlign w:val="center"/>
          </w:tcPr>
          <w:p w14:paraId="1F649CE2">
            <w:pPr>
              <w:snapToGrid w:val="0"/>
              <w:spacing w:line="360" w:lineRule="auto"/>
              <w:jc w:val="center"/>
              <w:rPr>
                <w:rFonts w:ascii="Times New Roman Regular" w:hAnsi="Times New Roman Regular" w:cs="Times New Roman Regular"/>
                <w:b/>
                <w:color w:val="000000"/>
                <w:sz w:val="20"/>
                <w:szCs w:val="20"/>
                <w:highlight w:val="none"/>
              </w:rPr>
            </w:pPr>
            <w:r>
              <w:rPr>
                <w:rFonts w:ascii="Times New Roman Regular" w:hAnsi="Times New Roman Regular" w:cs="Times New Roman Regular"/>
                <w:b/>
                <w:color w:val="000000"/>
                <w:sz w:val="20"/>
                <w:szCs w:val="20"/>
                <w:highlight w:val="none"/>
              </w:rPr>
              <w:t>Catalog Code</w:t>
            </w:r>
          </w:p>
        </w:tc>
        <w:tc>
          <w:tcPr>
            <w:tcW w:w="623" w:type="pct"/>
            <w:tcBorders>
              <w:top w:val="single" w:color="auto" w:sz="4" w:space="0"/>
              <w:bottom w:val="single" w:color="auto" w:sz="4" w:space="0"/>
            </w:tcBorders>
            <w:shd w:val="clear" w:color="auto" w:fill="auto"/>
            <w:noWrap/>
            <w:vAlign w:val="center"/>
          </w:tcPr>
          <w:p w14:paraId="71E33C4D">
            <w:pPr>
              <w:snapToGrid w:val="0"/>
              <w:spacing w:line="360" w:lineRule="auto"/>
              <w:jc w:val="center"/>
              <w:rPr>
                <w:rFonts w:ascii="Times New Roman Regular" w:hAnsi="Times New Roman Regular" w:cs="Times New Roman Regular"/>
                <w:b/>
                <w:color w:val="000000"/>
                <w:sz w:val="20"/>
                <w:szCs w:val="20"/>
                <w:highlight w:val="none"/>
              </w:rPr>
            </w:pPr>
            <w:r>
              <w:rPr>
                <w:rFonts w:ascii="Times New Roman Regular" w:hAnsi="Times New Roman Regular" w:cs="Times New Roman Regular"/>
                <w:b/>
                <w:color w:val="000000"/>
                <w:sz w:val="20"/>
                <w:szCs w:val="20"/>
                <w:highlight w:val="none"/>
              </w:rPr>
              <w:t>Company</w:t>
            </w:r>
          </w:p>
        </w:tc>
        <w:tc>
          <w:tcPr>
            <w:tcW w:w="424" w:type="pct"/>
            <w:tcBorders>
              <w:top w:val="single" w:color="auto" w:sz="4" w:space="0"/>
              <w:bottom w:val="single" w:color="auto" w:sz="4" w:space="0"/>
            </w:tcBorders>
            <w:shd w:val="clear" w:color="auto" w:fill="auto"/>
            <w:noWrap/>
            <w:vAlign w:val="center"/>
          </w:tcPr>
          <w:p w14:paraId="358D4AA3">
            <w:pPr>
              <w:snapToGrid w:val="0"/>
              <w:spacing w:line="360" w:lineRule="auto"/>
              <w:jc w:val="center"/>
              <w:rPr>
                <w:rFonts w:ascii="Times New Roman Regular" w:hAnsi="Times New Roman Regular" w:cs="Times New Roman Regular"/>
                <w:b/>
                <w:color w:val="000000"/>
                <w:sz w:val="20"/>
                <w:szCs w:val="20"/>
                <w:highlight w:val="none"/>
              </w:rPr>
            </w:pPr>
            <w:r>
              <w:rPr>
                <w:rFonts w:ascii="Times New Roman Regular" w:hAnsi="Times New Roman Regular" w:cs="Times New Roman Regular"/>
                <w:b/>
                <w:color w:val="000000"/>
                <w:sz w:val="20"/>
                <w:szCs w:val="20"/>
                <w:highlight w:val="none"/>
              </w:rPr>
              <w:t>Host</w:t>
            </w:r>
          </w:p>
        </w:tc>
        <w:tc>
          <w:tcPr>
            <w:tcW w:w="611" w:type="pct"/>
            <w:tcBorders>
              <w:top w:val="single" w:color="auto" w:sz="4" w:space="0"/>
              <w:bottom w:val="single" w:color="auto" w:sz="4" w:space="0"/>
            </w:tcBorders>
            <w:shd w:val="clear" w:color="auto" w:fill="auto"/>
            <w:noWrap/>
            <w:vAlign w:val="center"/>
          </w:tcPr>
          <w:p w14:paraId="08752204">
            <w:pPr>
              <w:snapToGrid w:val="0"/>
              <w:spacing w:line="360" w:lineRule="auto"/>
              <w:jc w:val="center"/>
              <w:rPr>
                <w:rFonts w:ascii="Times New Roman Regular" w:hAnsi="Times New Roman Regular" w:cs="Times New Roman Regular"/>
                <w:b/>
                <w:color w:val="000000"/>
                <w:sz w:val="20"/>
                <w:szCs w:val="20"/>
                <w:highlight w:val="none"/>
                <w:lang w:val="en-US" w:eastAsia="zh-CN"/>
              </w:rPr>
            </w:pPr>
            <w:r>
              <w:rPr>
                <w:rFonts w:ascii="Times New Roman Regular" w:hAnsi="Times New Roman Regular" w:cs="Times New Roman Regular"/>
                <w:b/>
                <w:color w:val="000000"/>
                <w:sz w:val="20"/>
                <w:szCs w:val="20"/>
                <w:highlight w:val="none"/>
                <w:lang w:val="en-US" w:eastAsia="zh-CN"/>
              </w:rPr>
              <w:t>Clonality</w:t>
            </w:r>
          </w:p>
        </w:tc>
        <w:tc>
          <w:tcPr>
            <w:tcW w:w="750" w:type="pct"/>
            <w:tcBorders>
              <w:top w:val="single" w:color="auto" w:sz="4" w:space="0"/>
              <w:bottom w:val="single" w:color="auto" w:sz="4" w:space="0"/>
            </w:tcBorders>
            <w:shd w:val="clear" w:color="auto" w:fill="auto"/>
            <w:noWrap/>
            <w:vAlign w:val="center"/>
          </w:tcPr>
          <w:p w14:paraId="10A69BEB">
            <w:pPr>
              <w:snapToGrid w:val="0"/>
              <w:spacing w:line="360" w:lineRule="auto"/>
              <w:jc w:val="center"/>
              <w:rPr>
                <w:rFonts w:ascii="Times New Roman Regular" w:hAnsi="Times New Roman Regular" w:cs="Times New Roman Regular"/>
                <w:b/>
                <w:color w:val="000000"/>
                <w:sz w:val="20"/>
                <w:szCs w:val="20"/>
                <w:highlight w:val="none"/>
              </w:rPr>
            </w:pPr>
            <w:r>
              <w:rPr>
                <w:rFonts w:ascii="Times New Roman Regular" w:hAnsi="Times New Roman Regular" w:cs="Times New Roman Regular"/>
                <w:b/>
                <w:color w:val="000000"/>
                <w:sz w:val="20"/>
                <w:szCs w:val="20"/>
                <w:highlight w:val="none"/>
                <w:lang w:val="en-US" w:eastAsia="zh-CN"/>
              </w:rPr>
              <w:t>Validated Species</w:t>
            </w:r>
          </w:p>
        </w:tc>
        <w:tc>
          <w:tcPr>
            <w:tcW w:w="699" w:type="pct"/>
            <w:tcBorders>
              <w:top w:val="single" w:color="auto" w:sz="4" w:space="0"/>
              <w:bottom w:val="single" w:color="auto" w:sz="4" w:space="0"/>
            </w:tcBorders>
            <w:shd w:val="clear" w:color="auto" w:fill="auto"/>
            <w:noWrap/>
            <w:vAlign w:val="center"/>
          </w:tcPr>
          <w:p w14:paraId="62B83D24">
            <w:pPr>
              <w:snapToGrid w:val="0"/>
              <w:spacing w:line="360" w:lineRule="auto"/>
              <w:jc w:val="center"/>
              <w:rPr>
                <w:rFonts w:ascii="Times New Roman Regular" w:hAnsi="Times New Roman Regular" w:cs="Times New Roman Regular"/>
                <w:b/>
                <w:color w:val="000000"/>
                <w:sz w:val="20"/>
                <w:szCs w:val="20"/>
                <w:highlight w:val="none"/>
              </w:rPr>
            </w:pPr>
            <w:r>
              <w:rPr>
                <w:rFonts w:ascii="Times New Roman Regular" w:hAnsi="Times New Roman Regular" w:cs="Times New Roman Regular"/>
                <w:b/>
                <w:color w:val="000000"/>
                <w:sz w:val="20"/>
                <w:szCs w:val="20"/>
                <w:highlight w:val="none"/>
              </w:rPr>
              <w:t>Tested Applications</w:t>
            </w:r>
          </w:p>
        </w:tc>
        <w:tc>
          <w:tcPr>
            <w:tcW w:w="360" w:type="pct"/>
            <w:tcBorders>
              <w:top w:val="single" w:color="auto" w:sz="4" w:space="0"/>
              <w:bottom w:val="single" w:color="auto" w:sz="4" w:space="0"/>
            </w:tcBorders>
            <w:shd w:val="clear" w:color="auto" w:fill="auto"/>
            <w:noWrap/>
            <w:vAlign w:val="center"/>
          </w:tcPr>
          <w:p w14:paraId="510E85D0">
            <w:pPr>
              <w:snapToGrid w:val="0"/>
              <w:spacing w:line="360" w:lineRule="auto"/>
              <w:jc w:val="center"/>
              <w:rPr>
                <w:rFonts w:ascii="Times New Roman Regular" w:hAnsi="Times New Roman Regular" w:cs="Times New Roman Regular"/>
                <w:b/>
                <w:color w:val="000000"/>
                <w:sz w:val="20"/>
                <w:szCs w:val="20"/>
                <w:highlight w:val="none"/>
              </w:rPr>
            </w:pPr>
            <w:r>
              <w:rPr>
                <w:rFonts w:ascii="Times New Roman Regular" w:hAnsi="Times New Roman Regular" w:cs="Times New Roman Regular"/>
                <w:b/>
                <w:color w:val="000000"/>
                <w:sz w:val="20"/>
                <w:szCs w:val="20"/>
                <w:highlight w:val="none"/>
              </w:rPr>
              <w:t>IF_dilution</w:t>
            </w:r>
          </w:p>
        </w:tc>
        <w:tc>
          <w:tcPr>
            <w:tcW w:w="415" w:type="pct"/>
            <w:tcBorders>
              <w:top w:val="single" w:color="auto" w:sz="4" w:space="0"/>
              <w:bottom w:val="single" w:color="auto" w:sz="4" w:space="0"/>
            </w:tcBorders>
            <w:shd w:val="clear" w:color="auto" w:fill="auto"/>
            <w:noWrap/>
            <w:vAlign w:val="center"/>
          </w:tcPr>
          <w:p w14:paraId="35306071">
            <w:pPr>
              <w:snapToGrid w:val="0"/>
              <w:spacing w:line="360" w:lineRule="auto"/>
              <w:jc w:val="center"/>
              <w:rPr>
                <w:rFonts w:ascii="Times New Roman Regular" w:hAnsi="Times New Roman Regular" w:cs="Times New Roman Regular"/>
                <w:b/>
                <w:color w:val="000000"/>
                <w:sz w:val="20"/>
                <w:szCs w:val="20"/>
                <w:highlight w:val="none"/>
              </w:rPr>
            </w:pPr>
            <w:r>
              <w:rPr>
                <w:rFonts w:ascii="Times New Roman Regular" w:hAnsi="Times New Roman Regular" w:cs="Times New Roman Regular"/>
                <w:b/>
                <w:color w:val="000000"/>
                <w:sz w:val="20"/>
                <w:szCs w:val="20"/>
                <w:highlight w:val="none"/>
              </w:rPr>
              <w:t>WB_dilution</w:t>
            </w:r>
          </w:p>
        </w:tc>
      </w:tr>
      <w:tr w14:paraId="1037AF58">
        <w:trPr>
          <w:trHeight w:val="1032" w:hRule="atLeast"/>
          <w:jc w:val="center"/>
        </w:trPr>
        <w:tc>
          <w:tcPr>
            <w:tcW w:w="589" w:type="pct"/>
            <w:tcBorders>
              <w:top w:val="single" w:color="auto" w:sz="4" w:space="0"/>
            </w:tcBorders>
            <w:shd w:val="clear" w:color="auto" w:fill="auto"/>
            <w:noWrap/>
            <w:vAlign w:val="center"/>
          </w:tcPr>
          <w:p w14:paraId="7B46DC17">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RALDH1</w:t>
            </w:r>
          </w:p>
        </w:tc>
        <w:tc>
          <w:tcPr>
            <w:tcW w:w="524" w:type="pct"/>
            <w:tcBorders>
              <w:top w:val="single" w:color="auto" w:sz="4" w:space="0"/>
            </w:tcBorders>
            <w:shd w:val="clear" w:color="auto" w:fill="auto"/>
            <w:noWrap/>
            <w:vAlign w:val="center"/>
          </w:tcPr>
          <w:p w14:paraId="68765EC8">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Ab52492</w:t>
            </w:r>
          </w:p>
        </w:tc>
        <w:tc>
          <w:tcPr>
            <w:tcW w:w="623" w:type="pct"/>
            <w:tcBorders>
              <w:top w:val="single" w:color="auto" w:sz="4" w:space="0"/>
            </w:tcBorders>
            <w:shd w:val="clear" w:color="auto" w:fill="auto"/>
            <w:noWrap/>
            <w:vAlign w:val="center"/>
          </w:tcPr>
          <w:p w14:paraId="201F0563">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Abcam</w:t>
            </w:r>
          </w:p>
        </w:tc>
        <w:tc>
          <w:tcPr>
            <w:tcW w:w="424" w:type="pct"/>
            <w:tcBorders>
              <w:top w:val="single" w:color="auto" w:sz="4" w:space="0"/>
            </w:tcBorders>
            <w:shd w:val="clear" w:color="auto" w:fill="auto"/>
            <w:noWrap/>
            <w:vAlign w:val="center"/>
          </w:tcPr>
          <w:p w14:paraId="611E5B90">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Rabbit</w:t>
            </w:r>
          </w:p>
        </w:tc>
        <w:tc>
          <w:tcPr>
            <w:tcW w:w="611" w:type="pct"/>
            <w:tcBorders>
              <w:top w:val="single" w:color="auto" w:sz="4" w:space="0"/>
            </w:tcBorders>
            <w:shd w:val="clear" w:color="auto" w:fill="auto"/>
            <w:noWrap/>
            <w:vAlign w:val="center"/>
          </w:tcPr>
          <w:p w14:paraId="64AB90C8">
            <w:pPr>
              <w:snapToGrid w:val="0"/>
              <w:spacing w:line="360" w:lineRule="auto"/>
              <w:jc w:val="center"/>
              <w:rPr>
                <w:rFonts w:ascii="Times New Roman Regular" w:hAnsi="Times New Roman Regular" w:cs="Times New Roman Regular"/>
                <w:color w:val="000000"/>
                <w:sz w:val="20"/>
                <w:szCs w:val="20"/>
                <w:highlight w:val="none"/>
                <w:lang w:val="en-US" w:eastAsia="zh-CN"/>
              </w:rPr>
            </w:pPr>
            <w:r>
              <w:rPr>
                <w:rFonts w:ascii="Times New Roman Regular" w:hAnsi="Times New Roman Regular" w:cs="Times New Roman Regular"/>
                <w:color w:val="000000"/>
                <w:sz w:val="20"/>
                <w:szCs w:val="20"/>
                <w:highlight w:val="none"/>
                <w:lang w:val="en-US" w:eastAsia="zh-CN"/>
              </w:rPr>
              <w:t>Monoclonal</w:t>
            </w:r>
          </w:p>
        </w:tc>
        <w:tc>
          <w:tcPr>
            <w:tcW w:w="750" w:type="pct"/>
            <w:tcBorders>
              <w:top w:val="single" w:color="auto" w:sz="4" w:space="0"/>
            </w:tcBorders>
            <w:shd w:val="clear" w:color="auto" w:fill="auto"/>
            <w:noWrap/>
            <w:vAlign w:val="center"/>
          </w:tcPr>
          <w:p w14:paraId="24DE30F5">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lang w:val="en-US" w:eastAsia="zh-CN"/>
              </w:rPr>
              <w:t>Mouse, Human</w:t>
            </w:r>
          </w:p>
        </w:tc>
        <w:tc>
          <w:tcPr>
            <w:tcW w:w="699" w:type="pct"/>
            <w:tcBorders>
              <w:top w:val="single" w:color="auto" w:sz="4" w:space="0"/>
            </w:tcBorders>
            <w:shd w:val="clear" w:color="auto" w:fill="auto"/>
            <w:noWrap/>
            <w:vAlign w:val="center"/>
          </w:tcPr>
          <w:p w14:paraId="7B08FAD8">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Flow Cyt (Intra), IHC-P, ICC/IF, IP, WB</w:t>
            </w:r>
          </w:p>
        </w:tc>
        <w:tc>
          <w:tcPr>
            <w:tcW w:w="360" w:type="pct"/>
            <w:tcBorders>
              <w:top w:val="single" w:color="auto" w:sz="4" w:space="0"/>
            </w:tcBorders>
            <w:shd w:val="clear" w:color="auto" w:fill="auto"/>
            <w:noWrap/>
            <w:vAlign w:val="center"/>
          </w:tcPr>
          <w:p w14:paraId="228C3A7D">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1:200</w:t>
            </w:r>
          </w:p>
        </w:tc>
        <w:tc>
          <w:tcPr>
            <w:tcW w:w="415" w:type="pct"/>
            <w:tcBorders>
              <w:top w:val="single" w:color="auto" w:sz="4" w:space="0"/>
            </w:tcBorders>
            <w:shd w:val="clear" w:color="auto" w:fill="auto"/>
            <w:noWrap/>
            <w:vAlign w:val="center"/>
          </w:tcPr>
          <w:p w14:paraId="78AC975C">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1:1000</w:t>
            </w:r>
          </w:p>
        </w:tc>
      </w:tr>
      <w:tr w14:paraId="2120014B">
        <w:trPr>
          <w:trHeight w:val="1032" w:hRule="atLeast"/>
          <w:jc w:val="center"/>
        </w:trPr>
        <w:tc>
          <w:tcPr>
            <w:tcW w:w="589" w:type="pct"/>
            <w:shd w:val="clear" w:color="auto" w:fill="auto"/>
            <w:noWrap/>
            <w:vAlign w:val="center"/>
          </w:tcPr>
          <w:p w14:paraId="434E6D74">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RALDH2</w:t>
            </w:r>
          </w:p>
        </w:tc>
        <w:tc>
          <w:tcPr>
            <w:tcW w:w="524" w:type="pct"/>
            <w:shd w:val="clear" w:color="auto" w:fill="auto"/>
            <w:noWrap/>
            <w:vAlign w:val="center"/>
          </w:tcPr>
          <w:p w14:paraId="32C9D49B">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sc22591</w:t>
            </w:r>
          </w:p>
        </w:tc>
        <w:tc>
          <w:tcPr>
            <w:tcW w:w="623" w:type="pct"/>
            <w:shd w:val="clear" w:color="auto" w:fill="auto"/>
            <w:noWrap/>
            <w:vAlign w:val="center"/>
          </w:tcPr>
          <w:p w14:paraId="03EE1382">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Santa Cruz</w:t>
            </w:r>
          </w:p>
        </w:tc>
        <w:tc>
          <w:tcPr>
            <w:tcW w:w="424" w:type="pct"/>
            <w:shd w:val="clear" w:color="auto" w:fill="auto"/>
            <w:noWrap/>
            <w:vAlign w:val="center"/>
          </w:tcPr>
          <w:p w14:paraId="5F6F037E">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Goat</w:t>
            </w:r>
          </w:p>
        </w:tc>
        <w:tc>
          <w:tcPr>
            <w:tcW w:w="611" w:type="pct"/>
            <w:shd w:val="clear" w:color="auto" w:fill="auto"/>
            <w:noWrap/>
            <w:vAlign w:val="center"/>
          </w:tcPr>
          <w:p w14:paraId="40E5EB7D">
            <w:pPr>
              <w:snapToGrid w:val="0"/>
              <w:spacing w:line="360" w:lineRule="auto"/>
              <w:jc w:val="center"/>
              <w:rPr>
                <w:rFonts w:ascii="Times New Roman Regular" w:hAnsi="Times New Roman Regular" w:cs="Times New Roman Regular"/>
                <w:color w:val="000000"/>
                <w:sz w:val="20"/>
                <w:szCs w:val="20"/>
                <w:highlight w:val="none"/>
                <w:lang w:val="en-US"/>
              </w:rPr>
            </w:pPr>
            <w:r>
              <w:rPr>
                <w:rFonts w:ascii="Times New Roman Regular" w:hAnsi="Times New Roman Regular" w:cs="Times New Roman Regular"/>
                <w:color w:val="000000"/>
                <w:sz w:val="20"/>
                <w:szCs w:val="20"/>
                <w:highlight w:val="none"/>
                <w:lang w:val="en-US"/>
              </w:rPr>
              <w:t>P</w:t>
            </w:r>
            <w:r>
              <w:rPr>
                <w:rFonts w:ascii="Times New Roman Regular" w:hAnsi="Times New Roman Regular" w:cs="Times New Roman Regular"/>
                <w:color w:val="000000"/>
                <w:sz w:val="20"/>
                <w:szCs w:val="20"/>
                <w:highlight w:val="none"/>
              </w:rPr>
              <w:t xml:space="preserve">olyclonal </w:t>
            </w:r>
          </w:p>
        </w:tc>
        <w:tc>
          <w:tcPr>
            <w:tcW w:w="750" w:type="pct"/>
            <w:shd w:val="clear" w:color="auto" w:fill="auto"/>
            <w:noWrap/>
            <w:vAlign w:val="center"/>
          </w:tcPr>
          <w:p w14:paraId="4F87F7C5">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lang w:val="en-US"/>
              </w:rPr>
              <w:t>M</w:t>
            </w:r>
            <w:r>
              <w:rPr>
                <w:rFonts w:ascii="Times New Roman Regular" w:hAnsi="Times New Roman Regular" w:cs="Times New Roman Regular"/>
                <w:color w:val="000000"/>
                <w:sz w:val="20"/>
                <w:szCs w:val="20"/>
                <w:highlight w:val="none"/>
              </w:rPr>
              <w:t xml:space="preserve">ouse, </w:t>
            </w:r>
            <w:r>
              <w:rPr>
                <w:rFonts w:ascii="Times New Roman Regular" w:hAnsi="Times New Roman Regular" w:cs="Times New Roman Regular"/>
                <w:color w:val="000000"/>
                <w:sz w:val="20"/>
                <w:szCs w:val="20"/>
                <w:highlight w:val="none"/>
                <w:lang w:val="en-US"/>
              </w:rPr>
              <w:t>R</w:t>
            </w:r>
            <w:r>
              <w:rPr>
                <w:rFonts w:ascii="Times New Roman Regular" w:hAnsi="Times New Roman Regular" w:cs="Times New Roman Regular"/>
                <w:color w:val="000000"/>
                <w:sz w:val="20"/>
                <w:szCs w:val="20"/>
                <w:highlight w:val="none"/>
              </w:rPr>
              <w:t>at</w:t>
            </w:r>
            <w:r>
              <w:rPr>
                <w:rFonts w:ascii="Times New Roman Regular" w:hAnsi="Times New Roman Regular" w:cs="Times New Roman Regular"/>
                <w:color w:val="000000"/>
                <w:sz w:val="20"/>
                <w:szCs w:val="20"/>
                <w:highlight w:val="none"/>
                <w:lang w:val="en-US"/>
              </w:rPr>
              <w:t>, H</w:t>
            </w:r>
            <w:r>
              <w:rPr>
                <w:rFonts w:ascii="Times New Roman Regular" w:hAnsi="Times New Roman Regular" w:cs="Times New Roman Regular"/>
                <w:color w:val="000000"/>
                <w:sz w:val="20"/>
                <w:szCs w:val="20"/>
                <w:highlight w:val="none"/>
              </w:rPr>
              <w:t>uman</w:t>
            </w:r>
          </w:p>
        </w:tc>
        <w:tc>
          <w:tcPr>
            <w:tcW w:w="699" w:type="pct"/>
            <w:shd w:val="clear" w:color="auto" w:fill="auto"/>
            <w:noWrap/>
            <w:vAlign w:val="center"/>
          </w:tcPr>
          <w:p w14:paraId="2E3926D8">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WB, IP, IF, IHC(P)</w:t>
            </w:r>
            <w:r>
              <w:rPr>
                <w:rFonts w:ascii="Times New Roman Regular" w:hAnsi="Times New Roman Regular" w:cs="Times New Roman Regular"/>
                <w:color w:val="000000"/>
                <w:sz w:val="20"/>
                <w:szCs w:val="20"/>
                <w:highlight w:val="none"/>
                <w:lang w:val="en-US"/>
              </w:rPr>
              <w:t xml:space="preserve">, </w:t>
            </w:r>
            <w:r>
              <w:rPr>
                <w:rFonts w:ascii="Times New Roman Regular" w:hAnsi="Times New Roman Regular" w:cs="Times New Roman Regular"/>
                <w:color w:val="000000"/>
                <w:sz w:val="20"/>
                <w:szCs w:val="20"/>
                <w:highlight w:val="none"/>
              </w:rPr>
              <w:t>ELISA</w:t>
            </w:r>
          </w:p>
        </w:tc>
        <w:tc>
          <w:tcPr>
            <w:tcW w:w="360" w:type="pct"/>
            <w:shd w:val="clear" w:color="auto" w:fill="auto"/>
            <w:noWrap/>
            <w:vAlign w:val="center"/>
          </w:tcPr>
          <w:p w14:paraId="619403FC">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1:200</w:t>
            </w:r>
          </w:p>
        </w:tc>
        <w:tc>
          <w:tcPr>
            <w:tcW w:w="415" w:type="pct"/>
            <w:shd w:val="clear" w:color="auto" w:fill="auto"/>
            <w:noWrap/>
            <w:vAlign w:val="center"/>
          </w:tcPr>
          <w:p w14:paraId="0669BA62">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1:1000</w:t>
            </w:r>
          </w:p>
        </w:tc>
      </w:tr>
      <w:tr w14:paraId="53013906">
        <w:trPr>
          <w:trHeight w:val="1032" w:hRule="atLeast"/>
          <w:jc w:val="center"/>
        </w:trPr>
        <w:tc>
          <w:tcPr>
            <w:tcW w:w="589" w:type="pct"/>
            <w:shd w:val="clear" w:color="auto" w:fill="auto"/>
            <w:noWrap/>
            <w:vAlign w:val="center"/>
          </w:tcPr>
          <w:p w14:paraId="63DE5CDB">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RARα</w:t>
            </w:r>
          </w:p>
        </w:tc>
        <w:tc>
          <w:tcPr>
            <w:tcW w:w="524" w:type="pct"/>
            <w:shd w:val="clear" w:color="auto" w:fill="auto"/>
            <w:noWrap/>
            <w:vAlign w:val="center"/>
          </w:tcPr>
          <w:p w14:paraId="649D29C1">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GTX</w:t>
            </w:r>
          </w:p>
          <w:p w14:paraId="7C57B60A">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54703</w:t>
            </w:r>
          </w:p>
        </w:tc>
        <w:tc>
          <w:tcPr>
            <w:tcW w:w="623" w:type="pct"/>
            <w:shd w:val="clear" w:color="auto" w:fill="auto"/>
            <w:noWrap/>
            <w:vAlign w:val="center"/>
          </w:tcPr>
          <w:p w14:paraId="4BEF912C">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GeneTex</w:t>
            </w:r>
          </w:p>
        </w:tc>
        <w:tc>
          <w:tcPr>
            <w:tcW w:w="424" w:type="pct"/>
            <w:shd w:val="clear" w:color="auto" w:fill="auto"/>
            <w:noWrap/>
            <w:vAlign w:val="center"/>
          </w:tcPr>
          <w:p w14:paraId="40A1226C">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Rabbit</w:t>
            </w:r>
          </w:p>
        </w:tc>
        <w:tc>
          <w:tcPr>
            <w:tcW w:w="611" w:type="pct"/>
            <w:shd w:val="clear" w:color="auto" w:fill="auto"/>
            <w:noWrap/>
            <w:vAlign w:val="center"/>
          </w:tcPr>
          <w:p w14:paraId="00B2501F">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Polyclonal</w:t>
            </w:r>
          </w:p>
        </w:tc>
        <w:tc>
          <w:tcPr>
            <w:tcW w:w="750" w:type="pct"/>
            <w:shd w:val="clear" w:color="auto" w:fill="auto"/>
            <w:noWrap/>
            <w:vAlign w:val="center"/>
          </w:tcPr>
          <w:p w14:paraId="53B8624B">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Mouse, Rat,</w:t>
            </w:r>
            <w:r>
              <w:rPr>
                <w:rFonts w:ascii="Times New Roman Regular" w:hAnsi="Times New Roman Regular" w:cs="Times New Roman Regular"/>
                <w:color w:val="000000"/>
                <w:sz w:val="20"/>
                <w:szCs w:val="20"/>
                <w:highlight w:val="none"/>
                <w:lang w:val="en-US"/>
              </w:rPr>
              <w:t xml:space="preserve"> </w:t>
            </w:r>
            <w:r>
              <w:rPr>
                <w:rFonts w:ascii="Times New Roman Regular" w:hAnsi="Times New Roman Regular" w:cs="Times New Roman Regular"/>
                <w:color w:val="000000"/>
                <w:sz w:val="20"/>
                <w:szCs w:val="20"/>
                <w:highlight w:val="none"/>
              </w:rPr>
              <w:t xml:space="preserve">Human </w:t>
            </w:r>
          </w:p>
        </w:tc>
        <w:tc>
          <w:tcPr>
            <w:tcW w:w="699" w:type="pct"/>
            <w:shd w:val="clear" w:color="auto" w:fill="auto"/>
            <w:noWrap/>
            <w:vAlign w:val="center"/>
          </w:tcPr>
          <w:p w14:paraId="639FB774">
            <w:pPr>
              <w:snapToGrid w:val="0"/>
              <w:spacing w:line="360" w:lineRule="auto"/>
              <w:jc w:val="center"/>
              <w:rPr>
                <w:rFonts w:ascii="Times New Roman Regular" w:hAnsi="Times New Roman Regular" w:cs="Times New Roman Regular"/>
                <w:color w:val="000000"/>
                <w:sz w:val="20"/>
                <w:szCs w:val="20"/>
                <w:highlight w:val="none"/>
                <w:lang w:val="en-US"/>
              </w:rPr>
            </w:pPr>
            <w:r>
              <w:rPr>
                <w:rFonts w:ascii="Times New Roman Regular" w:hAnsi="Times New Roman Regular" w:cs="Times New Roman Regular"/>
                <w:color w:val="000000"/>
                <w:sz w:val="20"/>
                <w:szCs w:val="20"/>
                <w:highlight w:val="none"/>
                <w:lang w:val="en-US"/>
              </w:rPr>
              <w:t>W</w:t>
            </w:r>
            <w:r>
              <w:rPr>
                <w:rFonts w:ascii="Times New Roman Regular" w:hAnsi="Times New Roman Regular" w:cs="Times New Roman Regular"/>
                <w:color w:val="000000"/>
                <w:sz w:val="20"/>
                <w:szCs w:val="20"/>
                <w:highlight w:val="none"/>
              </w:rPr>
              <w:t>B</w:t>
            </w:r>
            <w:r>
              <w:rPr>
                <w:rFonts w:ascii="Times New Roman Regular" w:hAnsi="Times New Roman Regular" w:cs="Times New Roman Regular"/>
                <w:color w:val="000000"/>
                <w:sz w:val="20"/>
                <w:szCs w:val="20"/>
                <w:highlight w:val="none"/>
                <w:lang w:val="en-US"/>
              </w:rPr>
              <w:t>,</w:t>
            </w:r>
          </w:p>
          <w:p w14:paraId="014DCB24">
            <w:pPr>
              <w:snapToGrid w:val="0"/>
              <w:spacing w:line="360" w:lineRule="auto"/>
              <w:jc w:val="center"/>
              <w:rPr>
                <w:rFonts w:ascii="Times New Roman Regular" w:hAnsi="Times New Roman Regular" w:cs="Times New Roman Regular"/>
                <w:color w:val="000000"/>
                <w:sz w:val="20"/>
                <w:szCs w:val="20"/>
                <w:highlight w:val="none"/>
                <w:lang w:val="en-US"/>
              </w:rPr>
            </w:pPr>
            <w:r>
              <w:rPr>
                <w:rFonts w:ascii="Times New Roman Regular" w:hAnsi="Times New Roman Regular" w:cs="Times New Roman Regular"/>
                <w:color w:val="000000"/>
                <w:sz w:val="20"/>
                <w:szCs w:val="20"/>
                <w:highlight w:val="none"/>
              </w:rPr>
              <w:t>ICC/IF</w:t>
            </w:r>
            <w:r>
              <w:rPr>
                <w:rFonts w:ascii="Times New Roman Regular" w:hAnsi="Times New Roman Regular" w:cs="Times New Roman Regular"/>
                <w:color w:val="000000"/>
                <w:sz w:val="20"/>
                <w:szCs w:val="20"/>
                <w:highlight w:val="none"/>
                <w:lang w:val="en-US"/>
              </w:rPr>
              <w:t>,</w:t>
            </w:r>
          </w:p>
          <w:p w14:paraId="2076CA12">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IHC-P</w:t>
            </w:r>
          </w:p>
        </w:tc>
        <w:tc>
          <w:tcPr>
            <w:tcW w:w="360" w:type="pct"/>
            <w:shd w:val="clear" w:color="auto" w:fill="auto"/>
            <w:noWrap/>
            <w:vAlign w:val="center"/>
          </w:tcPr>
          <w:p w14:paraId="0832CB8B">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1:200</w:t>
            </w:r>
          </w:p>
        </w:tc>
        <w:tc>
          <w:tcPr>
            <w:tcW w:w="415" w:type="pct"/>
            <w:shd w:val="clear" w:color="auto" w:fill="auto"/>
            <w:noWrap/>
            <w:vAlign w:val="center"/>
          </w:tcPr>
          <w:p w14:paraId="1FB7388D">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1:1000</w:t>
            </w:r>
          </w:p>
        </w:tc>
      </w:tr>
      <w:tr w14:paraId="686D8D52">
        <w:trPr>
          <w:trHeight w:val="737" w:hRule="atLeast"/>
          <w:jc w:val="center"/>
        </w:trPr>
        <w:tc>
          <w:tcPr>
            <w:tcW w:w="589" w:type="pct"/>
            <w:shd w:val="clear" w:color="auto" w:fill="auto"/>
            <w:noWrap/>
            <w:vAlign w:val="center"/>
          </w:tcPr>
          <w:p w14:paraId="70F57B6C">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RARα</w:t>
            </w:r>
          </w:p>
        </w:tc>
        <w:tc>
          <w:tcPr>
            <w:tcW w:w="524" w:type="pct"/>
            <w:shd w:val="clear" w:color="auto" w:fill="auto"/>
            <w:noWrap/>
            <w:vAlign w:val="center"/>
          </w:tcPr>
          <w:p w14:paraId="148CD779">
            <w:pPr>
              <w:snapToGrid w:val="0"/>
              <w:spacing w:line="360" w:lineRule="auto"/>
              <w:jc w:val="center"/>
              <w:rPr>
                <w:rFonts w:ascii="Times New Roman Regular" w:hAnsi="Times New Roman Regular" w:cs="Times New Roman Regula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a</w:t>
            </w:r>
            <w:r>
              <w:rPr>
                <w:rFonts w:ascii="Times New Roman Regular" w:hAnsi="Times New Roman Regular" w:cs="Times New Roman Regular"/>
                <w:color w:val="000000"/>
                <w:sz w:val="20"/>
                <w:szCs w:val="20"/>
                <w:highlight w:val="none"/>
              </w:rPr>
              <w:t>b28767</w:t>
            </w:r>
          </w:p>
        </w:tc>
        <w:tc>
          <w:tcPr>
            <w:tcW w:w="623" w:type="pct"/>
            <w:shd w:val="clear" w:color="auto" w:fill="auto"/>
            <w:noWrap/>
            <w:vAlign w:val="center"/>
          </w:tcPr>
          <w:p w14:paraId="7A32EC89">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Abcam</w:t>
            </w:r>
          </w:p>
        </w:tc>
        <w:tc>
          <w:tcPr>
            <w:tcW w:w="424" w:type="pct"/>
            <w:shd w:val="clear" w:color="auto" w:fill="auto"/>
            <w:noWrap/>
            <w:vAlign w:val="center"/>
          </w:tcPr>
          <w:p w14:paraId="0EA92AB9">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Goat</w:t>
            </w:r>
          </w:p>
        </w:tc>
        <w:tc>
          <w:tcPr>
            <w:tcW w:w="611" w:type="pct"/>
            <w:shd w:val="clear" w:color="auto" w:fill="auto"/>
            <w:noWrap/>
            <w:vAlign w:val="center"/>
          </w:tcPr>
          <w:p w14:paraId="0AD8C4DD">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 xml:space="preserve"> Polyclonal</w:t>
            </w:r>
          </w:p>
        </w:tc>
        <w:tc>
          <w:tcPr>
            <w:tcW w:w="750" w:type="pct"/>
            <w:shd w:val="clear" w:color="auto" w:fill="auto"/>
            <w:noWrap/>
            <w:vAlign w:val="center"/>
          </w:tcPr>
          <w:p w14:paraId="39051AF7">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Human</w:t>
            </w:r>
          </w:p>
        </w:tc>
        <w:tc>
          <w:tcPr>
            <w:tcW w:w="699" w:type="pct"/>
            <w:shd w:val="clear" w:color="auto" w:fill="auto"/>
            <w:noWrap/>
            <w:vAlign w:val="center"/>
          </w:tcPr>
          <w:p w14:paraId="13E856EA">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WB</w:t>
            </w:r>
          </w:p>
        </w:tc>
        <w:tc>
          <w:tcPr>
            <w:tcW w:w="360" w:type="pct"/>
            <w:shd w:val="clear" w:color="auto" w:fill="auto"/>
            <w:noWrap/>
            <w:vAlign w:val="center"/>
          </w:tcPr>
          <w:p w14:paraId="535B1909">
            <w:pPr>
              <w:snapToGrid w:val="0"/>
              <w:spacing w:line="360" w:lineRule="auto"/>
              <w:jc w:val="center"/>
              <w:rPr>
                <w:rFonts w:ascii="Times New Roman Regular" w:hAnsi="Times New Roman Regular" w:cs="Times New Roman Regular"/>
                <w:color w:val="000000"/>
                <w:sz w:val="20"/>
                <w:szCs w:val="20"/>
                <w:highlight w:val="none"/>
              </w:rPr>
            </w:pPr>
          </w:p>
        </w:tc>
        <w:tc>
          <w:tcPr>
            <w:tcW w:w="415" w:type="pct"/>
            <w:shd w:val="clear" w:color="auto" w:fill="auto"/>
            <w:noWrap/>
            <w:vAlign w:val="center"/>
          </w:tcPr>
          <w:p w14:paraId="68DC59CA">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1:1000</w:t>
            </w:r>
          </w:p>
        </w:tc>
      </w:tr>
      <w:tr w14:paraId="6B3C73DF">
        <w:trPr>
          <w:trHeight w:val="858" w:hRule="atLeast"/>
          <w:jc w:val="center"/>
        </w:trPr>
        <w:tc>
          <w:tcPr>
            <w:tcW w:w="589" w:type="pct"/>
            <w:shd w:val="clear" w:color="auto" w:fill="auto"/>
            <w:noWrap/>
            <w:vAlign w:val="center"/>
          </w:tcPr>
          <w:p w14:paraId="4DD3750E">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RARγ</w:t>
            </w:r>
          </w:p>
        </w:tc>
        <w:tc>
          <w:tcPr>
            <w:tcW w:w="524" w:type="pct"/>
            <w:shd w:val="clear" w:color="auto" w:fill="auto"/>
            <w:noWrap/>
            <w:vAlign w:val="center"/>
          </w:tcPr>
          <w:p w14:paraId="443E7400">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LS-B10760</w:t>
            </w:r>
          </w:p>
        </w:tc>
        <w:tc>
          <w:tcPr>
            <w:tcW w:w="623" w:type="pct"/>
            <w:shd w:val="clear" w:color="auto" w:fill="auto"/>
            <w:noWrap/>
            <w:vAlign w:val="center"/>
          </w:tcPr>
          <w:p w14:paraId="2AF4FCA4">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LifeSpan BioSciences</w:t>
            </w:r>
          </w:p>
        </w:tc>
        <w:tc>
          <w:tcPr>
            <w:tcW w:w="424" w:type="pct"/>
            <w:shd w:val="clear" w:color="auto" w:fill="auto"/>
            <w:noWrap/>
            <w:vAlign w:val="center"/>
          </w:tcPr>
          <w:p w14:paraId="138CF4D9">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Rabbit</w:t>
            </w:r>
          </w:p>
        </w:tc>
        <w:tc>
          <w:tcPr>
            <w:tcW w:w="611" w:type="pct"/>
            <w:shd w:val="clear" w:color="auto" w:fill="auto"/>
            <w:noWrap/>
            <w:vAlign w:val="center"/>
          </w:tcPr>
          <w:p w14:paraId="2199F76F">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Polyclonal</w:t>
            </w:r>
          </w:p>
        </w:tc>
        <w:tc>
          <w:tcPr>
            <w:tcW w:w="750" w:type="pct"/>
            <w:shd w:val="clear" w:color="auto" w:fill="auto"/>
            <w:noWrap/>
            <w:vAlign w:val="center"/>
          </w:tcPr>
          <w:p w14:paraId="2AB6258F">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Mouse,</w:t>
            </w:r>
          </w:p>
          <w:p w14:paraId="28CB9653">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Human</w:t>
            </w:r>
          </w:p>
        </w:tc>
        <w:tc>
          <w:tcPr>
            <w:tcW w:w="699" w:type="pct"/>
            <w:shd w:val="clear" w:color="auto" w:fill="auto"/>
            <w:noWrap/>
            <w:vAlign w:val="center"/>
          </w:tcPr>
          <w:p w14:paraId="2552AA8C">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IHC,</w:t>
            </w:r>
            <w:r>
              <w:rPr>
                <w:rFonts w:hint="eastAsia" w:ascii="Times New Roman Regular" w:hAnsi="Times New Roman Regular" w:eastAsia="宋体" w:cs="Times New Roman Regular"/>
                <w:color w:val="000000"/>
                <w:sz w:val="20"/>
                <w:szCs w:val="20"/>
                <w:highlight w:val="none"/>
                <w:lang w:val="en-US" w:eastAsia="zh-CN"/>
              </w:rPr>
              <w:t xml:space="preserve"> </w:t>
            </w:r>
            <w:r>
              <w:rPr>
                <w:rFonts w:ascii="Times New Roman Regular" w:hAnsi="Times New Roman Regular" w:cs="Times New Roman Regular"/>
                <w:color w:val="000000"/>
                <w:sz w:val="20"/>
                <w:szCs w:val="20"/>
                <w:highlight w:val="none"/>
              </w:rPr>
              <w:t>IHC-P, WB</w:t>
            </w:r>
          </w:p>
        </w:tc>
        <w:tc>
          <w:tcPr>
            <w:tcW w:w="360" w:type="pct"/>
            <w:shd w:val="clear" w:color="auto" w:fill="auto"/>
            <w:noWrap/>
            <w:vAlign w:val="center"/>
          </w:tcPr>
          <w:p w14:paraId="6F657FC5">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1:200</w:t>
            </w:r>
          </w:p>
        </w:tc>
        <w:tc>
          <w:tcPr>
            <w:tcW w:w="415" w:type="pct"/>
            <w:shd w:val="clear" w:color="auto" w:fill="auto"/>
            <w:noWrap/>
            <w:vAlign w:val="center"/>
          </w:tcPr>
          <w:p w14:paraId="23E38A46">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1:1000</w:t>
            </w:r>
          </w:p>
        </w:tc>
      </w:tr>
      <w:tr w14:paraId="7C5E0D81">
        <w:trPr>
          <w:trHeight w:val="1032" w:hRule="atLeast"/>
          <w:jc w:val="center"/>
        </w:trPr>
        <w:tc>
          <w:tcPr>
            <w:tcW w:w="589" w:type="pct"/>
            <w:shd w:val="clear" w:color="auto" w:fill="auto"/>
            <w:noWrap/>
            <w:vAlign w:val="center"/>
          </w:tcPr>
          <w:p w14:paraId="0936270E">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CYP26A1</w:t>
            </w:r>
          </w:p>
        </w:tc>
        <w:tc>
          <w:tcPr>
            <w:tcW w:w="524" w:type="pct"/>
            <w:shd w:val="clear" w:color="auto" w:fill="auto"/>
            <w:noWrap/>
            <w:vAlign w:val="center"/>
          </w:tcPr>
          <w:p w14:paraId="7D84ED11">
            <w:pPr>
              <w:snapToGrid w:val="0"/>
              <w:spacing w:line="360" w:lineRule="auto"/>
              <w:jc w:val="center"/>
              <w:rPr>
                <w:rFonts w:ascii="Times New Roman Regular" w:hAnsi="Times New Roman Regular" w:cs="Times New Roman Regula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a</w:t>
            </w:r>
            <w:r>
              <w:rPr>
                <w:rFonts w:ascii="Times New Roman Regular" w:hAnsi="Times New Roman Regular" w:cs="Times New Roman Regular"/>
                <w:color w:val="000000"/>
                <w:sz w:val="20"/>
                <w:szCs w:val="20"/>
                <w:highlight w:val="none"/>
              </w:rPr>
              <w:t>b151968</w:t>
            </w:r>
          </w:p>
        </w:tc>
        <w:tc>
          <w:tcPr>
            <w:tcW w:w="623" w:type="pct"/>
            <w:shd w:val="clear" w:color="auto" w:fill="auto"/>
            <w:noWrap/>
            <w:vAlign w:val="center"/>
          </w:tcPr>
          <w:p w14:paraId="6F87B316">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Abcam</w:t>
            </w:r>
          </w:p>
        </w:tc>
        <w:tc>
          <w:tcPr>
            <w:tcW w:w="424" w:type="pct"/>
            <w:shd w:val="clear" w:color="auto" w:fill="auto"/>
            <w:noWrap/>
            <w:vAlign w:val="center"/>
          </w:tcPr>
          <w:p w14:paraId="43EE5465">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Rabbit</w:t>
            </w:r>
          </w:p>
        </w:tc>
        <w:tc>
          <w:tcPr>
            <w:tcW w:w="611" w:type="pct"/>
            <w:shd w:val="clear" w:color="auto" w:fill="auto"/>
            <w:noWrap/>
            <w:vAlign w:val="center"/>
          </w:tcPr>
          <w:p w14:paraId="292874D8">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Polyclonal</w:t>
            </w:r>
          </w:p>
        </w:tc>
        <w:tc>
          <w:tcPr>
            <w:tcW w:w="750" w:type="pct"/>
            <w:shd w:val="clear" w:color="auto" w:fill="auto"/>
            <w:noWrap/>
            <w:vAlign w:val="center"/>
          </w:tcPr>
          <w:p w14:paraId="10174742">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Mouse, Human</w:t>
            </w:r>
          </w:p>
        </w:tc>
        <w:tc>
          <w:tcPr>
            <w:tcW w:w="699" w:type="pct"/>
            <w:shd w:val="clear" w:color="auto" w:fill="auto"/>
            <w:noWrap/>
            <w:vAlign w:val="center"/>
          </w:tcPr>
          <w:p w14:paraId="681558B6">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WB, IHC-P</w:t>
            </w:r>
          </w:p>
        </w:tc>
        <w:tc>
          <w:tcPr>
            <w:tcW w:w="360" w:type="pct"/>
            <w:shd w:val="clear" w:color="auto" w:fill="auto"/>
            <w:noWrap/>
            <w:vAlign w:val="center"/>
          </w:tcPr>
          <w:p w14:paraId="15F91EA1">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1:200</w:t>
            </w:r>
          </w:p>
        </w:tc>
        <w:tc>
          <w:tcPr>
            <w:tcW w:w="415" w:type="pct"/>
            <w:shd w:val="clear" w:color="auto" w:fill="auto"/>
            <w:noWrap/>
            <w:vAlign w:val="center"/>
          </w:tcPr>
          <w:p w14:paraId="1118B82B">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1:1000</w:t>
            </w:r>
          </w:p>
        </w:tc>
      </w:tr>
      <w:tr w14:paraId="5D90DF3B">
        <w:trPr>
          <w:trHeight w:val="1032" w:hRule="atLeast"/>
          <w:jc w:val="center"/>
        </w:trPr>
        <w:tc>
          <w:tcPr>
            <w:tcW w:w="589" w:type="pct"/>
            <w:shd w:val="clear" w:color="auto" w:fill="auto"/>
            <w:noWrap/>
            <w:vAlign w:val="center"/>
          </w:tcPr>
          <w:p w14:paraId="3F38FD6F">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CYP26B1</w:t>
            </w:r>
          </w:p>
        </w:tc>
        <w:tc>
          <w:tcPr>
            <w:tcW w:w="524" w:type="pct"/>
            <w:shd w:val="clear" w:color="auto" w:fill="auto"/>
            <w:noWrap/>
            <w:vAlign w:val="center"/>
          </w:tcPr>
          <w:p w14:paraId="085F50A3">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21555-1-AP</w:t>
            </w:r>
          </w:p>
        </w:tc>
        <w:tc>
          <w:tcPr>
            <w:tcW w:w="623" w:type="pct"/>
            <w:shd w:val="clear" w:color="auto" w:fill="auto"/>
            <w:noWrap/>
            <w:vAlign w:val="center"/>
          </w:tcPr>
          <w:p w14:paraId="4BA5315D">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Proteintech</w:t>
            </w:r>
          </w:p>
        </w:tc>
        <w:tc>
          <w:tcPr>
            <w:tcW w:w="424" w:type="pct"/>
            <w:shd w:val="clear" w:color="auto" w:fill="auto"/>
            <w:noWrap/>
            <w:vAlign w:val="center"/>
          </w:tcPr>
          <w:p w14:paraId="1B63A6D0">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Rabbit</w:t>
            </w:r>
          </w:p>
        </w:tc>
        <w:tc>
          <w:tcPr>
            <w:tcW w:w="611" w:type="pct"/>
            <w:shd w:val="clear" w:color="auto" w:fill="auto"/>
            <w:noWrap/>
            <w:vAlign w:val="center"/>
          </w:tcPr>
          <w:p w14:paraId="59032DDC">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Polyclonal</w:t>
            </w:r>
          </w:p>
        </w:tc>
        <w:tc>
          <w:tcPr>
            <w:tcW w:w="750" w:type="pct"/>
            <w:shd w:val="clear" w:color="auto" w:fill="auto"/>
            <w:noWrap/>
            <w:vAlign w:val="center"/>
          </w:tcPr>
          <w:p w14:paraId="6A0348E1">
            <w:pPr>
              <w:snapToGrid w:val="0"/>
              <w:spacing w:line="360" w:lineRule="auto"/>
              <w:jc w:val="center"/>
              <w:rPr>
                <w:rFonts w:ascii="Times New Roman Regular" w:hAnsi="Times New Roman Regular" w:eastAsia="宋体" w:cs="Times New Roman Regular"/>
                <w:color w:val="000000"/>
                <w:sz w:val="20"/>
                <w:szCs w:val="20"/>
                <w:highlight w:val="none"/>
                <w:lang w:eastAsia="zh-CN"/>
              </w:rPr>
            </w:pPr>
            <w:r>
              <w:rPr>
                <w:rFonts w:ascii="Times New Roman Regular" w:hAnsi="Times New Roman Regular" w:cs="Times New Roman Regular"/>
                <w:color w:val="000000"/>
                <w:sz w:val="20"/>
                <w:szCs w:val="20"/>
                <w:highlight w:val="none"/>
              </w:rPr>
              <w:t>Mouse, Rat,</w:t>
            </w:r>
            <w:r>
              <w:rPr>
                <w:rFonts w:ascii="Times New Roman Regular" w:hAnsi="Times New Roman Regular" w:cs="Times New Roman Regular"/>
                <w:color w:val="000000"/>
                <w:sz w:val="20"/>
                <w:szCs w:val="20"/>
                <w:highlight w:val="none"/>
                <w:lang w:val="en-US"/>
              </w:rPr>
              <w:t xml:space="preserve"> </w:t>
            </w:r>
            <w:r>
              <w:rPr>
                <w:rFonts w:ascii="Times New Roman Regular" w:hAnsi="Times New Roman Regular" w:cs="Times New Roman Regular"/>
                <w:color w:val="000000"/>
                <w:sz w:val="20"/>
                <w:szCs w:val="20"/>
                <w:highlight w:val="none"/>
              </w:rPr>
              <w:t xml:space="preserve">Human </w:t>
            </w:r>
          </w:p>
        </w:tc>
        <w:tc>
          <w:tcPr>
            <w:tcW w:w="699" w:type="pct"/>
            <w:shd w:val="clear" w:color="auto" w:fill="auto"/>
            <w:noWrap/>
            <w:vAlign w:val="center"/>
          </w:tcPr>
          <w:p w14:paraId="1B0FD886">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WB, IHC, IF/ICC, IP, ELISA</w:t>
            </w:r>
          </w:p>
        </w:tc>
        <w:tc>
          <w:tcPr>
            <w:tcW w:w="360" w:type="pct"/>
            <w:shd w:val="clear" w:color="auto" w:fill="auto"/>
            <w:noWrap/>
            <w:vAlign w:val="center"/>
          </w:tcPr>
          <w:p w14:paraId="49F25F07">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1:200</w:t>
            </w:r>
          </w:p>
        </w:tc>
        <w:tc>
          <w:tcPr>
            <w:tcW w:w="415" w:type="pct"/>
            <w:shd w:val="clear" w:color="auto" w:fill="auto"/>
            <w:noWrap/>
            <w:vAlign w:val="center"/>
          </w:tcPr>
          <w:p w14:paraId="72345AEB">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1:1000</w:t>
            </w:r>
          </w:p>
        </w:tc>
      </w:tr>
      <w:tr w14:paraId="5B531639">
        <w:trPr>
          <w:trHeight w:val="1032" w:hRule="atLeast"/>
          <w:jc w:val="center"/>
        </w:trPr>
        <w:tc>
          <w:tcPr>
            <w:tcW w:w="589" w:type="pct"/>
            <w:shd w:val="clear" w:color="auto" w:fill="auto"/>
            <w:noWrap/>
            <w:vAlign w:val="center"/>
          </w:tcPr>
          <w:p w14:paraId="19D0D000">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GAPDH</w:t>
            </w:r>
          </w:p>
        </w:tc>
        <w:tc>
          <w:tcPr>
            <w:tcW w:w="524" w:type="pct"/>
            <w:shd w:val="clear" w:color="auto" w:fill="auto"/>
            <w:noWrap/>
            <w:vAlign w:val="center"/>
          </w:tcPr>
          <w:p w14:paraId="7AC8433F">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2118</w:t>
            </w:r>
          </w:p>
        </w:tc>
        <w:tc>
          <w:tcPr>
            <w:tcW w:w="623" w:type="pct"/>
            <w:shd w:val="clear" w:color="auto" w:fill="auto"/>
            <w:noWrap/>
            <w:vAlign w:val="center"/>
          </w:tcPr>
          <w:p w14:paraId="6FC8D161">
            <w:pPr>
              <w:snapToGrid w:val="0"/>
              <w:spacing w:line="360" w:lineRule="auto"/>
              <w:jc w:val="center"/>
              <w:rPr>
                <w:rFonts w:ascii="Times New Roman Regular" w:hAnsi="Times New Roman Regular" w:eastAsia="宋体" w:cs="Times New Roman Regular"/>
                <w:color w:val="000000"/>
                <w:sz w:val="20"/>
                <w:szCs w:val="20"/>
                <w:highlight w:val="none"/>
                <w:lang w:val="en-US" w:eastAsia="zh-CN"/>
              </w:rPr>
            </w:pPr>
            <w:r>
              <w:rPr>
                <w:rFonts w:ascii="Times New Roman Regular" w:hAnsi="Times New Roman Regular" w:cs="Times New Roman Regular"/>
                <w:color w:val="000000"/>
                <w:sz w:val="20"/>
                <w:szCs w:val="20"/>
                <w:highlight w:val="none"/>
              </w:rPr>
              <w:t>Cell Signaling Technolog</w:t>
            </w:r>
            <w:r>
              <w:rPr>
                <w:rFonts w:hint="eastAsia" w:ascii="Times New Roman Regular" w:hAnsi="Times New Roman Regular" w:eastAsia="宋体" w:cs="Times New Roman Regular"/>
                <w:color w:val="000000"/>
                <w:sz w:val="20"/>
                <w:szCs w:val="20"/>
                <w:highlight w:val="none"/>
                <w:lang w:val="en-US" w:eastAsia="zh-CN"/>
              </w:rPr>
              <w:t>y</w:t>
            </w:r>
          </w:p>
        </w:tc>
        <w:tc>
          <w:tcPr>
            <w:tcW w:w="424" w:type="pct"/>
            <w:shd w:val="clear" w:color="auto" w:fill="auto"/>
            <w:noWrap/>
            <w:vAlign w:val="center"/>
          </w:tcPr>
          <w:p w14:paraId="06155C12">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Rabbit</w:t>
            </w:r>
          </w:p>
        </w:tc>
        <w:tc>
          <w:tcPr>
            <w:tcW w:w="611" w:type="pct"/>
            <w:shd w:val="clear" w:color="auto" w:fill="auto"/>
            <w:noWrap/>
            <w:vAlign w:val="center"/>
          </w:tcPr>
          <w:p w14:paraId="7C79CC51">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lang w:val="en-US" w:eastAsia="zh-CN"/>
              </w:rPr>
              <w:t>Monoclonal</w:t>
            </w:r>
          </w:p>
        </w:tc>
        <w:tc>
          <w:tcPr>
            <w:tcW w:w="750" w:type="pct"/>
            <w:shd w:val="clear" w:color="auto" w:fill="auto"/>
            <w:noWrap/>
            <w:vAlign w:val="center"/>
          </w:tcPr>
          <w:p w14:paraId="67A03EF4">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Human</w:t>
            </w:r>
            <w:r>
              <w:rPr>
                <w:rFonts w:ascii="Times New Roman Regular" w:hAnsi="Times New Roman Regular" w:cs="Times New Roman Regular"/>
                <w:color w:val="000000"/>
                <w:sz w:val="20"/>
                <w:szCs w:val="20"/>
                <w:highlight w:val="none"/>
                <w:lang w:val="en-US"/>
              </w:rPr>
              <w:t xml:space="preserve">, </w:t>
            </w:r>
            <w:r>
              <w:rPr>
                <w:rFonts w:ascii="Times New Roman Regular" w:hAnsi="Times New Roman Regular" w:cs="Times New Roman Regular"/>
                <w:color w:val="000000"/>
                <w:sz w:val="20"/>
                <w:szCs w:val="20"/>
                <w:highlight w:val="none"/>
              </w:rPr>
              <w:t>Mouse</w:t>
            </w:r>
            <w:r>
              <w:rPr>
                <w:rFonts w:ascii="Times New Roman Regular" w:hAnsi="Times New Roman Regular" w:cs="Times New Roman Regular"/>
                <w:color w:val="000000"/>
                <w:sz w:val="20"/>
                <w:szCs w:val="20"/>
                <w:highlight w:val="none"/>
                <w:lang w:val="en-US"/>
              </w:rPr>
              <w:t xml:space="preserve">, </w:t>
            </w:r>
            <w:r>
              <w:rPr>
                <w:rFonts w:ascii="Times New Roman Regular" w:hAnsi="Times New Roman Regular" w:cs="Times New Roman Regular"/>
                <w:color w:val="000000"/>
                <w:sz w:val="20"/>
                <w:szCs w:val="20"/>
                <w:highlight w:val="none"/>
              </w:rPr>
              <w:t>Rat</w:t>
            </w:r>
            <w:r>
              <w:rPr>
                <w:rFonts w:ascii="Times New Roman Regular" w:hAnsi="Times New Roman Regular" w:cs="Times New Roman Regular"/>
                <w:color w:val="000000"/>
                <w:sz w:val="20"/>
                <w:szCs w:val="20"/>
                <w:highlight w:val="none"/>
                <w:lang w:val="en-US"/>
              </w:rPr>
              <w:t xml:space="preserve">, </w:t>
            </w:r>
            <w:r>
              <w:rPr>
                <w:rFonts w:ascii="Times New Roman Regular" w:hAnsi="Times New Roman Regular" w:cs="Times New Roman Regular"/>
                <w:color w:val="000000"/>
                <w:sz w:val="20"/>
                <w:szCs w:val="20"/>
                <w:highlight w:val="none"/>
              </w:rPr>
              <w:t>Monkey</w:t>
            </w:r>
            <w:r>
              <w:rPr>
                <w:rFonts w:ascii="Times New Roman Regular" w:hAnsi="Times New Roman Regular" w:cs="Times New Roman Regular"/>
                <w:color w:val="000000"/>
                <w:sz w:val="20"/>
                <w:szCs w:val="20"/>
                <w:highlight w:val="none"/>
                <w:lang w:val="en-US"/>
              </w:rPr>
              <w:t>,</w:t>
            </w:r>
            <w:r>
              <w:rPr>
                <w:rFonts w:ascii="Times New Roman Regular" w:hAnsi="Times New Roman Regular" w:cs="Times New Roman Regular"/>
                <w:color w:val="000000"/>
                <w:sz w:val="20"/>
                <w:szCs w:val="20"/>
                <w:highlight w:val="none"/>
              </w:rPr>
              <w:t xml:space="preserve"> Bovine</w:t>
            </w:r>
            <w:r>
              <w:rPr>
                <w:rFonts w:ascii="Times New Roman Regular" w:hAnsi="Times New Roman Regular" w:cs="Times New Roman Regular"/>
                <w:color w:val="000000"/>
                <w:sz w:val="20"/>
                <w:szCs w:val="20"/>
                <w:highlight w:val="none"/>
                <w:lang w:val="en-US"/>
              </w:rPr>
              <w:t xml:space="preserve">, </w:t>
            </w:r>
            <w:r>
              <w:rPr>
                <w:rFonts w:ascii="Times New Roman Regular" w:hAnsi="Times New Roman Regular" w:cs="Times New Roman Regular"/>
                <w:color w:val="000000"/>
                <w:sz w:val="20"/>
                <w:szCs w:val="20"/>
                <w:highlight w:val="none"/>
              </w:rPr>
              <w:t>Pig</w:t>
            </w:r>
          </w:p>
        </w:tc>
        <w:tc>
          <w:tcPr>
            <w:tcW w:w="699" w:type="pct"/>
            <w:shd w:val="clear" w:color="auto" w:fill="auto"/>
            <w:noWrap/>
            <w:vAlign w:val="center"/>
          </w:tcPr>
          <w:p w14:paraId="099BF67A">
            <w:pPr>
              <w:snapToGrid w:val="0"/>
              <w:spacing w:line="360" w:lineRule="auto"/>
              <w:jc w:val="center"/>
              <w:rPr>
                <w:rFonts w:ascii="Times New Roman Regular" w:hAnsi="Times New Roman Regular" w:cs="Times New Roman Regular"/>
                <w:color w:val="000000"/>
                <w:sz w:val="20"/>
                <w:szCs w:val="20"/>
                <w:highlight w:val="none"/>
                <w:lang w:val="en-US"/>
              </w:rPr>
            </w:pPr>
            <w:r>
              <w:rPr>
                <w:rFonts w:ascii="Times New Roman Regular" w:hAnsi="Times New Roman Regular" w:cs="Times New Roman Regular"/>
                <w:color w:val="000000"/>
                <w:sz w:val="20"/>
                <w:szCs w:val="20"/>
                <w:highlight w:val="none"/>
              </w:rPr>
              <w:t>WB, IHC, IF</w:t>
            </w:r>
            <w:r>
              <w:rPr>
                <w:rFonts w:ascii="Times New Roman Regular" w:hAnsi="Times New Roman Regular" w:cs="Times New Roman Regular"/>
                <w:color w:val="000000"/>
                <w:sz w:val="20"/>
                <w:szCs w:val="20"/>
                <w:highlight w:val="none"/>
                <w:lang w:val="en-US"/>
              </w:rPr>
              <w:t xml:space="preserve">, Flow Cyt </w:t>
            </w:r>
          </w:p>
        </w:tc>
        <w:tc>
          <w:tcPr>
            <w:tcW w:w="360" w:type="pct"/>
            <w:shd w:val="clear" w:color="auto" w:fill="auto"/>
            <w:noWrap/>
            <w:vAlign w:val="center"/>
          </w:tcPr>
          <w:p w14:paraId="3F4B6602">
            <w:pPr>
              <w:snapToGrid w:val="0"/>
              <w:spacing w:line="360" w:lineRule="auto"/>
              <w:jc w:val="center"/>
              <w:rPr>
                <w:rFonts w:ascii="Times New Roman Regular" w:hAnsi="Times New Roman Regular" w:cs="Times New Roman Regular"/>
                <w:color w:val="000000"/>
                <w:sz w:val="20"/>
                <w:szCs w:val="20"/>
                <w:highlight w:val="none"/>
              </w:rPr>
            </w:pPr>
          </w:p>
        </w:tc>
        <w:tc>
          <w:tcPr>
            <w:tcW w:w="415" w:type="pct"/>
            <w:shd w:val="clear" w:color="auto" w:fill="auto"/>
            <w:noWrap/>
            <w:vAlign w:val="center"/>
          </w:tcPr>
          <w:p w14:paraId="4A9543B3">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1:1000</w:t>
            </w:r>
          </w:p>
        </w:tc>
      </w:tr>
      <w:tr w14:paraId="204FC979">
        <w:trPr>
          <w:trHeight w:val="1032" w:hRule="atLeast"/>
          <w:jc w:val="center"/>
        </w:trPr>
        <w:tc>
          <w:tcPr>
            <w:tcW w:w="589" w:type="pct"/>
            <w:shd w:val="clear" w:color="auto" w:fill="auto"/>
            <w:noWrap/>
            <w:vAlign w:val="center"/>
          </w:tcPr>
          <w:p w14:paraId="1D886DA3">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DDX4</w:t>
            </w:r>
          </w:p>
        </w:tc>
        <w:tc>
          <w:tcPr>
            <w:tcW w:w="524" w:type="pct"/>
            <w:shd w:val="clear" w:color="auto" w:fill="auto"/>
            <w:noWrap/>
            <w:vAlign w:val="center"/>
          </w:tcPr>
          <w:p w14:paraId="15E2D365">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Ab27591</w:t>
            </w:r>
          </w:p>
        </w:tc>
        <w:tc>
          <w:tcPr>
            <w:tcW w:w="623" w:type="pct"/>
            <w:shd w:val="clear" w:color="auto" w:fill="auto"/>
            <w:noWrap/>
            <w:vAlign w:val="center"/>
          </w:tcPr>
          <w:p w14:paraId="39D4809D">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Abcam</w:t>
            </w:r>
          </w:p>
        </w:tc>
        <w:tc>
          <w:tcPr>
            <w:tcW w:w="424" w:type="pct"/>
            <w:shd w:val="clear" w:color="auto" w:fill="auto"/>
            <w:noWrap/>
            <w:vAlign w:val="center"/>
          </w:tcPr>
          <w:p w14:paraId="2856E659">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Mouse</w:t>
            </w:r>
          </w:p>
        </w:tc>
        <w:tc>
          <w:tcPr>
            <w:tcW w:w="611" w:type="pct"/>
            <w:shd w:val="clear" w:color="auto" w:fill="auto"/>
            <w:noWrap/>
            <w:vAlign w:val="center"/>
          </w:tcPr>
          <w:p w14:paraId="28CF999C">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lang w:val="en-US" w:eastAsia="zh-CN"/>
              </w:rPr>
              <w:t>Monoclonal</w:t>
            </w:r>
          </w:p>
        </w:tc>
        <w:tc>
          <w:tcPr>
            <w:tcW w:w="750" w:type="pct"/>
            <w:shd w:val="clear" w:color="auto" w:fill="auto"/>
            <w:noWrap/>
            <w:vAlign w:val="center"/>
          </w:tcPr>
          <w:p w14:paraId="3F44AEC5">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 xml:space="preserve">Mouse, Human, Pig, </w:t>
            </w:r>
            <w:r>
              <w:rPr>
                <w:rFonts w:ascii="Times New Roman Regular" w:hAnsi="Times New Roman Regular" w:cs="Times New Roman Regular"/>
                <w:color w:val="000000"/>
                <w:sz w:val="20"/>
                <w:szCs w:val="20"/>
                <w:highlight w:val="none"/>
                <w:lang w:val="en-US"/>
              </w:rPr>
              <w:t>M</w:t>
            </w:r>
            <w:r>
              <w:rPr>
                <w:rFonts w:ascii="Times New Roman Regular" w:hAnsi="Times New Roman Regular" w:cs="Times New Roman Regular"/>
                <w:color w:val="000000"/>
                <w:sz w:val="20"/>
                <w:szCs w:val="20"/>
                <w:highlight w:val="none"/>
              </w:rPr>
              <w:t>armoset</w:t>
            </w:r>
          </w:p>
        </w:tc>
        <w:tc>
          <w:tcPr>
            <w:tcW w:w="699" w:type="pct"/>
            <w:shd w:val="clear" w:color="auto" w:fill="auto"/>
            <w:noWrap/>
            <w:vAlign w:val="center"/>
          </w:tcPr>
          <w:p w14:paraId="48F17EC7">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IHC-P, ICC/IF, WB, IHC-Fr</w:t>
            </w:r>
          </w:p>
        </w:tc>
        <w:tc>
          <w:tcPr>
            <w:tcW w:w="360" w:type="pct"/>
            <w:shd w:val="clear" w:color="auto" w:fill="auto"/>
            <w:noWrap/>
            <w:vAlign w:val="center"/>
          </w:tcPr>
          <w:p w14:paraId="73996F82">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1:200</w:t>
            </w:r>
          </w:p>
        </w:tc>
        <w:tc>
          <w:tcPr>
            <w:tcW w:w="415" w:type="pct"/>
            <w:shd w:val="clear" w:color="auto" w:fill="auto"/>
            <w:noWrap/>
            <w:vAlign w:val="center"/>
          </w:tcPr>
          <w:p w14:paraId="6057B88C">
            <w:pPr>
              <w:snapToGrid w:val="0"/>
              <w:spacing w:line="360" w:lineRule="auto"/>
              <w:jc w:val="center"/>
              <w:rPr>
                <w:rFonts w:ascii="Times New Roman Regular" w:hAnsi="Times New Roman Regular" w:cs="Times New Roman Regular"/>
                <w:color w:val="000000"/>
                <w:sz w:val="20"/>
                <w:szCs w:val="20"/>
                <w:highlight w:val="none"/>
              </w:rPr>
            </w:pPr>
          </w:p>
        </w:tc>
      </w:tr>
      <w:tr w14:paraId="4CD4DC0D">
        <w:trPr>
          <w:trHeight w:val="1032" w:hRule="atLeast"/>
          <w:jc w:val="center"/>
        </w:trPr>
        <w:tc>
          <w:tcPr>
            <w:tcW w:w="589" w:type="pct"/>
            <w:shd w:val="clear" w:color="auto" w:fill="auto"/>
            <w:noWrap/>
            <w:vAlign w:val="center"/>
          </w:tcPr>
          <w:p w14:paraId="2FF0EF0A">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 xml:space="preserve">Cleaved </w:t>
            </w:r>
          </w:p>
          <w:p w14:paraId="490F226E">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Caspase-3</w:t>
            </w:r>
          </w:p>
        </w:tc>
        <w:tc>
          <w:tcPr>
            <w:tcW w:w="524" w:type="pct"/>
            <w:shd w:val="clear" w:color="auto" w:fill="auto"/>
            <w:noWrap/>
            <w:vAlign w:val="center"/>
          </w:tcPr>
          <w:p w14:paraId="64A8C0F5">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9664</w:t>
            </w:r>
          </w:p>
        </w:tc>
        <w:tc>
          <w:tcPr>
            <w:tcW w:w="623" w:type="pct"/>
            <w:shd w:val="clear" w:color="auto" w:fill="auto"/>
            <w:noWrap/>
            <w:vAlign w:val="center"/>
          </w:tcPr>
          <w:p w14:paraId="38FF5F88">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Cell Signaling Technology</w:t>
            </w:r>
          </w:p>
        </w:tc>
        <w:tc>
          <w:tcPr>
            <w:tcW w:w="424" w:type="pct"/>
            <w:shd w:val="clear" w:color="auto" w:fill="auto"/>
            <w:noWrap/>
            <w:vAlign w:val="center"/>
          </w:tcPr>
          <w:p w14:paraId="3800A6CB">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Rabbit</w:t>
            </w:r>
          </w:p>
        </w:tc>
        <w:tc>
          <w:tcPr>
            <w:tcW w:w="611" w:type="pct"/>
            <w:shd w:val="clear" w:color="auto" w:fill="auto"/>
            <w:noWrap/>
            <w:vAlign w:val="center"/>
          </w:tcPr>
          <w:p w14:paraId="0C0B910B">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lang w:val="en-US" w:eastAsia="zh-CN"/>
              </w:rPr>
              <w:t>Monoclonal</w:t>
            </w:r>
          </w:p>
        </w:tc>
        <w:tc>
          <w:tcPr>
            <w:tcW w:w="750" w:type="pct"/>
            <w:shd w:val="clear" w:color="auto" w:fill="auto"/>
            <w:noWrap/>
            <w:vAlign w:val="center"/>
          </w:tcPr>
          <w:p w14:paraId="32C7F790">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Human, Mouse, Rat, Monkey</w:t>
            </w:r>
          </w:p>
        </w:tc>
        <w:tc>
          <w:tcPr>
            <w:tcW w:w="699" w:type="pct"/>
            <w:shd w:val="clear" w:color="auto" w:fill="auto"/>
            <w:noWrap/>
            <w:vAlign w:val="center"/>
          </w:tcPr>
          <w:p w14:paraId="3C711B5E">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 xml:space="preserve">WB, </w:t>
            </w:r>
            <w:r>
              <w:rPr>
                <w:rFonts w:ascii="Times New Roman Regular" w:hAnsi="Times New Roman Regular" w:cs="Times New Roman Regular"/>
                <w:color w:val="000000"/>
                <w:sz w:val="20"/>
                <w:szCs w:val="20"/>
                <w:highlight w:val="none"/>
                <w:lang w:val="en-US"/>
              </w:rPr>
              <w:t xml:space="preserve">IP, </w:t>
            </w:r>
            <w:r>
              <w:rPr>
                <w:rFonts w:ascii="Times New Roman Regular" w:hAnsi="Times New Roman Regular" w:cs="Times New Roman Regular"/>
                <w:color w:val="000000"/>
                <w:sz w:val="20"/>
                <w:szCs w:val="20"/>
                <w:highlight w:val="none"/>
              </w:rPr>
              <w:t>IHC, IF</w:t>
            </w:r>
            <w:r>
              <w:rPr>
                <w:rFonts w:ascii="Times New Roman Regular" w:hAnsi="Times New Roman Regular" w:cs="Times New Roman Regular"/>
                <w:color w:val="000000"/>
                <w:sz w:val="20"/>
                <w:szCs w:val="20"/>
                <w:highlight w:val="none"/>
                <w:lang w:val="en-US"/>
              </w:rPr>
              <w:t xml:space="preserve">, Flow Cyt </w:t>
            </w:r>
          </w:p>
        </w:tc>
        <w:tc>
          <w:tcPr>
            <w:tcW w:w="360" w:type="pct"/>
            <w:shd w:val="clear" w:color="auto" w:fill="auto"/>
            <w:noWrap/>
            <w:vAlign w:val="center"/>
          </w:tcPr>
          <w:p w14:paraId="5A33A6A2">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1:200</w:t>
            </w:r>
          </w:p>
        </w:tc>
        <w:tc>
          <w:tcPr>
            <w:tcW w:w="415" w:type="pct"/>
            <w:shd w:val="clear" w:color="auto" w:fill="auto"/>
            <w:noWrap/>
            <w:vAlign w:val="center"/>
          </w:tcPr>
          <w:p w14:paraId="0A8C8B9E">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1:1000</w:t>
            </w:r>
          </w:p>
        </w:tc>
      </w:tr>
      <w:tr w14:paraId="12AF02C7">
        <w:trPr>
          <w:trHeight w:val="1032" w:hRule="atLeast"/>
          <w:jc w:val="center"/>
        </w:trPr>
        <w:tc>
          <w:tcPr>
            <w:tcW w:w="589" w:type="pct"/>
            <w:shd w:val="clear" w:color="auto" w:fill="auto"/>
            <w:noWrap/>
            <w:vAlign w:val="center"/>
          </w:tcPr>
          <w:p w14:paraId="1D0ACCA5">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PCNA</w:t>
            </w:r>
          </w:p>
        </w:tc>
        <w:tc>
          <w:tcPr>
            <w:tcW w:w="524" w:type="pct"/>
            <w:shd w:val="clear" w:color="auto" w:fill="auto"/>
            <w:noWrap/>
            <w:vAlign w:val="center"/>
          </w:tcPr>
          <w:p w14:paraId="42599B53">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2586</w:t>
            </w:r>
          </w:p>
        </w:tc>
        <w:tc>
          <w:tcPr>
            <w:tcW w:w="623" w:type="pct"/>
            <w:shd w:val="clear" w:color="auto" w:fill="auto"/>
            <w:noWrap/>
            <w:vAlign w:val="center"/>
          </w:tcPr>
          <w:p w14:paraId="02A8A0A3">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Cell Signaling Technolog</w:t>
            </w:r>
            <w:r>
              <w:rPr>
                <w:rFonts w:hint="eastAsia" w:ascii="Times New Roman Regular" w:hAnsi="Times New Roman Regular" w:eastAsia="宋体" w:cs="Times New Roman Regular"/>
                <w:color w:val="000000"/>
                <w:sz w:val="20"/>
                <w:szCs w:val="20"/>
                <w:highlight w:val="none"/>
                <w:lang w:val="en-US" w:eastAsia="zh-CN"/>
              </w:rPr>
              <w:t>y</w:t>
            </w:r>
          </w:p>
        </w:tc>
        <w:tc>
          <w:tcPr>
            <w:tcW w:w="424" w:type="pct"/>
            <w:shd w:val="clear" w:color="auto" w:fill="auto"/>
            <w:noWrap/>
            <w:vAlign w:val="center"/>
          </w:tcPr>
          <w:p w14:paraId="1A274CC2">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Mouse</w:t>
            </w:r>
          </w:p>
        </w:tc>
        <w:tc>
          <w:tcPr>
            <w:tcW w:w="611" w:type="pct"/>
            <w:shd w:val="clear" w:color="auto" w:fill="auto"/>
            <w:noWrap/>
            <w:vAlign w:val="center"/>
          </w:tcPr>
          <w:p w14:paraId="70B86327">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lang w:val="en-US" w:eastAsia="zh-CN"/>
              </w:rPr>
              <w:t>Monoclonal</w:t>
            </w:r>
          </w:p>
        </w:tc>
        <w:tc>
          <w:tcPr>
            <w:tcW w:w="750" w:type="pct"/>
            <w:shd w:val="clear" w:color="auto" w:fill="auto"/>
            <w:noWrap/>
            <w:vAlign w:val="center"/>
          </w:tcPr>
          <w:p w14:paraId="6CC0B43E">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Human, Mouse, Rat, Monkey, Bovine, Pig</w:t>
            </w:r>
          </w:p>
        </w:tc>
        <w:tc>
          <w:tcPr>
            <w:tcW w:w="699" w:type="pct"/>
            <w:shd w:val="clear" w:color="auto" w:fill="auto"/>
            <w:noWrap/>
            <w:vAlign w:val="center"/>
          </w:tcPr>
          <w:p w14:paraId="37CFB013">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 xml:space="preserve">WB, </w:t>
            </w:r>
            <w:r>
              <w:rPr>
                <w:rFonts w:ascii="Times New Roman Regular" w:hAnsi="Times New Roman Regular" w:cs="Times New Roman Regular"/>
                <w:color w:val="000000"/>
                <w:sz w:val="20"/>
                <w:szCs w:val="20"/>
                <w:highlight w:val="none"/>
                <w:lang w:val="en-US"/>
              </w:rPr>
              <w:t xml:space="preserve">IP, </w:t>
            </w:r>
            <w:r>
              <w:rPr>
                <w:rFonts w:ascii="Times New Roman Regular" w:hAnsi="Times New Roman Regular" w:cs="Times New Roman Regular"/>
                <w:color w:val="000000"/>
                <w:sz w:val="20"/>
                <w:szCs w:val="20"/>
                <w:highlight w:val="none"/>
              </w:rPr>
              <w:t>IHC, IF</w:t>
            </w:r>
            <w:r>
              <w:rPr>
                <w:rFonts w:ascii="Times New Roman Regular" w:hAnsi="Times New Roman Regular" w:cs="Times New Roman Regular"/>
                <w:color w:val="000000"/>
                <w:sz w:val="20"/>
                <w:szCs w:val="20"/>
                <w:highlight w:val="none"/>
                <w:lang w:val="en-US"/>
              </w:rPr>
              <w:t xml:space="preserve">, Flow Cyt </w:t>
            </w:r>
          </w:p>
        </w:tc>
        <w:tc>
          <w:tcPr>
            <w:tcW w:w="360" w:type="pct"/>
            <w:shd w:val="clear" w:color="auto" w:fill="auto"/>
            <w:noWrap/>
            <w:vAlign w:val="center"/>
          </w:tcPr>
          <w:p w14:paraId="35A2A4FD">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1:200</w:t>
            </w:r>
          </w:p>
        </w:tc>
        <w:tc>
          <w:tcPr>
            <w:tcW w:w="415" w:type="pct"/>
            <w:shd w:val="clear" w:color="auto" w:fill="auto"/>
            <w:noWrap/>
            <w:vAlign w:val="center"/>
          </w:tcPr>
          <w:p w14:paraId="3BA060D1">
            <w:pPr>
              <w:snapToGrid w:val="0"/>
              <w:spacing w:line="360" w:lineRule="auto"/>
              <w:jc w:val="center"/>
              <w:rPr>
                <w:rFonts w:ascii="Times New Roman Regular" w:hAnsi="Times New Roman Regular" w:cs="Times New Roman Regular"/>
                <w:color w:val="000000"/>
                <w:sz w:val="20"/>
                <w:szCs w:val="20"/>
                <w:highlight w:val="none"/>
              </w:rPr>
            </w:pPr>
          </w:p>
        </w:tc>
      </w:tr>
      <w:tr w14:paraId="742D0019">
        <w:trPr>
          <w:trHeight w:val="1032" w:hRule="atLeast"/>
          <w:jc w:val="center"/>
        </w:trPr>
        <w:tc>
          <w:tcPr>
            <w:tcW w:w="589" w:type="pct"/>
            <w:shd w:val="clear" w:color="auto" w:fill="auto"/>
            <w:noWrap/>
            <w:vAlign w:val="center"/>
          </w:tcPr>
          <w:p w14:paraId="5F0A3F64">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BrdU</w:t>
            </w:r>
          </w:p>
        </w:tc>
        <w:tc>
          <w:tcPr>
            <w:tcW w:w="524" w:type="pct"/>
            <w:shd w:val="clear" w:color="auto" w:fill="auto"/>
            <w:noWrap/>
            <w:vAlign w:val="center"/>
          </w:tcPr>
          <w:p w14:paraId="272EDAE3">
            <w:pPr>
              <w:snapToGrid w:val="0"/>
              <w:spacing w:line="360" w:lineRule="auto"/>
              <w:jc w:val="center"/>
              <w:rPr>
                <w:rFonts w:ascii="Times New Roman Regular" w:hAnsi="Times New Roman Regular" w:cs="Times New Roman Regula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a</w:t>
            </w:r>
            <w:r>
              <w:rPr>
                <w:rFonts w:ascii="Times New Roman Regular" w:hAnsi="Times New Roman Regular" w:cs="Times New Roman Regular"/>
                <w:color w:val="000000"/>
                <w:sz w:val="20"/>
                <w:szCs w:val="20"/>
                <w:highlight w:val="none"/>
              </w:rPr>
              <w:t>b1893</w:t>
            </w:r>
          </w:p>
        </w:tc>
        <w:tc>
          <w:tcPr>
            <w:tcW w:w="623" w:type="pct"/>
            <w:shd w:val="clear" w:color="auto" w:fill="auto"/>
            <w:noWrap/>
            <w:vAlign w:val="center"/>
          </w:tcPr>
          <w:p w14:paraId="4B8FFE19">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Abcam</w:t>
            </w:r>
          </w:p>
        </w:tc>
        <w:tc>
          <w:tcPr>
            <w:tcW w:w="424" w:type="pct"/>
            <w:shd w:val="clear" w:color="auto" w:fill="auto"/>
            <w:noWrap/>
            <w:vAlign w:val="center"/>
          </w:tcPr>
          <w:p w14:paraId="6E13D16E">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Sheep</w:t>
            </w:r>
          </w:p>
        </w:tc>
        <w:tc>
          <w:tcPr>
            <w:tcW w:w="611" w:type="pct"/>
            <w:shd w:val="clear" w:color="auto" w:fill="auto"/>
            <w:noWrap/>
            <w:vAlign w:val="center"/>
          </w:tcPr>
          <w:p w14:paraId="09566CB0">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Polyclonal</w:t>
            </w:r>
          </w:p>
        </w:tc>
        <w:tc>
          <w:tcPr>
            <w:tcW w:w="750" w:type="pct"/>
            <w:shd w:val="clear" w:color="auto" w:fill="auto"/>
            <w:noWrap/>
            <w:vAlign w:val="center"/>
          </w:tcPr>
          <w:p w14:paraId="53945C00">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Human, Mouse</w:t>
            </w:r>
          </w:p>
        </w:tc>
        <w:tc>
          <w:tcPr>
            <w:tcW w:w="699" w:type="pct"/>
            <w:shd w:val="clear" w:color="auto" w:fill="auto"/>
            <w:noWrap/>
            <w:vAlign w:val="center"/>
          </w:tcPr>
          <w:p w14:paraId="7D9A5173">
            <w:pPr>
              <w:snapToGrid w:val="0"/>
              <w:spacing w:line="360" w:lineRule="auto"/>
              <w:jc w:val="center"/>
              <w:rPr>
                <w:rFonts w:ascii="Times New Roman Regular" w:hAnsi="Times New Roman Regular" w:cs="Times New Roman Regular"/>
                <w:color w:val="000000"/>
                <w:sz w:val="20"/>
                <w:szCs w:val="20"/>
                <w:highlight w:val="none"/>
                <w:lang w:val="en-US"/>
              </w:rPr>
            </w:pPr>
            <w:r>
              <w:rPr>
                <w:rFonts w:ascii="Times New Roman Regular" w:hAnsi="Times New Roman Regular" w:cs="Times New Roman Regular"/>
                <w:color w:val="000000"/>
                <w:sz w:val="20"/>
                <w:szCs w:val="20"/>
                <w:highlight w:val="none"/>
              </w:rPr>
              <w:t>ELISA</w:t>
            </w:r>
            <w:r>
              <w:rPr>
                <w:rFonts w:ascii="Times New Roman Regular" w:hAnsi="Times New Roman Regular" w:cs="Times New Roman Regular"/>
                <w:color w:val="000000"/>
                <w:sz w:val="20"/>
                <w:szCs w:val="20"/>
                <w:highlight w:val="none"/>
                <w:lang w:val="en-US"/>
              </w:rPr>
              <w:t xml:space="preserve">, IHC-P, IHC-Fr </w:t>
            </w:r>
          </w:p>
        </w:tc>
        <w:tc>
          <w:tcPr>
            <w:tcW w:w="360" w:type="pct"/>
            <w:shd w:val="clear" w:color="auto" w:fill="auto"/>
            <w:noWrap/>
            <w:vAlign w:val="center"/>
          </w:tcPr>
          <w:p w14:paraId="2433A6BC">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1:200</w:t>
            </w:r>
          </w:p>
        </w:tc>
        <w:tc>
          <w:tcPr>
            <w:tcW w:w="415" w:type="pct"/>
            <w:shd w:val="clear" w:color="auto" w:fill="auto"/>
            <w:noWrap/>
            <w:vAlign w:val="center"/>
          </w:tcPr>
          <w:p w14:paraId="6C903ACF">
            <w:pPr>
              <w:snapToGrid w:val="0"/>
              <w:spacing w:line="360" w:lineRule="auto"/>
              <w:jc w:val="center"/>
              <w:rPr>
                <w:rFonts w:ascii="Times New Roman Regular" w:hAnsi="Times New Roman Regular" w:cs="Times New Roman Regular"/>
                <w:color w:val="000000"/>
                <w:sz w:val="20"/>
                <w:szCs w:val="20"/>
                <w:highlight w:val="none"/>
              </w:rPr>
            </w:pPr>
          </w:p>
        </w:tc>
      </w:tr>
      <w:tr w14:paraId="2B58A0B5">
        <w:trPr>
          <w:trHeight w:val="1032" w:hRule="atLeast"/>
          <w:jc w:val="center"/>
        </w:trPr>
        <w:tc>
          <w:tcPr>
            <w:tcW w:w="589" w:type="pct"/>
            <w:shd w:val="clear" w:color="auto" w:fill="auto"/>
            <w:noWrap/>
            <w:vAlign w:val="center"/>
          </w:tcPr>
          <w:p w14:paraId="7D69A44F">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AKT</w:t>
            </w:r>
          </w:p>
        </w:tc>
        <w:tc>
          <w:tcPr>
            <w:tcW w:w="524" w:type="pct"/>
            <w:shd w:val="clear" w:color="auto" w:fill="auto"/>
            <w:noWrap/>
            <w:vAlign w:val="center"/>
          </w:tcPr>
          <w:p w14:paraId="58D153D3">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4691</w:t>
            </w:r>
          </w:p>
        </w:tc>
        <w:tc>
          <w:tcPr>
            <w:tcW w:w="623" w:type="pct"/>
            <w:shd w:val="clear" w:color="auto" w:fill="auto"/>
            <w:noWrap/>
            <w:vAlign w:val="center"/>
          </w:tcPr>
          <w:p w14:paraId="7189997F">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Cell Signaling Technolog</w:t>
            </w:r>
            <w:r>
              <w:rPr>
                <w:rFonts w:hint="eastAsia" w:ascii="Times New Roman Regular" w:hAnsi="Times New Roman Regular" w:eastAsia="宋体" w:cs="Times New Roman Regular"/>
                <w:color w:val="000000"/>
                <w:sz w:val="20"/>
                <w:szCs w:val="20"/>
                <w:highlight w:val="none"/>
                <w:lang w:val="en-US" w:eastAsia="zh-CN"/>
              </w:rPr>
              <w:t>y</w:t>
            </w:r>
          </w:p>
        </w:tc>
        <w:tc>
          <w:tcPr>
            <w:tcW w:w="424" w:type="pct"/>
            <w:shd w:val="clear" w:color="auto" w:fill="auto"/>
            <w:noWrap/>
            <w:vAlign w:val="center"/>
          </w:tcPr>
          <w:p w14:paraId="46D280CB">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Rabbit</w:t>
            </w:r>
          </w:p>
        </w:tc>
        <w:tc>
          <w:tcPr>
            <w:tcW w:w="611" w:type="pct"/>
            <w:shd w:val="clear" w:color="auto" w:fill="auto"/>
            <w:noWrap/>
            <w:vAlign w:val="center"/>
          </w:tcPr>
          <w:p w14:paraId="14A3B5B4">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lang w:val="en-US" w:eastAsia="zh-CN"/>
              </w:rPr>
              <w:t>Monoclonal</w:t>
            </w:r>
          </w:p>
        </w:tc>
        <w:tc>
          <w:tcPr>
            <w:tcW w:w="750" w:type="pct"/>
            <w:shd w:val="clear" w:color="auto" w:fill="auto"/>
            <w:noWrap/>
            <w:vAlign w:val="center"/>
          </w:tcPr>
          <w:p w14:paraId="677E7894">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Human, Mouse, Rat, Monkey, melanogaster</w:t>
            </w:r>
          </w:p>
        </w:tc>
        <w:tc>
          <w:tcPr>
            <w:tcW w:w="699" w:type="pct"/>
            <w:shd w:val="clear" w:color="auto" w:fill="auto"/>
            <w:noWrap/>
            <w:vAlign w:val="center"/>
          </w:tcPr>
          <w:p w14:paraId="79E4BCD3">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 xml:space="preserve">WB, </w:t>
            </w:r>
            <w:r>
              <w:rPr>
                <w:rFonts w:ascii="Times New Roman Regular" w:hAnsi="Times New Roman Regular" w:cs="Times New Roman Regular"/>
                <w:color w:val="000000"/>
                <w:sz w:val="20"/>
                <w:szCs w:val="20"/>
                <w:highlight w:val="none"/>
                <w:lang w:val="en-US"/>
              </w:rPr>
              <w:t xml:space="preserve">IP, </w:t>
            </w:r>
            <w:r>
              <w:rPr>
                <w:rFonts w:ascii="Times New Roman Regular" w:hAnsi="Times New Roman Regular" w:cs="Times New Roman Regular"/>
                <w:color w:val="000000"/>
                <w:sz w:val="20"/>
                <w:szCs w:val="20"/>
                <w:highlight w:val="none"/>
              </w:rPr>
              <w:t>IHC, IF</w:t>
            </w:r>
            <w:r>
              <w:rPr>
                <w:rFonts w:ascii="Times New Roman Regular" w:hAnsi="Times New Roman Regular" w:cs="Times New Roman Regular"/>
                <w:color w:val="000000"/>
                <w:sz w:val="20"/>
                <w:szCs w:val="20"/>
                <w:highlight w:val="none"/>
                <w:lang w:val="en-US"/>
              </w:rPr>
              <w:t xml:space="preserve">, Flow Cyt </w:t>
            </w:r>
          </w:p>
        </w:tc>
        <w:tc>
          <w:tcPr>
            <w:tcW w:w="360" w:type="pct"/>
            <w:shd w:val="clear" w:color="auto" w:fill="auto"/>
            <w:noWrap/>
            <w:vAlign w:val="center"/>
          </w:tcPr>
          <w:p w14:paraId="572CDC8B">
            <w:pPr>
              <w:snapToGrid w:val="0"/>
              <w:spacing w:line="360" w:lineRule="auto"/>
              <w:jc w:val="center"/>
              <w:rPr>
                <w:rFonts w:ascii="Times New Roman Regular" w:hAnsi="Times New Roman Regular" w:cs="Times New Roman Regular"/>
                <w:color w:val="000000"/>
                <w:sz w:val="20"/>
                <w:szCs w:val="20"/>
                <w:highlight w:val="none"/>
              </w:rPr>
            </w:pPr>
          </w:p>
        </w:tc>
        <w:tc>
          <w:tcPr>
            <w:tcW w:w="415" w:type="pct"/>
            <w:shd w:val="clear" w:color="auto" w:fill="auto"/>
            <w:noWrap/>
            <w:vAlign w:val="center"/>
          </w:tcPr>
          <w:p w14:paraId="6F159DEE">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1:1000</w:t>
            </w:r>
          </w:p>
        </w:tc>
      </w:tr>
      <w:tr w14:paraId="1EED2579">
        <w:trPr>
          <w:trHeight w:val="1032" w:hRule="atLeast"/>
          <w:jc w:val="center"/>
        </w:trPr>
        <w:tc>
          <w:tcPr>
            <w:tcW w:w="589" w:type="pct"/>
            <w:shd w:val="clear" w:color="auto" w:fill="auto"/>
            <w:noWrap/>
            <w:vAlign w:val="center"/>
          </w:tcPr>
          <w:p w14:paraId="021A134E">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p-AKT</w:t>
            </w:r>
          </w:p>
        </w:tc>
        <w:tc>
          <w:tcPr>
            <w:tcW w:w="524" w:type="pct"/>
            <w:shd w:val="clear" w:color="auto" w:fill="auto"/>
            <w:noWrap/>
            <w:vAlign w:val="center"/>
          </w:tcPr>
          <w:p w14:paraId="3D6338C1">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4060</w:t>
            </w:r>
          </w:p>
        </w:tc>
        <w:tc>
          <w:tcPr>
            <w:tcW w:w="623" w:type="pct"/>
            <w:shd w:val="clear" w:color="auto" w:fill="auto"/>
            <w:noWrap/>
            <w:vAlign w:val="center"/>
          </w:tcPr>
          <w:p w14:paraId="22851E68">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Cell Signaling Technolog</w:t>
            </w:r>
            <w:r>
              <w:rPr>
                <w:rFonts w:hint="eastAsia" w:ascii="Times New Roman Regular" w:hAnsi="Times New Roman Regular" w:eastAsia="宋体" w:cs="Times New Roman Regular"/>
                <w:color w:val="000000"/>
                <w:sz w:val="20"/>
                <w:szCs w:val="20"/>
                <w:highlight w:val="none"/>
                <w:lang w:val="en-US" w:eastAsia="zh-CN"/>
              </w:rPr>
              <w:t>y</w:t>
            </w:r>
          </w:p>
        </w:tc>
        <w:tc>
          <w:tcPr>
            <w:tcW w:w="424" w:type="pct"/>
            <w:shd w:val="clear" w:color="auto" w:fill="auto"/>
            <w:noWrap/>
            <w:vAlign w:val="center"/>
          </w:tcPr>
          <w:p w14:paraId="67EC418A">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Rabbit</w:t>
            </w:r>
          </w:p>
        </w:tc>
        <w:tc>
          <w:tcPr>
            <w:tcW w:w="611" w:type="pct"/>
            <w:shd w:val="clear" w:color="auto" w:fill="auto"/>
            <w:noWrap/>
            <w:vAlign w:val="center"/>
          </w:tcPr>
          <w:p w14:paraId="6D9B2917">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lang w:val="en-US" w:eastAsia="zh-CN"/>
              </w:rPr>
              <w:t>Monoclonal</w:t>
            </w:r>
          </w:p>
        </w:tc>
        <w:tc>
          <w:tcPr>
            <w:tcW w:w="750" w:type="pct"/>
            <w:shd w:val="clear" w:color="auto" w:fill="auto"/>
            <w:noWrap/>
            <w:vAlign w:val="center"/>
          </w:tcPr>
          <w:p w14:paraId="74844F03">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Human</w:t>
            </w:r>
            <w:r>
              <w:rPr>
                <w:rFonts w:hint="eastAsia" w:ascii="Times New Roman Regular" w:hAnsi="Times New Roman Regular" w:eastAsia="宋体" w:cs="Times New Roman Regular"/>
                <w:color w:val="000000"/>
                <w:sz w:val="20"/>
                <w:szCs w:val="20"/>
                <w:highlight w:val="none"/>
                <w:lang w:val="en-US" w:eastAsia="zh-CN"/>
              </w:rPr>
              <w:t xml:space="preserve">, </w:t>
            </w:r>
            <w:r>
              <w:rPr>
                <w:rFonts w:ascii="Times New Roman Regular" w:hAnsi="Times New Roman Regular" w:cs="Times New Roman Regular"/>
                <w:color w:val="000000"/>
                <w:sz w:val="20"/>
                <w:szCs w:val="20"/>
                <w:highlight w:val="none"/>
              </w:rPr>
              <w:t>Mouse</w:t>
            </w:r>
            <w:r>
              <w:rPr>
                <w:rFonts w:hint="eastAsia" w:ascii="Times New Roman Regular" w:hAnsi="Times New Roman Regular" w:eastAsia="宋体" w:cs="Times New Roman Regular"/>
                <w:color w:val="000000"/>
                <w:sz w:val="20"/>
                <w:szCs w:val="20"/>
                <w:highlight w:val="none"/>
                <w:lang w:val="en-US" w:eastAsia="zh-CN"/>
              </w:rPr>
              <w:t>,</w:t>
            </w:r>
            <w:r>
              <w:rPr>
                <w:rFonts w:ascii="Times New Roman Regular" w:hAnsi="Times New Roman Regular" w:cs="Times New Roman Regular"/>
                <w:color w:val="000000"/>
                <w:sz w:val="20"/>
                <w:szCs w:val="20"/>
                <w:highlight w:val="none"/>
              </w:rPr>
              <w:t xml:space="preserve"> Rat</w:t>
            </w:r>
            <w:r>
              <w:rPr>
                <w:rFonts w:hint="eastAsia" w:ascii="Times New Roman Regular" w:hAnsi="Times New Roman Regular" w:eastAsia="宋体" w:cs="Times New Roman Regular"/>
                <w:color w:val="000000"/>
                <w:sz w:val="20"/>
                <w:szCs w:val="20"/>
                <w:highlight w:val="none"/>
                <w:lang w:val="en-US" w:eastAsia="zh-CN"/>
              </w:rPr>
              <w:t>,</w:t>
            </w:r>
            <w:r>
              <w:rPr>
                <w:rFonts w:ascii="Times New Roman Regular" w:hAnsi="Times New Roman Regular" w:cs="Times New Roman Regular"/>
                <w:color w:val="000000"/>
                <w:sz w:val="20"/>
                <w:szCs w:val="20"/>
                <w:highlight w:val="none"/>
              </w:rPr>
              <w:t xml:space="preserve"> Hamster</w:t>
            </w:r>
            <w:r>
              <w:rPr>
                <w:rFonts w:hint="eastAsia" w:ascii="Times New Roman Regular" w:hAnsi="Times New Roman Regular" w:eastAsia="宋体" w:cs="Times New Roman Regular"/>
                <w:color w:val="000000"/>
                <w:sz w:val="20"/>
                <w:szCs w:val="20"/>
                <w:highlight w:val="none"/>
                <w:lang w:val="en-US" w:eastAsia="zh-CN"/>
              </w:rPr>
              <w:t>,</w:t>
            </w:r>
            <w:r>
              <w:rPr>
                <w:rFonts w:ascii="Times New Roman Regular" w:hAnsi="Times New Roman Regular" w:cs="Times New Roman Regular"/>
                <w:color w:val="000000"/>
                <w:sz w:val="20"/>
                <w:szCs w:val="20"/>
                <w:highlight w:val="none"/>
              </w:rPr>
              <w:t xml:space="preserve"> Monkey</w:t>
            </w:r>
            <w:r>
              <w:rPr>
                <w:rFonts w:hint="eastAsia" w:ascii="Times New Roman Regular" w:hAnsi="Times New Roman Regular" w:eastAsia="宋体" w:cs="Times New Roman Regular"/>
                <w:color w:val="000000"/>
                <w:sz w:val="20"/>
                <w:szCs w:val="20"/>
                <w:highlight w:val="none"/>
                <w:lang w:val="en-US" w:eastAsia="zh-CN"/>
              </w:rPr>
              <w:t>,</w:t>
            </w:r>
            <w:r>
              <w:rPr>
                <w:rFonts w:ascii="Times New Roman Regular" w:hAnsi="Times New Roman Regular" w:cs="Times New Roman Regular"/>
                <w:color w:val="000000"/>
                <w:sz w:val="20"/>
                <w:szCs w:val="20"/>
                <w:highlight w:val="none"/>
              </w:rPr>
              <w:t xml:space="preserve"> D. melanogaster</w:t>
            </w:r>
            <w:r>
              <w:rPr>
                <w:rFonts w:hint="eastAsia" w:ascii="Times New Roman Regular" w:hAnsi="Times New Roman Regular" w:eastAsia="宋体" w:cs="Times New Roman Regular"/>
                <w:color w:val="000000"/>
                <w:sz w:val="20"/>
                <w:szCs w:val="20"/>
                <w:highlight w:val="none"/>
                <w:lang w:val="en-US" w:eastAsia="zh-CN"/>
              </w:rPr>
              <w:t>,</w:t>
            </w:r>
            <w:r>
              <w:rPr>
                <w:rFonts w:ascii="Times New Roman Regular" w:hAnsi="Times New Roman Regular" w:cs="Times New Roman Regular"/>
                <w:color w:val="000000"/>
                <w:sz w:val="20"/>
                <w:szCs w:val="20"/>
                <w:highlight w:val="none"/>
              </w:rPr>
              <w:t xml:space="preserve"> Zebrafish</w:t>
            </w:r>
            <w:r>
              <w:rPr>
                <w:rFonts w:hint="eastAsia" w:ascii="Times New Roman Regular" w:hAnsi="Times New Roman Regular" w:eastAsia="宋体" w:cs="Times New Roman Regular"/>
                <w:color w:val="000000"/>
                <w:sz w:val="20"/>
                <w:szCs w:val="20"/>
                <w:highlight w:val="none"/>
                <w:lang w:val="en-US" w:eastAsia="zh-CN"/>
              </w:rPr>
              <w:t xml:space="preserve">, </w:t>
            </w:r>
            <w:r>
              <w:rPr>
                <w:rFonts w:ascii="Times New Roman Regular" w:hAnsi="Times New Roman Regular" w:cs="Times New Roman Regular"/>
                <w:color w:val="000000"/>
                <w:sz w:val="20"/>
                <w:szCs w:val="20"/>
                <w:highlight w:val="none"/>
              </w:rPr>
              <w:t>Bovine</w:t>
            </w:r>
          </w:p>
        </w:tc>
        <w:tc>
          <w:tcPr>
            <w:tcW w:w="699" w:type="pct"/>
            <w:shd w:val="clear" w:color="auto" w:fill="auto"/>
            <w:noWrap/>
            <w:vAlign w:val="center"/>
          </w:tcPr>
          <w:p w14:paraId="12D82971">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 xml:space="preserve">WB, </w:t>
            </w:r>
            <w:r>
              <w:rPr>
                <w:rFonts w:ascii="Times New Roman Regular" w:hAnsi="Times New Roman Regular" w:cs="Times New Roman Regular"/>
                <w:color w:val="000000"/>
                <w:sz w:val="20"/>
                <w:szCs w:val="20"/>
                <w:highlight w:val="none"/>
                <w:lang w:val="en-US"/>
              </w:rPr>
              <w:t xml:space="preserve">IP, </w:t>
            </w:r>
            <w:r>
              <w:rPr>
                <w:rFonts w:ascii="Times New Roman Regular" w:hAnsi="Times New Roman Regular" w:cs="Times New Roman Regular"/>
                <w:color w:val="000000"/>
                <w:sz w:val="20"/>
                <w:szCs w:val="20"/>
                <w:highlight w:val="none"/>
              </w:rPr>
              <w:t>IHC, IF</w:t>
            </w:r>
            <w:r>
              <w:rPr>
                <w:rFonts w:ascii="Times New Roman Regular" w:hAnsi="Times New Roman Regular" w:cs="Times New Roman Regular"/>
                <w:color w:val="000000"/>
                <w:sz w:val="20"/>
                <w:szCs w:val="20"/>
                <w:highlight w:val="none"/>
                <w:lang w:val="en-US"/>
              </w:rPr>
              <w:t xml:space="preserve">, Flow Cyt </w:t>
            </w:r>
          </w:p>
        </w:tc>
        <w:tc>
          <w:tcPr>
            <w:tcW w:w="360" w:type="pct"/>
            <w:shd w:val="clear" w:color="auto" w:fill="auto"/>
            <w:noWrap/>
            <w:vAlign w:val="center"/>
          </w:tcPr>
          <w:p w14:paraId="09BA9791">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1:200</w:t>
            </w:r>
          </w:p>
        </w:tc>
        <w:tc>
          <w:tcPr>
            <w:tcW w:w="415" w:type="pct"/>
            <w:shd w:val="clear" w:color="auto" w:fill="auto"/>
            <w:noWrap/>
            <w:vAlign w:val="center"/>
          </w:tcPr>
          <w:p w14:paraId="56553C0A">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1:1000</w:t>
            </w:r>
          </w:p>
        </w:tc>
      </w:tr>
      <w:tr w14:paraId="65518477">
        <w:trPr>
          <w:trHeight w:val="1032" w:hRule="atLeast"/>
          <w:jc w:val="center"/>
        </w:trPr>
        <w:tc>
          <w:tcPr>
            <w:tcW w:w="589" w:type="pct"/>
            <w:shd w:val="clear" w:color="auto" w:fill="auto"/>
            <w:noWrap/>
            <w:vAlign w:val="center"/>
          </w:tcPr>
          <w:p w14:paraId="0AC364A2">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FOXO3a</w:t>
            </w:r>
          </w:p>
        </w:tc>
        <w:tc>
          <w:tcPr>
            <w:tcW w:w="524" w:type="pct"/>
            <w:shd w:val="clear" w:color="auto" w:fill="auto"/>
            <w:noWrap/>
            <w:vAlign w:val="center"/>
          </w:tcPr>
          <w:p w14:paraId="04F84DE2">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12829</w:t>
            </w:r>
          </w:p>
        </w:tc>
        <w:tc>
          <w:tcPr>
            <w:tcW w:w="623" w:type="pct"/>
            <w:shd w:val="clear" w:color="auto" w:fill="auto"/>
            <w:noWrap/>
            <w:vAlign w:val="center"/>
          </w:tcPr>
          <w:p w14:paraId="44D07EF7">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Cell Signaling Technolog</w:t>
            </w:r>
            <w:r>
              <w:rPr>
                <w:rFonts w:hint="eastAsia" w:ascii="Times New Roman Regular" w:hAnsi="Times New Roman Regular" w:eastAsia="宋体" w:cs="Times New Roman Regular"/>
                <w:color w:val="000000"/>
                <w:sz w:val="20"/>
                <w:szCs w:val="20"/>
                <w:highlight w:val="none"/>
                <w:lang w:val="en-US" w:eastAsia="zh-CN"/>
              </w:rPr>
              <w:t>y</w:t>
            </w:r>
          </w:p>
        </w:tc>
        <w:tc>
          <w:tcPr>
            <w:tcW w:w="424" w:type="pct"/>
            <w:shd w:val="clear" w:color="auto" w:fill="auto"/>
            <w:noWrap/>
            <w:vAlign w:val="center"/>
          </w:tcPr>
          <w:p w14:paraId="0DA3957D">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Rabbit</w:t>
            </w:r>
          </w:p>
        </w:tc>
        <w:tc>
          <w:tcPr>
            <w:tcW w:w="611" w:type="pct"/>
            <w:shd w:val="clear" w:color="auto" w:fill="auto"/>
            <w:noWrap/>
            <w:vAlign w:val="center"/>
          </w:tcPr>
          <w:p w14:paraId="57AA8206">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lang w:val="en-US" w:eastAsia="zh-CN"/>
              </w:rPr>
              <w:t>Monoclonal</w:t>
            </w:r>
          </w:p>
        </w:tc>
        <w:tc>
          <w:tcPr>
            <w:tcW w:w="750" w:type="pct"/>
            <w:shd w:val="clear" w:color="auto" w:fill="auto"/>
            <w:noWrap/>
            <w:vAlign w:val="center"/>
          </w:tcPr>
          <w:p w14:paraId="434B0110">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Human, Mouse, Rat, Monkey</w:t>
            </w:r>
          </w:p>
        </w:tc>
        <w:tc>
          <w:tcPr>
            <w:tcW w:w="699" w:type="pct"/>
            <w:shd w:val="clear" w:color="auto" w:fill="auto"/>
            <w:noWrap/>
            <w:vAlign w:val="center"/>
          </w:tcPr>
          <w:p w14:paraId="2F749755">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 xml:space="preserve">WB, </w:t>
            </w:r>
            <w:r>
              <w:rPr>
                <w:rFonts w:ascii="Times New Roman Regular" w:hAnsi="Times New Roman Regular" w:cs="Times New Roman Regular"/>
                <w:color w:val="000000"/>
                <w:sz w:val="20"/>
                <w:szCs w:val="20"/>
                <w:highlight w:val="none"/>
                <w:lang w:val="en-US"/>
              </w:rPr>
              <w:t xml:space="preserve">IP, </w:t>
            </w:r>
            <w:r>
              <w:rPr>
                <w:rFonts w:ascii="Times New Roman Regular" w:hAnsi="Times New Roman Regular" w:cs="Times New Roman Regular"/>
                <w:color w:val="000000"/>
                <w:sz w:val="20"/>
                <w:szCs w:val="20"/>
                <w:highlight w:val="none"/>
              </w:rPr>
              <w:t>IHC, IF</w:t>
            </w:r>
            <w:r>
              <w:rPr>
                <w:rFonts w:ascii="Times New Roman Regular" w:hAnsi="Times New Roman Regular" w:cs="Times New Roman Regular"/>
                <w:color w:val="000000"/>
                <w:sz w:val="20"/>
                <w:szCs w:val="20"/>
                <w:highlight w:val="none"/>
                <w:lang w:val="en-US"/>
              </w:rPr>
              <w:t>, Flow Cyt</w:t>
            </w:r>
          </w:p>
        </w:tc>
        <w:tc>
          <w:tcPr>
            <w:tcW w:w="360" w:type="pct"/>
            <w:shd w:val="clear" w:color="auto" w:fill="auto"/>
            <w:noWrap/>
            <w:vAlign w:val="center"/>
          </w:tcPr>
          <w:p w14:paraId="26DE6D86">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1:200</w:t>
            </w:r>
          </w:p>
        </w:tc>
        <w:tc>
          <w:tcPr>
            <w:tcW w:w="415" w:type="pct"/>
            <w:shd w:val="clear" w:color="auto" w:fill="auto"/>
            <w:noWrap/>
            <w:vAlign w:val="center"/>
          </w:tcPr>
          <w:p w14:paraId="3E1C78C2">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1:1000</w:t>
            </w:r>
          </w:p>
        </w:tc>
      </w:tr>
      <w:tr w14:paraId="31B04BBB">
        <w:trPr>
          <w:trHeight w:val="850" w:hRule="atLeast"/>
          <w:jc w:val="center"/>
        </w:trPr>
        <w:tc>
          <w:tcPr>
            <w:tcW w:w="589" w:type="pct"/>
            <w:shd w:val="clear" w:color="auto" w:fill="auto"/>
            <w:noWrap/>
            <w:vAlign w:val="center"/>
          </w:tcPr>
          <w:p w14:paraId="0353A8D8">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p-FOXO3a</w:t>
            </w:r>
          </w:p>
        </w:tc>
        <w:tc>
          <w:tcPr>
            <w:tcW w:w="524" w:type="pct"/>
            <w:shd w:val="clear" w:color="auto" w:fill="auto"/>
            <w:noWrap/>
            <w:vAlign w:val="center"/>
          </w:tcPr>
          <w:p w14:paraId="3B811141">
            <w:pPr>
              <w:snapToGrid w:val="0"/>
              <w:spacing w:line="360" w:lineRule="auto"/>
              <w:jc w:val="center"/>
              <w:rPr>
                <w:rFonts w:ascii="Times New Roman Regular" w:hAnsi="Times New Roman Regular" w:cs="Times New Roman Regula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a</w:t>
            </w:r>
            <w:r>
              <w:rPr>
                <w:rFonts w:ascii="Times New Roman Regular" w:hAnsi="Times New Roman Regular" w:cs="Times New Roman Regular"/>
                <w:color w:val="000000"/>
                <w:sz w:val="20"/>
                <w:szCs w:val="20"/>
                <w:highlight w:val="none"/>
              </w:rPr>
              <w:t>b26649</w:t>
            </w:r>
          </w:p>
        </w:tc>
        <w:tc>
          <w:tcPr>
            <w:tcW w:w="623" w:type="pct"/>
            <w:shd w:val="clear" w:color="auto" w:fill="auto"/>
            <w:vAlign w:val="center"/>
          </w:tcPr>
          <w:p w14:paraId="617FB997">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Abcam</w:t>
            </w:r>
          </w:p>
        </w:tc>
        <w:tc>
          <w:tcPr>
            <w:tcW w:w="424" w:type="pct"/>
            <w:shd w:val="clear" w:color="auto" w:fill="auto"/>
            <w:vAlign w:val="center"/>
          </w:tcPr>
          <w:p w14:paraId="7BFFB190">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Rabbit</w:t>
            </w:r>
          </w:p>
        </w:tc>
        <w:tc>
          <w:tcPr>
            <w:tcW w:w="611" w:type="pct"/>
            <w:shd w:val="clear" w:color="auto" w:fill="auto"/>
            <w:noWrap/>
            <w:vAlign w:val="center"/>
          </w:tcPr>
          <w:p w14:paraId="1B4BEE1B">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Polyclonal</w:t>
            </w:r>
          </w:p>
        </w:tc>
        <w:tc>
          <w:tcPr>
            <w:tcW w:w="750" w:type="pct"/>
            <w:shd w:val="clear" w:color="auto" w:fill="auto"/>
            <w:noWrap/>
            <w:vAlign w:val="center"/>
          </w:tcPr>
          <w:p w14:paraId="4AFA40F9">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Human</w:t>
            </w:r>
          </w:p>
        </w:tc>
        <w:tc>
          <w:tcPr>
            <w:tcW w:w="699" w:type="pct"/>
            <w:shd w:val="clear" w:color="auto" w:fill="auto"/>
            <w:noWrap/>
            <w:vAlign w:val="center"/>
          </w:tcPr>
          <w:p w14:paraId="7D9B6F03">
            <w:pPr>
              <w:snapToGrid w:val="0"/>
              <w:spacing w:line="360" w:lineRule="auto"/>
              <w:jc w:val="center"/>
              <w:rPr>
                <w:rFonts w:ascii="Times New Roman Regular" w:hAnsi="Times New Roman Regular" w:eastAsia="宋体" w:cs="Times New Roman Regular"/>
                <w:color w:val="000000"/>
                <w:sz w:val="20"/>
                <w:szCs w:val="20"/>
                <w:highlight w:val="none"/>
                <w:lang w:val="en-US" w:eastAsia="zh-CN"/>
              </w:rPr>
            </w:pPr>
            <w:r>
              <w:rPr>
                <w:rFonts w:ascii="Times New Roman Regular" w:hAnsi="Times New Roman Regular" w:cs="Times New Roman Regular"/>
                <w:color w:val="000000"/>
                <w:sz w:val="20"/>
                <w:szCs w:val="20"/>
                <w:highlight w:val="none"/>
              </w:rPr>
              <w:t>ELISA</w:t>
            </w:r>
            <w:r>
              <w:rPr>
                <w:rFonts w:hint="eastAsia" w:ascii="Times New Roman Regular" w:hAnsi="Times New Roman Regular" w:eastAsia="宋体" w:cs="Times New Roman Regular"/>
                <w:color w:val="000000"/>
                <w:sz w:val="20"/>
                <w:szCs w:val="20"/>
                <w:highlight w:val="none"/>
                <w:lang w:val="en-US" w:eastAsia="zh-CN"/>
              </w:rPr>
              <w:t xml:space="preserve">, </w:t>
            </w:r>
            <w:r>
              <w:rPr>
                <w:rFonts w:ascii="Times New Roman Regular" w:hAnsi="Times New Roman Regular" w:cs="Times New Roman Regular"/>
                <w:color w:val="000000"/>
                <w:sz w:val="20"/>
                <w:szCs w:val="20"/>
                <w:highlight w:val="none"/>
              </w:rPr>
              <w:t>WB</w:t>
            </w:r>
            <w:r>
              <w:rPr>
                <w:rFonts w:hint="eastAsia" w:ascii="Times New Roman Regular" w:hAnsi="Times New Roman Regular" w:eastAsia="宋体" w:cs="Times New Roman Regular"/>
                <w:color w:val="000000"/>
                <w:sz w:val="20"/>
                <w:szCs w:val="20"/>
                <w:highlight w:val="none"/>
                <w:lang w:val="en-US" w:eastAsia="zh-CN"/>
              </w:rPr>
              <w:t>, IHC-P</w:t>
            </w:r>
          </w:p>
        </w:tc>
        <w:tc>
          <w:tcPr>
            <w:tcW w:w="360" w:type="pct"/>
            <w:shd w:val="clear" w:color="auto" w:fill="auto"/>
            <w:noWrap/>
            <w:vAlign w:val="center"/>
          </w:tcPr>
          <w:p w14:paraId="4EFECF22">
            <w:pPr>
              <w:snapToGrid w:val="0"/>
              <w:spacing w:line="360" w:lineRule="auto"/>
              <w:jc w:val="center"/>
              <w:rPr>
                <w:rFonts w:ascii="Times New Roman Regular" w:hAnsi="Times New Roman Regular" w:cs="Times New Roman Regular"/>
                <w:color w:val="000000"/>
                <w:sz w:val="20"/>
                <w:szCs w:val="20"/>
                <w:highlight w:val="none"/>
              </w:rPr>
            </w:pPr>
          </w:p>
        </w:tc>
        <w:tc>
          <w:tcPr>
            <w:tcW w:w="415" w:type="pct"/>
            <w:shd w:val="clear" w:color="auto" w:fill="auto"/>
            <w:noWrap/>
            <w:vAlign w:val="center"/>
          </w:tcPr>
          <w:p w14:paraId="205D2DBC">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1:1000</w:t>
            </w:r>
          </w:p>
        </w:tc>
      </w:tr>
      <w:tr w14:paraId="011D7C9B">
        <w:trPr>
          <w:trHeight w:val="850" w:hRule="atLeast"/>
          <w:jc w:val="center"/>
        </w:trPr>
        <w:tc>
          <w:tcPr>
            <w:tcW w:w="589" w:type="pct"/>
            <w:shd w:val="clear" w:color="auto" w:fill="auto"/>
            <w:vAlign w:val="center"/>
          </w:tcPr>
          <w:p w14:paraId="535614E2">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RPS6</w:t>
            </w:r>
          </w:p>
        </w:tc>
        <w:tc>
          <w:tcPr>
            <w:tcW w:w="524" w:type="pct"/>
            <w:shd w:val="clear" w:color="auto" w:fill="auto"/>
            <w:vAlign w:val="center"/>
          </w:tcPr>
          <w:p w14:paraId="286BF4AD">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ab40820</w:t>
            </w:r>
          </w:p>
        </w:tc>
        <w:tc>
          <w:tcPr>
            <w:tcW w:w="623" w:type="pct"/>
            <w:shd w:val="clear" w:color="auto" w:fill="auto"/>
            <w:vAlign w:val="center"/>
          </w:tcPr>
          <w:p w14:paraId="50964AC4">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Abcam</w:t>
            </w:r>
          </w:p>
        </w:tc>
        <w:tc>
          <w:tcPr>
            <w:tcW w:w="424" w:type="pct"/>
            <w:shd w:val="clear" w:color="auto" w:fill="auto"/>
            <w:vAlign w:val="center"/>
          </w:tcPr>
          <w:p w14:paraId="30BF2AB4">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Rabbit</w:t>
            </w:r>
          </w:p>
        </w:tc>
        <w:tc>
          <w:tcPr>
            <w:tcW w:w="611" w:type="pct"/>
            <w:shd w:val="clear" w:color="auto" w:fill="auto"/>
            <w:noWrap/>
            <w:vAlign w:val="center"/>
          </w:tcPr>
          <w:p w14:paraId="30D60BA4">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Polyclonal</w:t>
            </w:r>
          </w:p>
        </w:tc>
        <w:tc>
          <w:tcPr>
            <w:tcW w:w="750" w:type="pct"/>
            <w:shd w:val="clear" w:color="auto" w:fill="auto"/>
            <w:noWrap/>
            <w:vAlign w:val="center"/>
          </w:tcPr>
          <w:p w14:paraId="1E895AA9">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Human</w:t>
            </w:r>
          </w:p>
        </w:tc>
        <w:tc>
          <w:tcPr>
            <w:tcW w:w="699" w:type="pct"/>
            <w:shd w:val="clear" w:color="auto" w:fill="auto"/>
            <w:noWrap/>
            <w:vAlign w:val="center"/>
          </w:tcPr>
          <w:p w14:paraId="1667D532">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 xml:space="preserve">IHC-P, WB, ICC/IF </w:t>
            </w:r>
          </w:p>
        </w:tc>
        <w:tc>
          <w:tcPr>
            <w:tcW w:w="360" w:type="pct"/>
            <w:shd w:val="clear" w:color="auto" w:fill="auto"/>
            <w:noWrap/>
            <w:vAlign w:val="center"/>
          </w:tcPr>
          <w:p w14:paraId="286AA3CD">
            <w:pPr>
              <w:snapToGrid w:val="0"/>
              <w:spacing w:line="360" w:lineRule="auto"/>
              <w:jc w:val="center"/>
              <w:rPr>
                <w:rFonts w:ascii="Times New Roman Regular" w:hAnsi="Times New Roman Regular" w:cs="Times New Roman Regular"/>
                <w:color w:val="000000"/>
                <w:sz w:val="20"/>
                <w:szCs w:val="20"/>
                <w:highlight w:val="none"/>
              </w:rPr>
            </w:pPr>
          </w:p>
        </w:tc>
        <w:tc>
          <w:tcPr>
            <w:tcW w:w="415" w:type="pct"/>
            <w:shd w:val="clear" w:color="auto" w:fill="auto"/>
            <w:noWrap/>
            <w:vAlign w:val="center"/>
          </w:tcPr>
          <w:p w14:paraId="1E1AB1A3">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1:1000</w:t>
            </w:r>
          </w:p>
        </w:tc>
      </w:tr>
      <w:tr w14:paraId="3E34D4E4">
        <w:trPr>
          <w:trHeight w:val="1032" w:hRule="atLeast"/>
          <w:jc w:val="center"/>
        </w:trPr>
        <w:tc>
          <w:tcPr>
            <w:tcW w:w="589" w:type="pct"/>
            <w:shd w:val="clear" w:color="auto" w:fill="auto"/>
            <w:vAlign w:val="center"/>
          </w:tcPr>
          <w:p w14:paraId="6341F73C">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p-RPS6</w:t>
            </w:r>
          </w:p>
        </w:tc>
        <w:tc>
          <w:tcPr>
            <w:tcW w:w="524" w:type="pct"/>
            <w:shd w:val="clear" w:color="auto" w:fill="auto"/>
            <w:vAlign w:val="center"/>
          </w:tcPr>
          <w:p w14:paraId="74B6AA16">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ab215214</w:t>
            </w:r>
          </w:p>
        </w:tc>
        <w:tc>
          <w:tcPr>
            <w:tcW w:w="623" w:type="pct"/>
            <w:shd w:val="clear" w:color="auto" w:fill="auto"/>
            <w:vAlign w:val="center"/>
          </w:tcPr>
          <w:p w14:paraId="1EA80BE0">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Abcam</w:t>
            </w:r>
          </w:p>
        </w:tc>
        <w:tc>
          <w:tcPr>
            <w:tcW w:w="424" w:type="pct"/>
            <w:shd w:val="clear" w:color="auto" w:fill="auto"/>
            <w:vAlign w:val="center"/>
          </w:tcPr>
          <w:p w14:paraId="2FDC49D9">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Rabbit</w:t>
            </w:r>
          </w:p>
        </w:tc>
        <w:tc>
          <w:tcPr>
            <w:tcW w:w="611" w:type="pct"/>
            <w:shd w:val="clear" w:color="auto" w:fill="auto"/>
            <w:noWrap/>
            <w:vAlign w:val="center"/>
          </w:tcPr>
          <w:p w14:paraId="3109C986">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lang w:val="en-US" w:eastAsia="zh-CN"/>
              </w:rPr>
              <w:t>Monoclonal</w:t>
            </w:r>
          </w:p>
        </w:tc>
        <w:tc>
          <w:tcPr>
            <w:tcW w:w="750" w:type="pct"/>
            <w:shd w:val="clear" w:color="auto" w:fill="auto"/>
            <w:noWrap/>
            <w:vAlign w:val="center"/>
          </w:tcPr>
          <w:p w14:paraId="5F84DC4A">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Mouse, Rat, Human</w:t>
            </w:r>
          </w:p>
        </w:tc>
        <w:tc>
          <w:tcPr>
            <w:tcW w:w="699" w:type="pct"/>
            <w:shd w:val="clear" w:color="auto" w:fill="auto"/>
            <w:noWrap/>
            <w:vAlign w:val="center"/>
          </w:tcPr>
          <w:p w14:paraId="0703EF15">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Flow Cyt (Intra), IHC-P, ICC/IF, Dot, WB, IP</w:t>
            </w:r>
          </w:p>
        </w:tc>
        <w:tc>
          <w:tcPr>
            <w:tcW w:w="360" w:type="pct"/>
            <w:shd w:val="clear" w:color="auto" w:fill="auto"/>
            <w:noWrap/>
            <w:vAlign w:val="center"/>
          </w:tcPr>
          <w:p w14:paraId="3CF7B732">
            <w:pPr>
              <w:snapToGrid w:val="0"/>
              <w:spacing w:line="360" w:lineRule="auto"/>
              <w:jc w:val="center"/>
              <w:rPr>
                <w:rFonts w:ascii="Times New Roman Regular" w:hAnsi="Times New Roman Regular" w:cs="Times New Roman Regular"/>
                <w:color w:val="000000"/>
                <w:sz w:val="20"/>
                <w:szCs w:val="20"/>
                <w:highlight w:val="none"/>
              </w:rPr>
            </w:pPr>
          </w:p>
        </w:tc>
        <w:tc>
          <w:tcPr>
            <w:tcW w:w="415" w:type="pct"/>
            <w:shd w:val="clear" w:color="auto" w:fill="auto"/>
            <w:noWrap/>
            <w:vAlign w:val="center"/>
          </w:tcPr>
          <w:p w14:paraId="063BC658">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1:1000</w:t>
            </w:r>
          </w:p>
        </w:tc>
      </w:tr>
      <w:tr w14:paraId="6B7195EC">
        <w:trPr>
          <w:trHeight w:val="1032" w:hRule="atLeast"/>
          <w:jc w:val="center"/>
        </w:trPr>
        <w:tc>
          <w:tcPr>
            <w:tcW w:w="589" w:type="pct"/>
            <w:shd w:val="clear" w:color="auto" w:fill="auto"/>
            <w:noWrap/>
            <w:vAlign w:val="center"/>
          </w:tcPr>
          <w:p w14:paraId="0BD80E24">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KITL</w:t>
            </w:r>
          </w:p>
        </w:tc>
        <w:tc>
          <w:tcPr>
            <w:tcW w:w="524" w:type="pct"/>
            <w:shd w:val="clear" w:color="auto" w:fill="auto"/>
            <w:noWrap/>
            <w:vAlign w:val="center"/>
          </w:tcPr>
          <w:p w14:paraId="7AA33059">
            <w:pPr>
              <w:snapToGrid w:val="0"/>
              <w:spacing w:line="360" w:lineRule="auto"/>
              <w:jc w:val="center"/>
              <w:rPr>
                <w:rFonts w:ascii="Times New Roman Regular" w:hAnsi="Times New Roman Regular" w:cs="Times New Roman Regular"/>
                <w:color w:val="000000"/>
                <w:sz w:val="20"/>
                <w:szCs w:val="20"/>
                <w:highlight w:val="none"/>
              </w:rPr>
            </w:pPr>
            <w:r>
              <w:rPr>
                <w:rFonts w:hint="eastAsia" w:ascii="Times New Roman Regular" w:hAnsi="Times New Roman Regular" w:eastAsia="宋体" w:cs="Times New Roman Regular"/>
                <w:color w:val="000000"/>
                <w:sz w:val="20"/>
                <w:szCs w:val="20"/>
                <w:highlight w:val="none"/>
                <w:lang w:val="en-US" w:eastAsia="zh-CN"/>
              </w:rPr>
              <w:t>a</w:t>
            </w:r>
            <w:r>
              <w:rPr>
                <w:rFonts w:ascii="Times New Roman Regular" w:hAnsi="Times New Roman Regular" w:cs="Times New Roman Regular"/>
                <w:color w:val="000000"/>
                <w:sz w:val="20"/>
                <w:szCs w:val="20"/>
                <w:highlight w:val="none"/>
              </w:rPr>
              <w:t>b64677</w:t>
            </w:r>
          </w:p>
        </w:tc>
        <w:tc>
          <w:tcPr>
            <w:tcW w:w="623" w:type="pct"/>
            <w:shd w:val="clear" w:color="auto" w:fill="auto"/>
            <w:noWrap/>
            <w:vAlign w:val="center"/>
          </w:tcPr>
          <w:p w14:paraId="6182CC27">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Abcam</w:t>
            </w:r>
          </w:p>
        </w:tc>
        <w:tc>
          <w:tcPr>
            <w:tcW w:w="424" w:type="pct"/>
            <w:shd w:val="clear" w:color="auto" w:fill="auto"/>
            <w:noWrap/>
            <w:vAlign w:val="center"/>
          </w:tcPr>
          <w:p w14:paraId="71DEDDE4">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Rabbit</w:t>
            </w:r>
          </w:p>
        </w:tc>
        <w:tc>
          <w:tcPr>
            <w:tcW w:w="611" w:type="pct"/>
            <w:shd w:val="clear" w:color="auto" w:fill="auto"/>
            <w:noWrap/>
            <w:vAlign w:val="center"/>
          </w:tcPr>
          <w:p w14:paraId="0DF358FC">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Polyclonal</w:t>
            </w:r>
          </w:p>
        </w:tc>
        <w:tc>
          <w:tcPr>
            <w:tcW w:w="750" w:type="pct"/>
            <w:shd w:val="clear" w:color="auto" w:fill="auto"/>
            <w:noWrap/>
            <w:vAlign w:val="center"/>
          </w:tcPr>
          <w:p w14:paraId="4BA9776A">
            <w:pPr>
              <w:snapToGrid w:val="0"/>
              <w:spacing w:line="360" w:lineRule="auto"/>
              <w:jc w:val="center"/>
              <w:rPr>
                <w:rFonts w:ascii="Times New Roman Regular" w:hAnsi="Times New Roman Regular" w:eastAsia="宋体" w:cs="Times New Roman Regular"/>
                <w:color w:val="000000"/>
                <w:sz w:val="20"/>
                <w:szCs w:val="20"/>
                <w:highlight w:val="none"/>
                <w:lang w:val="en-US" w:eastAsia="zh-CN"/>
              </w:rPr>
            </w:pPr>
            <w:r>
              <w:rPr>
                <w:rFonts w:ascii="Times New Roman Regular" w:hAnsi="Times New Roman Regular" w:cs="Times New Roman Regular"/>
                <w:color w:val="000000"/>
                <w:sz w:val="20"/>
                <w:szCs w:val="20"/>
                <w:highlight w:val="none"/>
              </w:rPr>
              <w:t>Human, Mouse,</w:t>
            </w:r>
            <w:r>
              <w:rPr>
                <w:rFonts w:ascii="Times New Roman Regular" w:hAnsi="Times New Roman Regular" w:cs="Times New Roman Regular"/>
                <w:color w:val="000000"/>
                <w:sz w:val="20"/>
                <w:szCs w:val="20"/>
                <w:highlight w:val="none"/>
                <w:lang w:val="en-US"/>
              </w:rPr>
              <w:t xml:space="preserve"> </w:t>
            </w:r>
            <w:r>
              <w:rPr>
                <w:rFonts w:ascii="Times New Roman Regular" w:hAnsi="Times New Roman Regular" w:cs="Times New Roman Regular"/>
                <w:color w:val="000000"/>
                <w:sz w:val="20"/>
                <w:szCs w:val="20"/>
                <w:highlight w:val="none"/>
              </w:rPr>
              <w:t>African green monkey</w:t>
            </w:r>
          </w:p>
        </w:tc>
        <w:tc>
          <w:tcPr>
            <w:tcW w:w="699" w:type="pct"/>
            <w:shd w:val="clear" w:color="auto" w:fill="auto"/>
            <w:noWrap/>
            <w:vAlign w:val="center"/>
          </w:tcPr>
          <w:p w14:paraId="3F56FC5E">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ICC/IF, IHC-P, WB</w:t>
            </w:r>
          </w:p>
        </w:tc>
        <w:tc>
          <w:tcPr>
            <w:tcW w:w="360" w:type="pct"/>
            <w:shd w:val="clear" w:color="auto" w:fill="auto"/>
            <w:noWrap/>
            <w:vAlign w:val="center"/>
          </w:tcPr>
          <w:p w14:paraId="071C7A58">
            <w:pPr>
              <w:snapToGrid w:val="0"/>
              <w:spacing w:line="360" w:lineRule="auto"/>
              <w:jc w:val="center"/>
              <w:rPr>
                <w:rFonts w:ascii="Times New Roman Regular" w:hAnsi="Times New Roman Regular" w:cs="Times New Roman Regular"/>
                <w:color w:val="000000"/>
                <w:sz w:val="20"/>
                <w:szCs w:val="20"/>
                <w:highlight w:val="none"/>
              </w:rPr>
            </w:pPr>
          </w:p>
        </w:tc>
        <w:tc>
          <w:tcPr>
            <w:tcW w:w="415" w:type="pct"/>
            <w:shd w:val="clear" w:color="auto" w:fill="auto"/>
            <w:noWrap/>
            <w:vAlign w:val="center"/>
          </w:tcPr>
          <w:p w14:paraId="6A8E2D6D">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1:1000</w:t>
            </w:r>
          </w:p>
        </w:tc>
      </w:tr>
      <w:tr w14:paraId="053B8766">
        <w:trPr>
          <w:trHeight w:val="1032" w:hRule="atLeast"/>
          <w:jc w:val="center"/>
        </w:trPr>
        <w:tc>
          <w:tcPr>
            <w:tcW w:w="589" w:type="pct"/>
            <w:shd w:val="clear" w:color="auto" w:fill="auto"/>
            <w:noWrap/>
            <w:vAlign w:val="center"/>
          </w:tcPr>
          <w:p w14:paraId="7F916B14">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p85α</w:t>
            </w:r>
          </w:p>
        </w:tc>
        <w:tc>
          <w:tcPr>
            <w:tcW w:w="524" w:type="pct"/>
            <w:shd w:val="clear" w:color="auto" w:fill="auto"/>
            <w:noWrap/>
            <w:vAlign w:val="center"/>
          </w:tcPr>
          <w:p w14:paraId="08C5D149">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4257</w:t>
            </w:r>
          </w:p>
        </w:tc>
        <w:tc>
          <w:tcPr>
            <w:tcW w:w="623" w:type="pct"/>
            <w:shd w:val="clear" w:color="auto" w:fill="auto"/>
            <w:noWrap/>
            <w:vAlign w:val="center"/>
          </w:tcPr>
          <w:p w14:paraId="27FA8A1B">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Cell Signaling Technolog</w:t>
            </w:r>
            <w:r>
              <w:rPr>
                <w:rFonts w:hint="eastAsia" w:ascii="Times New Roman Regular" w:hAnsi="Times New Roman Regular" w:eastAsia="宋体" w:cs="Times New Roman Regular"/>
                <w:color w:val="000000"/>
                <w:sz w:val="20"/>
                <w:szCs w:val="20"/>
                <w:highlight w:val="none"/>
                <w:lang w:val="en-US" w:eastAsia="zh-CN"/>
              </w:rPr>
              <w:t>y</w:t>
            </w:r>
          </w:p>
        </w:tc>
        <w:tc>
          <w:tcPr>
            <w:tcW w:w="424" w:type="pct"/>
            <w:shd w:val="clear" w:color="auto" w:fill="auto"/>
            <w:noWrap/>
            <w:vAlign w:val="center"/>
          </w:tcPr>
          <w:p w14:paraId="5190E435">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Rabbit</w:t>
            </w:r>
          </w:p>
        </w:tc>
        <w:tc>
          <w:tcPr>
            <w:tcW w:w="611" w:type="pct"/>
            <w:shd w:val="clear" w:color="auto" w:fill="auto"/>
            <w:noWrap/>
            <w:vAlign w:val="center"/>
          </w:tcPr>
          <w:p w14:paraId="3E8F9A26">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lang w:val="en-US" w:eastAsia="zh-CN"/>
              </w:rPr>
              <w:t>Monoclonal</w:t>
            </w:r>
          </w:p>
        </w:tc>
        <w:tc>
          <w:tcPr>
            <w:tcW w:w="750" w:type="pct"/>
            <w:shd w:val="clear" w:color="auto" w:fill="auto"/>
            <w:noWrap/>
            <w:vAlign w:val="center"/>
          </w:tcPr>
          <w:p w14:paraId="261975EE">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Mouse, Rat, Human</w:t>
            </w:r>
          </w:p>
        </w:tc>
        <w:tc>
          <w:tcPr>
            <w:tcW w:w="699" w:type="pct"/>
            <w:shd w:val="clear" w:color="auto" w:fill="auto"/>
            <w:noWrap/>
            <w:vAlign w:val="center"/>
          </w:tcPr>
          <w:p w14:paraId="39CDE1EF">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 xml:space="preserve">WB, </w:t>
            </w:r>
            <w:r>
              <w:rPr>
                <w:rFonts w:ascii="Times New Roman Regular" w:hAnsi="Times New Roman Regular" w:cs="Times New Roman Regular"/>
                <w:color w:val="000000"/>
                <w:sz w:val="20"/>
                <w:szCs w:val="20"/>
                <w:highlight w:val="none"/>
                <w:lang w:val="en-US"/>
              </w:rPr>
              <w:t>IP</w:t>
            </w:r>
          </w:p>
        </w:tc>
        <w:tc>
          <w:tcPr>
            <w:tcW w:w="360" w:type="pct"/>
            <w:shd w:val="clear" w:color="auto" w:fill="auto"/>
            <w:noWrap/>
            <w:vAlign w:val="center"/>
          </w:tcPr>
          <w:p w14:paraId="2A6169B0">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1:200</w:t>
            </w:r>
          </w:p>
        </w:tc>
        <w:tc>
          <w:tcPr>
            <w:tcW w:w="415" w:type="pct"/>
            <w:shd w:val="clear" w:color="auto" w:fill="auto"/>
            <w:noWrap/>
            <w:vAlign w:val="center"/>
          </w:tcPr>
          <w:p w14:paraId="762052EF">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 xml:space="preserve">1:1000;  </w:t>
            </w:r>
          </w:p>
          <w:p w14:paraId="511A9E66">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IP 1:50</w:t>
            </w:r>
          </w:p>
        </w:tc>
      </w:tr>
      <w:tr w14:paraId="73412BD7">
        <w:trPr>
          <w:trHeight w:val="1032" w:hRule="atLeast"/>
          <w:jc w:val="center"/>
        </w:trPr>
        <w:tc>
          <w:tcPr>
            <w:tcW w:w="589" w:type="pct"/>
            <w:shd w:val="clear" w:color="auto" w:fill="auto"/>
            <w:vAlign w:val="center"/>
          </w:tcPr>
          <w:p w14:paraId="57C60D73">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PFKL</w:t>
            </w:r>
          </w:p>
        </w:tc>
        <w:tc>
          <w:tcPr>
            <w:tcW w:w="524" w:type="pct"/>
            <w:shd w:val="clear" w:color="auto" w:fill="auto"/>
            <w:vAlign w:val="center"/>
          </w:tcPr>
          <w:p w14:paraId="63FED3DC">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ab181064</w:t>
            </w:r>
          </w:p>
        </w:tc>
        <w:tc>
          <w:tcPr>
            <w:tcW w:w="623" w:type="pct"/>
            <w:shd w:val="clear" w:color="auto" w:fill="auto"/>
            <w:vAlign w:val="center"/>
          </w:tcPr>
          <w:p w14:paraId="42128C05">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Abcam</w:t>
            </w:r>
          </w:p>
        </w:tc>
        <w:tc>
          <w:tcPr>
            <w:tcW w:w="424" w:type="pct"/>
            <w:shd w:val="clear" w:color="auto" w:fill="auto"/>
            <w:vAlign w:val="center"/>
          </w:tcPr>
          <w:p w14:paraId="5C926146">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Rabbit</w:t>
            </w:r>
          </w:p>
        </w:tc>
        <w:tc>
          <w:tcPr>
            <w:tcW w:w="611" w:type="pct"/>
            <w:shd w:val="clear" w:color="auto" w:fill="auto"/>
            <w:noWrap/>
            <w:vAlign w:val="center"/>
          </w:tcPr>
          <w:p w14:paraId="76AAA2E0">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Monoclonal</w:t>
            </w:r>
          </w:p>
        </w:tc>
        <w:tc>
          <w:tcPr>
            <w:tcW w:w="750" w:type="pct"/>
            <w:shd w:val="clear" w:color="auto" w:fill="auto"/>
            <w:noWrap/>
            <w:vAlign w:val="center"/>
          </w:tcPr>
          <w:p w14:paraId="0B377386">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Mouse, Rat, Human</w:t>
            </w:r>
          </w:p>
        </w:tc>
        <w:tc>
          <w:tcPr>
            <w:tcW w:w="699" w:type="pct"/>
            <w:shd w:val="clear" w:color="auto" w:fill="auto"/>
            <w:noWrap/>
            <w:vAlign w:val="center"/>
          </w:tcPr>
          <w:p w14:paraId="695790CD">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Flow Cyt (Intra), ICC/IF, WB</w:t>
            </w:r>
          </w:p>
        </w:tc>
        <w:tc>
          <w:tcPr>
            <w:tcW w:w="360" w:type="pct"/>
            <w:shd w:val="clear" w:color="auto" w:fill="auto"/>
            <w:noWrap/>
            <w:vAlign w:val="center"/>
          </w:tcPr>
          <w:p w14:paraId="5F5B005B">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1:200</w:t>
            </w:r>
          </w:p>
        </w:tc>
        <w:tc>
          <w:tcPr>
            <w:tcW w:w="415" w:type="pct"/>
            <w:shd w:val="clear" w:color="auto" w:fill="auto"/>
            <w:noWrap/>
            <w:vAlign w:val="center"/>
          </w:tcPr>
          <w:p w14:paraId="412994E0">
            <w:pPr>
              <w:snapToGrid w:val="0"/>
              <w:spacing w:line="360" w:lineRule="auto"/>
              <w:jc w:val="center"/>
              <w:rPr>
                <w:rFonts w:ascii="Times New Roman Regular" w:hAnsi="Times New Roman Regular" w:cs="Times New Roman Regular"/>
                <w:color w:val="000000"/>
                <w:sz w:val="20"/>
                <w:szCs w:val="20"/>
                <w:highlight w:val="none"/>
              </w:rPr>
            </w:pPr>
          </w:p>
        </w:tc>
      </w:tr>
      <w:tr w14:paraId="589560D2">
        <w:trPr>
          <w:trHeight w:val="1032" w:hRule="atLeast"/>
          <w:jc w:val="center"/>
        </w:trPr>
        <w:tc>
          <w:tcPr>
            <w:tcW w:w="589" w:type="pct"/>
            <w:shd w:val="clear" w:color="auto" w:fill="auto"/>
            <w:vAlign w:val="center"/>
          </w:tcPr>
          <w:p w14:paraId="263BC879">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Alexa Fluor 488 donkey anti-mouse IgG</w:t>
            </w:r>
          </w:p>
        </w:tc>
        <w:tc>
          <w:tcPr>
            <w:tcW w:w="524" w:type="pct"/>
            <w:shd w:val="clear" w:color="auto" w:fill="auto"/>
            <w:vAlign w:val="center"/>
          </w:tcPr>
          <w:p w14:paraId="5E869D0D">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A-21202</w:t>
            </w:r>
          </w:p>
        </w:tc>
        <w:tc>
          <w:tcPr>
            <w:tcW w:w="623" w:type="pct"/>
            <w:shd w:val="clear" w:color="auto" w:fill="auto"/>
            <w:vAlign w:val="center"/>
          </w:tcPr>
          <w:p w14:paraId="6D43E66B">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Thermo Fisher Scientific</w:t>
            </w:r>
          </w:p>
        </w:tc>
        <w:tc>
          <w:tcPr>
            <w:tcW w:w="424" w:type="pct"/>
            <w:shd w:val="clear" w:color="auto" w:fill="auto"/>
            <w:vAlign w:val="center"/>
          </w:tcPr>
          <w:p w14:paraId="60EB89E2">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Donkey</w:t>
            </w:r>
          </w:p>
        </w:tc>
        <w:tc>
          <w:tcPr>
            <w:tcW w:w="611" w:type="pct"/>
            <w:shd w:val="clear" w:color="auto" w:fill="auto"/>
            <w:noWrap/>
            <w:vAlign w:val="center"/>
          </w:tcPr>
          <w:p w14:paraId="47159C69">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Polyclonal</w:t>
            </w:r>
          </w:p>
        </w:tc>
        <w:tc>
          <w:tcPr>
            <w:tcW w:w="750" w:type="pct"/>
            <w:shd w:val="clear" w:color="auto" w:fill="auto"/>
            <w:noWrap/>
            <w:vAlign w:val="center"/>
          </w:tcPr>
          <w:p w14:paraId="231E44E8">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Mouse</w:t>
            </w:r>
          </w:p>
        </w:tc>
        <w:tc>
          <w:tcPr>
            <w:tcW w:w="699" w:type="pct"/>
            <w:shd w:val="clear" w:color="auto" w:fill="auto"/>
            <w:noWrap/>
            <w:vAlign w:val="center"/>
          </w:tcPr>
          <w:p w14:paraId="5B464D2C">
            <w:pPr>
              <w:snapToGrid w:val="0"/>
              <w:spacing w:line="360" w:lineRule="auto"/>
              <w:jc w:val="center"/>
              <w:rPr>
                <w:rFonts w:ascii="Times New Roman Regular" w:hAnsi="Times New Roman Regular" w:cs="Times New Roman Regular"/>
                <w:color w:val="000000"/>
                <w:sz w:val="20"/>
                <w:szCs w:val="20"/>
                <w:highlight w:val="none"/>
                <w:lang w:val="en-US"/>
              </w:rPr>
            </w:pPr>
            <w:r>
              <w:rPr>
                <w:rFonts w:ascii="Times New Roman Regular" w:hAnsi="Times New Roman Regular" w:cs="Times New Roman Regular"/>
                <w:color w:val="000000"/>
                <w:sz w:val="20"/>
                <w:szCs w:val="20"/>
                <w:highlight w:val="none"/>
              </w:rPr>
              <w:t>IHC</w:t>
            </w:r>
            <w:r>
              <w:rPr>
                <w:rFonts w:ascii="Times New Roman Regular" w:hAnsi="Times New Roman Regular" w:cs="Times New Roman Regular"/>
                <w:color w:val="000000"/>
                <w:sz w:val="20"/>
                <w:szCs w:val="20"/>
                <w:highlight w:val="none"/>
                <w:lang w:val="en-US"/>
              </w:rPr>
              <w:t>, ICC/IF</w:t>
            </w:r>
          </w:p>
        </w:tc>
        <w:tc>
          <w:tcPr>
            <w:tcW w:w="360" w:type="pct"/>
            <w:shd w:val="clear" w:color="auto" w:fill="auto"/>
            <w:noWrap/>
            <w:vAlign w:val="center"/>
          </w:tcPr>
          <w:p w14:paraId="330B8978">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1:300</w:t>
            </w:r>
          </w:p>
        </w:tc>
        <w:tc>
          <w:tcPr>
            <w:tcW w:w="415" w:type="pct"/>
            <w:shd w:val="clear" w:color="auto" w:fill="auto"/>
            <w:noWrap/>
            <w:vAlign w:val="center"/>
          </w:tcPr>
          <w:p w14:paraId="5CA59D6E">
            <w:pPr>
              <w:snapToGrid w:val="0"/>
              <w:spacing w:line="360" w:lineRule="auto"/>
              <w:jc w:val="center"/>
              <w:rPr>
                <w:rFonts w:ascii="Times New Roman Regular" w:hAnsi="Times New Roman Regular" w:cs="Times New Roman Regular"/>
                <w:color w:val="000000"/>
                <w:sz w:val="20"/>
                <w:szCs w:val="20"/>
                <w:highlight w:val="none"/>
              </w:rPr>
            </w:pPr>
          </w:p>
        </w:tc>
      </w:tr>
      <w:tr w14:paraId="72062715">
        <w:trPr>
          <w:trHeight w:val="1032" w:hRule="atLeast"/>
          <w:jc w:val="center"/>
        </w:trPr>
        <w:tc>
          <w:tcPr>
            <w:tcW w:w="589" w:type="pct"/>
            <w:shd w:val="clear" w:color="auto" w:fill="auto"/>
            <w:vAlign w:val="center"/>
          </w:tcPr>
          <w:p w14:paraId="75B04CA6">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Alexa Fluor 488 donkey anti-rabbit IgG</w:t>
            </w:r>
          </w:p>
        </w:tc>
        <w:tc>
          <w:tcPr>
            <w:tcW w:w="524" w:type="pct"/>
            <w:shd w:val="clear" w:color="auto" w:fill="auto"/>
            <w:vAlign w:val="center"/>
          </w:tcPr>
          <w:p w14:paraId="07797FE2">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A-21206</w:t>
            </w:r>
          </w:p>
        </w:tc>
        <w:tc>
          <w:tcPr>
            <w:tcW w:w="623" w:type="pct"/>
            <w:shd w:val="clear" w:color="auto" w:fill="auto"/>
            <w:vAlign w:val="center"/>
          </w:tcPr>
          <w:p w14:paraId="5B2BB314">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Thermo Fisher Scientific</w:t>
            </w:r>
          </w:p>
        </w:tc>
        <w:tc>
          <w:tcPr>
            <w:tcW w:w="424" w:type="pct"/>
            <w:shd w:val="clear" w:color="auto" w:fill="auto"/>
            <w:vAlign w:val="center"/>
          </w:tcPr>
          <w:p w14:paraId="3681E606">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 xml:space="preserve">Donkey </w:t>
            </w:r>
          </w:p>
        </w:tc>
        <w:tc>
          <w:tcPr>
            <w:tcW w:w="611" w:type="pct"/>
            <w:shd w:val="clear" w:color="auto" w:fill="auto"/>
            <w:noWrap/>
            <w:vAlign w:val="center"/>
          </w:tcPr>
          <w:p w14:paraId="30625344">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Polyclonal</w:t>
            </w:r>
          </w:p>
        </w:tc>
        <w:tc>
          <w:tcPr>
            <w:tcW w:w="750" w:type="pct"/>
            <w:shd w:val="clear" w:color="auto" w:fill="auto"/>
            <w:noWrap/>
            <w:vAlign w:val="center"/>
          </w:tcPr>
          <w:p w14:paraId="47211E6F">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Rabbit</w:t>
            </w:r>
          </w:p>
        </w:tc>
        <w:tc>
          <w:tcPr>
            <w:tcW w:w="699" w:type="pct"/>
            <w:shd w:val="clear" w:color="auto" w:fill="auto"/>
            <w:noWrap/>
            <w:vAlign w:val="center"/>
          </w:tcPr>
          <w:p w14:paraId="5C997425">
            <w:pPr>
              <w:snapToGrid w:val="0"/>
              <w:spacing w:line="360" w:lineRule="auto"/>
              <w:jc w:val="center"/>
              <w:rPr>
                <w:rFonts w:ascii="Times New Roman Regular" w:hAnsi="Times New Roman Regular" w:cs="Times New Roman Regular"/>
                <w:color w:val="000000"/>
                <w:sz w:val="20"/>
                <w:szCs w:val="20"/>
                <w:highlight w:val="none"/>
                <w:lang w:val="en-US"/>
              </w:rPr>
            </w:pPr>
            <w:r>
              <w:rPr>
                <w:rFonts w:ascii="Times New Roman Regular" w:hAnsi="Times New Roman Regular" w:cs="Times New Roman Regular"/>
                <w:color w:val="000000"/>
                <w:sz w:val="20"/>
                <w:szCs w:val="20"/>
                <w:highlight w:val="none"/>
              </w:rPr>
              <w:t>IHC (P)</w:t>
            </w:r>
            <w:r>
              <w:rPr>
                <w:rFonts w:ascii="Times New Roman Regular" w:hAnsi="Times New Roman Regular" w:cs="Times New Roman Regular"/>
                <w:color w:val="000000"/>
                <w:sz w:val="20"/>
                <w:szCs w:val="20"/>
                <w:highlight w:val="none"/>
                <w:lang w:val="en-US"/>
              </w:rPr>
              <w:t>, IHC (F), ICC/IF, Flow</w:t>
            </w:r>
          </w:p>
        </w:tc>
        <w:tc>
          <w:tcPr>
            <w:tcW w:w="360" w:type="pct"/>
            <w:shd w:val="clear" w:color="auto" w:fill="auto"/>
            <w:noWrap/>
            <w:vAlign w:val="center"/>
          </w:tcPr>
          <w:p w14:paraId="060997E5">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1:300</w:t>
            </w:r>
          </w:p>
        </w:tc>
        <w:tc>
          <w:tcPr>
            <w:tcW w:w="415" w:type="pct"/>
            <w:shd w:val="clear" w:color="auto" w:fill="auto"/>
            <w:noWrap/>
            <w:vAlign w:val="center"/>
          </w:tcPr>
          <w:p w14:paraId="3914E79C">
            <w:pPr>
              <w:snapToGrid w:val="0"/>
              <w:spacing w:line="360" w:lineRule="auto"/>
              <w:jc w:val="center"/>
              <w:rPr>
                <w:rFonts w:ascii="Times New Roman Regular" w:hAnsi="Times New Roman Regular" w:cs="Times New Roman Regular"/>
                <w:color w:val="000000"/>
                <w:sz w:val="20"/>
                <w:szCs w:val="20"/>
                <w:highlight w:val="none"/>
              </w:rPr>
            </w:pPr>
          </w:p>
        </w:tc>
      </w:tr>
      <w:tr w14:paraId="7743A691">
        <w:trPr>
          <w:trHeight w:val="1032" w:hRule="atLeast"/>
          <w:jc w:val="center"/>
        </w:trPr>
        <w:tc>
          <w:tcPr>
            <w:tcW w:w="589" w:type="pct"/>
            <w:shd w:val="clear" w:color="auto" w:fill="auto"/>
            <w:vAlign w:val="center"/>
          </w:tcPr>
          <w:p w14:paraId="7116418B">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 xml:space="preserve">Alexa Fluor 488 donkey anti-goat </w:t>
            </w:r>
            <w:r>
              <w:rPr>
                <w:rFonts w:ascii="Times New Roman Regular" w:hAnsi="Times New Roman Regular" w:cs="Times New Roman Regular"/>
                <w:color w:val="000000"/>
                <w:sz w:val="20"/>
                <w:szCs w:val="20"/>
                <w:highlight w:val="none"/>
                <w:lang w:val="en-US"/>
              </w:rPr>
              <w:t>I</w:t>
            </w:r>
            <w:r>
              <w:rPr>
                <w:rFonts w:ascii="Times New Roman Regular" w:hAnsi="Times New Roman Regular" w:cs="Times New Roman Regular"/>
                <w:color w:val="000000"/>
                <w:sz w:val="20"/>
                <w:szCs w:val="20"/>
                <w:highlight w:val="none"/>
              </w:rPr>
              <w:t>gG</w:t>
            </w:r>
          </w:p>
        </w:tc>
        <w:tc>
          <w:tcPr>
            <w:tcW w:w="524" w:type="pct"/>
            <w:shd w:val="clear" w:color="auto" w:fill="auto"/>
            <w:vAlign w:val="center"/>
          </w:tcPr>
          <w:p w14:paraId="7DDD6781">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A-11055</w:t>
            </w:r>
          </w:p>
        </w:tc>
        <w:tc>
          <w:tcPr>
            <w:tcW w:w="623" w:type="pct"/>
            <w:shd w:val="clear" w:color="auto" w:fill="auto"/>
            <w:vAlign w:val="center"/>
          </w:tcPr>
          <w:p w14:paraId="31D8C35D">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Thermo Fisher Scientific</w:t>
            </w:r>
          </w:p>
        </w:tc>
        <w:tc>
          <w:tcPr>
            <w:tcW w:w="424" w:type="pct"/>
            <w:shd w:val="clear" w:color="auto" w:fill="auto"/>
            <w:vAlign w:val="center"/>
          </w:tcPr>
          <w:p w14:paraId="63CB983B">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 xml:space="preserve">Donkey </w:t>
            </w:r>
          </w:p>
        </w:tc>
        <w:tc>
          <w:tcPr>
            <w:tcW w:w="611" w:type="pct"/>
            <w:shd w:val="clear" w:color="auto" w:fill="auto"/>
            <w:noWrap/>
            <w:vAlign w:val="center"/>
          </w:tcPr>
          <w:p w14:paraId="149BFA49">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Polyclonal</w:t>
            </w:r>
          </w:p>
        </w:tc>
        <w:tc>
          <w:tcPr>
            <w:tcW w:w="750" w:type="pct"/>
            <w:shd w:val="clear" w:color="auto" w:fill="auto"/>
            <w:noWrap/>
            <w:vAlign w:val="center"/>
          </w:tcPr>
          <w:p w14:paraId="3EDD76BF">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Goat</w:t>
            </w:r>
          </w:p>
        </w:tc>
        <w:tc>
          <w:tcPr>
            <w:tcW w:w="699" w:type="pct"/>
            <w:shd w:val="clear" w:color="auto" w:fill="auto"/>
            <w:noWrap/>
            <w:vAlign w:val="center"/>
          </w:tcPr>
          <w:p w14:paraId="51214804">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IHC (P)</w:t>
            </w:r>
            <w:r>
              <w:rPr>
                <w:rFonts w:ascii="Times New Roman Regular" w:hAnsi="Times New Roman Regular" w:cs="Times New Roman Regular"/>
                <w:color w:val="000000"/>
                <w:sz w:val="20"/>
                <w:szCs w:val="20"/>
                <w:highlight w:val="none"/>
                <w:lang w:val="en-US"/>
              </w:rPr>
              <w:t>, IHC (F), ICC/IF, Flow</w:t>
            </w:r>
          </w:p>
        </w:tc>
        <w:tc>
          <w:tcPr>
            <w:tcW w:w="360" w:type="pct"/>
            <w:shd w:val="clear" w:color="auto" w:fill="auto"/>
            <w:noWrap/>
            <w:vAlign w:val="center"/>
          </w:tcPr>
          <w:p w14:paraId="04D49800">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1:300</w:t>
            </w:r>
          </w:p>
        </w:tc>
        <w:tc>
          <w:tcPr>
            <w:tcW w:w="415" w:type="pct"/>
            <w:shd w:val="clear" w:color="auto" w:fill="auto"/>
            <w:noWrap/>
            <w:vAlign w:val="center"/>
          </w:tcPr>
          <w:p w14:paraId="6AD7E39B">
            <w:pPr>
              <w:snapToGrid w:val="0"/>
              <w:spacing w:line="360" w:lineRule="auto"/>
              <w:jc w:val="center"/>
              <w:rPr>
                <w:rFonts w:ascii="Times New Roman Regular" w:hAnsi="Times New Roman Regular" w:cs="Times New Roman Regular"/>
                <w:color w:val="000000"/>
                <w:sz w:val="20"/>
                <w:szCs w:val="20"/>
                <w:highlight w:val="none"/>
              </w:rPr>
            </w:pPr>
          </w:p>
        </w:tc>
      </w:tr>
      <w:tr w14:paraId="3FAE0EDE">
        <w:trPr>
          <w:trHeight w:val="1032" w:hRule="atLeast"/>
          <w:jc w:val="center"/>
        </w:trPr>
        <w:tc>
          <w:tcPr>
            <w:tcW w:w="589" w:type="pct"/>
            <w:shd w:val="clear" w:color="auto" w:fill="auto"/>
            <w:vAlign w:val="center"/>
          </w:tcPr>
          <w:p w14:paraId="795A1337">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Alexa Fluor 555 donkey anti-mouse IgG</w:t>
            </w:r>
          </w:p>
        </w:tc>
        <w:tc>
          <w:tcPr>
            <w:tcW w:w="524" w:type="pct"/>
            <w:shd w:val="clear" w:color="auto" w:fill="auto"/>
            <w:vAlign w:val="center"/>
          </w:tcPr>
          <w:p w14:paraId="0FA01FA4">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A-31570</w:t>
            </w:r>
          </w:p>
        </w:tc>
        <w:tc>
          <w:tcPr>
            <w:tcW w:w="623" w:type="pct"/>
            <w:shd w:val="clear" w:color="auto" w:fill="auto"/>
            <w:vAlign w:val="center"/>
          </w:tcPr>
          <w:p w14:paraId="0CEA9765">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Thermo Fisher Scientific</w:t>
            </w:r>
          </w:p>
        </w:tc>
        <w:tc>
          <w:tcPr>
            <w:tcW w:w="424" w:type="pct"/>
            <w:shd w:val="clear" w:color="auto" w:fill="auto"/>
            <w:vAlign w:val="center"/>
          </w:tcPr>
          <w:p w14:paraId="1EBEB5BD">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 xml:space="preserve">Donkey </w:t>
            </w:r>
          </w:p>
        </w:tc>
        <w:tc>
          <w:tcPr>
            <w:tcW w:w="611" w:type="pct"/>
            <w:shd w:val="clear" w:color="auto" w:fill="auto"/>
            <w:noWrap/>
            <w:vAlign w:val="center"/>
          </w:tcPr>
          <w:p w14:paraId="154EE868">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Polyclonal</w:t>
            </w:r>
          </w:p>
        </w:tc>
        <w:tc>
          <w:tcPr>
            <w:tcW w:w="750" w:type="pct"/>
            <w:shd w:val="clear" w:color="auto" w:fill="auto"/>
            <w:noWrap/>
            <w:vAlign w:val="center"/>
          </w:tcPr>
          <w:p w14:paraId="0F36A1F8">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Mouse</w:t>
            </w:r>
          </w:p>
        </w:tc>
        <w:tc>
          <w:tcPr>
            <w:tcW w:w="699" w:type="pct"/>
            <w:shd w:val="clear" w:color="auto" w:fill="auto"/>
            <w:noWrap/>
            <w:vAlign w:val="center"/>
          </w:tcPr>
          <w:p w14:paraId="3DF065CF">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IHC</w:t>
            </w:r>
            <w:r>
              <w:rPr>
                <w:rFonts w:ascii="Times New Roman Regular" w:hAnsi="Times New Roman Regular" w:cs="Times New Roman Regular"/>
                <w:color w:val="000000"/>
                <w:sz w:val="20"/>
                <w:szCs w:val="20"/>
                <w:highlight w:val="none"/>
                <w:lang w:val="en-US"/>
              </w:rPr>
              <w:t>, ICC/IF</w:t>
            </w:r>
          </w:p>
        </w:tc>
        <w:tc>
          <w:tcPr>
            <w:tcW w:w="360" w:type="pct"/>
            <w:shd w:val="clear" w:color="auto" w:fill="auto"/>
            <w:noWrap/>
            <w:vAlign w:val="center"/>
          </w:tcPr>
          <w:p w14:paraId="4A7E9150">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1:300</w:t>
            </w:r>
          </w:p>
        </w:tc>
        <w:tc>
          <w:tcPr>
            <w:tcW w:w="415" w:type="pct"/>
            <w:shd w:val="clear" w:color="auto" w:fill="auto"/>
            <w:noWrap/>
            <w:vAlign w:val="center"/>
          </w:tcPr>
          <w:p w14:paraId="74997F1A">
            <w:pPr>
              <w:snapToGrid w:val="0"/>
              <w:spacing w:line="360" w:lineRule="auto"/>
              <w:jc w:val="center"/>
              <w:rPr>
                <w:rFonts w:ascii="Times New Roman Regular" w:hAnsi="Times New Roman Regular" w:cs="Times New Roman Regular"/>
                <w:color w:val="000000"/>
                <w:sz w:val="20"/>
                <w:szCs w:val="20"/>
                <w:highlight w:val="none"/>
              </w:rPr>
            </w:pPr>
          </w:p>
        </w:tc>
      </w:tr>
      <w:tr w14:paraId="7727DD61">
        <w:trPr>
          <w:trHeight w:val="1032" w:hRule="atLeast"/>
          <w:jc w:val="center"/>
        </w:trPr>
        <w:tc>
          <w:tcPr>
            <w:tcW w:w="589" w:type="pct"/>
            <w:shd w:val="clear" w:color="auto" w:fill="auto"/>
            <w:vAlign w:val="center"/>
          </w:tcPr>
          <w:p w14:paraId="137D2F65">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Alexa Fluor 555 donkey anti-rabbit IgG</w:t>
            </w:r>
          </w:p>
        </w:tc>
        <w:tc>
          <w:tcPr>
            <w:tcW w:w="524" w:type="pct"/>
            <w:shd w:val="clear" w:color="auto" w:fill="auto"/>
            <w:vAlign w:val="center"/>
          </w:tcPr>
          <w:p w14:paraId="448FF9E0">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A-31572</w:t>
            </w:r>
          </w:p>
        </w:tc>
        <w:tc>
          <w:tcPr>
            <w:tcW w:w="623" w:type="pct"/>
            <w:shd w:val="clear" w:color="auto" w:fill="auto"/>
            <w:vAlign w:val="center"/>
          </w:tcPr>
          <w:p w14:paraId="6271EB74">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Thermo Fisher Scientific</w:t>
            </w:r>
          </w:p>
        </w:tc>
        <w:tc>
          <w:tcPr>
            <w:tcW w:w="424" w:type="pct"/>
            <w:shd w:val="clear" w:color="auto" w:fill="auto"/>
            <w:vAlign w:val="center"/>
          </w:tcPr>
          <w:p w14:paraId="47629C41">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 xml:space="preserve">Donkey </w:t>
            </w:r>
          </w:p>
        </w:tc>
        <w:tc>
          <w:tcPr>
            <w:tcW w:w="611" w:type="pct"/>
            <w:shd w:val="clear" w:color="auto" w:fill="auto"/>
            <w:noWrap/>
            <w:vAlign w:val="center"/>
          </w:tcPr>
          <w:p w14:paraId="2D113EA9">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Polyclonal</w:t>
            </w:r>
          </w:p>
        </w:tc>
        <w:tc>
          <w:tcPr>
            <w:tcW w:w="750" w:type="pct"/>
            <w:shd w:val="clear" w:color="auto" w:fill="auto"/>
            <w:noWrap/>
            <w:vAlign w:val="center"/>
          </w:tcPr>
          <w:p w14:paraId="099D9318">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Rabbit</w:t>
            </w:r>
          </w:p>
        </w:tc>
        <w:tc>
          <w:tcPr>
            <w:tcW w:w="699" w:type="pct"/>
            <w:shd w:val="clear" w:color="auto" w:fill="auto"/>
            <w:noWrap/>
            <w:vAlign w:val="center"/>
          </w:tcPr>
          <w:p w14:paraId="7D20ADF2">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IHC</w:t>
            </w:r>
            <w:r>
              <w:rPr>
                <w:rFonts w:ascii="Times New Roman Regular" w:hAnsi="Times New Roman Regular" w:cs="Times New Roman Regular"/>
                <w:color w:val="000000"/>
                <w:sz w:val="20"/>
                <w:szCs w:val="20"/>
                <w:highlight w:val="none"/>
                <w:lang w:val="en-US"/>
              </w:rPr>
              <w:t>, ICC/IF, Flow</w:t>
            </w:r>
          </w:p>
        </w:tc>
        <w:tc>
          <w:tcPr>
            <w:tcW w:w="360" w:type="pct"/>
            <w:shd w:val="clear" w:color="auto" w:fill="auto"/>
            <w:noWrap/>
            <w:vAlign w:val="center"/>
          </w:tcPr>
          <w:p w14:paraId="69BE1FE3">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1:300</w:t>
            </w:r>
          </w:p>
        </w:tc>
        <w:tc>
          <w:tcPr>
            <w:tcW w:w="415" w:type="pct"/>
            <w:shd w:val="clear" w:color="auto" w:fill="auto"/>
            <w:noWrap/>
            <w:vAlign w:val="center"/>
          </w:tcPr>
          <w:p w14:paraId="3DDA34C9">
            <w:pPr>
              <w:snapToGrid w:val="0"/>
              <w:spacing w:line="360" w:lineRule="auto"/>
              <w:jc w:val="center"/>
              <w:rPr>
                <w:rFonts w:ascii="Times New Roman Regular" w:hAnsi="Times New Roman Regular" w:cs="Times New Roman Regular"/>
                <w:color w:val="000000"/>
                <w:sz w:val="20"/>
                <w:szCs w:val="20"/>
                <w:highlight w:val="none"/>
              </w:rPr>
            </w:pPr>
          </w:p>
        </w:tc>
      </w:tr>
      <w:tr w14:paraId="27525A1E">
        <w:trPr>
          <w:trHeight w:val="1032" w:hRule="atLeast"/>
          <w:jc w:val="center"/>
        </w:trPr>
        <w:tc>
          <w:tcPr>
            <w:tcW w:w="589" w:type="pct"/>
            <w:shd w:val="clear" w:color="auto" w:fill="auto"/>
            <w:vAlign w:val="center"/>
          </w:tcPr>
          <w:p w14:paraId="4F64D4B0">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Alexa Fluor 555 donkey anti-goat IgG</w:t>
            </w:r>
          </w:p>
        </w:tc>
        <w:tc>
          <w:tcPr>
            <w:tcW w:w="524" w:type="pct"/>
            <w:shd w:val="clear" w:color="auto" w:fill="auto"/>
            <w:vAlign w:val="center"/>
          </w:tcPr>
          <w:p w14:paraId="6A4046EA">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A-21432</w:t>
            </w:r>
          </w:p>
        </w:tc>
        <w:tc>
          <w:tcPr>
            <w:tcW w:w="623" w:type="pct"/>
            <w:shd w:val="clear" w:color="auto" w:fill="auto"/>
            <w:vAlign w:val="center"/>
          </w:tcPr>
          <w:p w14:paraId="3EED7D30">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Thermo Fisher Scientific</w:t>
            </w:r>
          </w:p>
        </w:tc>
        <w:tc>
          <w:tcPr>
            <w:tcW w:w="424" w:type="pct"/>
            <w:shd w:val="clear" w:color="auto" w:fill="auto"/>
            <w:vAlign w:val="center"/>
          </w:tcPr>
          <w:p w14:paraId="37E86FC8">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 xml:space="preserve">Donkey </w:t>
            </w:r>
          </w:p>
        </w:tc>
        <w:tc>
          <w:tcPr>
            <w:tcW w:w="611" w:type="pct"/>
            <w:shd w:val="clear" w:color="auto" w:fill="auto"/>
            <w:noWrap/>
            <w:vAlign w:val="center"/>
          </w:tcPr>
          <w:p w14:paraId="6B152139">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Polyclonal</w:t>
            </w:r>
          </w:p>
        </w:tc>
        <w:tc>
          <w:tcPr>
            <w:tcW w:w="750" w:type="pct"/>
            <w:shd w:val="clear" w:color="auto" w:fill="auto"/>
            <w:noWrap/>
            <w:vAlign w:val="center"/>
          </w:tcPr>
          <w:p w14:paraId="24A8722F">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Goat</w:t>
            </w:r>
          </w:p>
        </w:tc>
        <w:tc>
          <w:tcPr>
            <w:tcW w:w="699" w:type="pct"/>
            <w:shd w:val="clear" w:color="auto" w:fill="auto"/>
            <w:noWrap/>
            <w:vAlign w:val="center"/>
          </w:tcPr>
          <w:p w14:paraId="6D312CE5">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IHC</w:t>
            </w:r>
            <w:r>
              <w:rPr>
                <w:rFonts w:ascii="Times New Roman Regular" w:hAnsi="Times New Roman Regular" w:cs="Times New Roman Regular"/>
                <w:color w:val="000000"/>
                <w:sz w:val="20"/>
                <w:szCs w:val="20"/>
                <w:highlight w:val="none"/>
                <w:lang w:val="en-US"/>
              </w:rPr>
              <w:t>, ICC/IF</w:t>
            </w:r>
          </w:p>
        </w:tc>
        <w:tc>
          <w:tcPr>
            <w:tcW w:w="360" w:type="pct"/>
            <w:shd w:val="clear" w:color="auto" w:fill="auto"/>
            <w:noWrap/>
            <w:vAlign w:val="center"/>
          </w:tcPr>
          <w:p w14:paraId="12943366">
            <w:pPr>
              <w:snapToGrid w:val="0"/>
              <w:spacing w:line="360" w:lineRule="auto"/>
              <w:jc w:val="center"/>
              <w:rPr>
                <w:rFonts w:ascii="Times New Roman Regular" w:hAnsi="Times New Roman Regular" w:cs="Times New Roman Regular"/>
                <w:color w:val="000000"/>
                <w:sz w:val="20"/>
                <w:szCs w:val="20"/>
                <w:highlight w:val="none"/>
              </w:rPr>
            </w:pPr>
            <w:r>
              <w:rPr>
                <w:rFonts w:ascii="Times New Roman Regular" w:hAnsi="Times New Roman Regular" w:cs="Times New Roman Regular"/>
                <w:color w:val="000000"/>
                <w:sz w:val="20"/>
                <w:szCs w:val="20"/>
                <w:highlight w:val="none"/>
              </w:rPr>
              <w:t>1:300</w:t>
            </w:r>
          </w:p>
        </w:tc>
        <w:tc>
          <w:tcPr>
            <w:tcW w:w="415" w:type="pct"/>
            <w:shd w:val="clear" w:color="auto" w:fill="auto"/>
            <w:noWrap/>
            <w:vAlign w:val="center"/>
          </w:tcPr>
          <w:p w14:paraId="5A847A3D">
            <w:pPr>
              <w:snapToGrid w:val="0"/>
              <w:spacing w:line="360" w:lineRule="auto"/>
              <w:jc w:val="center"/>
              <w:rPr>
                <w:rFonts w:ascii="Times New Roman Regular" w:hAnsi="Times New Roman Regular" w:cs="Times New Roman Regular"/>
                <w:color w:val="000000"/>
                <w:sz w:val="20"/>
                <w:szCs w:val="20"/>
                <w:highlight w:val="none"/>
              </w:rPr>
            </w:pPr>
          </w:p>
        </w:tc>
      </w:tr>
    </w:tbl>
    <w:p w14:paraId="1D57F037">
      <w:pPr>
        <w:pStyle w:val="88"/>
        <w:spacing w:before="0" w:after="0" w:line="480" w:lineRule="auto"/>
        <w:outlineLvl w:val="9"/>
        <w:rPr>
          <w:b w:val="0"/>
          <w:bCs w:val="0"/>
          <w:highlight w:val="none"/>
        </w:rPr>
      </w:pPr>
      <w:r>
        <w:rPr>
          <w:rFonts w:hint="eastAsia"/>
          <w:b w:val="0"/>
          <w:bCs w:val="0"/>
          <w:highlight w:val="none"/>
        </w:rPr>
        <w:t>Dot: Dot blot</w:t>
      </w:r>
    </w:p>
    <w:p w14:paraId="51A7341D">
      <w:pPr>
        <w:pStyle w:val="88"/>
        <w:spacing w:before="0" w:after="0" w:line="480" w:lineRule="auto"/>
        <w:outlineLvl w:val="9"/>
        <w:rPr>
          <w:b w:val="0"/>
          <w:bCs w:val="0"/>
          <w:highlight w:val="none"/>
        </w:rPr>
      </w:pPr>
      <w:r>
        <w:rPr>
          <w:rFonts w:hint="eastAsia"/>
          <w:b w:val="0"/>
          <w:bCs w:val="0"/>
          <w:highlight w:val="none"/>
        </w:rPr>
        <w:t>ELISA: Enzyme-Linked Immunosorbent Assay</w:t>
      </w:r>
    </w:p>
    <w:p w14:paraId="168716FA">
      <w:pPr>
        <w:pStyle w:val="88"/>
        <w:spacing w:before="0" w:after="0" w:line="480" w:lineRule="auto"/>
        <w:outlineLvl w:val="9"/>
        <w:rPr>
          <w:b w:val="0"/>
          <w:bCs w:val="0"/>
          <w:highlight w:val="none"/>
        </w:rPr>
      </w:pPr>
      <w:r>
        <w:rPr>
          <w:rFonts w:hint="eastAsia"/>
          <w:b w:val="0"/>
          <w:bCs w:val="0"/>
          <w:highlight w:val="none"/>
        </w:rPr>
        <w:t>Flow Cyt: Flow Cytometry</w:t>
      </w:r>
    </w:p>
    <w:p w14:paraId="57893183">
      <w:pPr>
        <w:pStyle w:val="88"/>
        <w:spacing w:before="0" w:after="0" w:line="480" w:lineRule="auto"/>
        <w:outlineLvl w:val="9"/>
        <w:rPr>
          <w:b w:val="0"/>
          <w:bCs w:val="0"/>
          <w:highlight w:val="none"/>
        </w:rPr>
      </w:pPr>
      <w:r>
        <w:rPr>
          <w:rFonts w:hint="eastAsia"/>
          <w:b w:val="0"/>
          <w:bCs w:val="0"/>
          <w:highlight w:val="none"/>
        </w:rPr>
        <w:t>ICC: Immunocytochemistry</w:t>
      </w:r>
    </w:p>
    <w:p w14:paraId="453D4D60">
      <w:pPr>
        <w:pStyle w:val="88"/>
        <w:spacing w:before="0" w:after="0" w:line="480" w:lineRule="auto"/>
        <w:outlineLvl w:val="9"/>
        <w:rPr>
          <w:b w:val="0"/>
          <w:bCs w:val="0"/>
          <w:highlight w:val="none"/>
        </w:rPr>
      </w:pPr>
      <w:r>
        <w:rPr>
          <w:rFonts w:hint="eastAsia"/>
          <w:b w:val="0"/>
          <w:bCs w:val="0"/>
          <w:highlight w:val="none"/>
        </w:rPr>
        <w:t>IF: Immunofluorescence</w:t>
      </w:r>
    </w:p>
    <w:p w14:paraId="5BCE2D19">
      <w:pPr>
        <w:pStyle w:val="88"/>
        <w:spacing w:before="0" w:after="0" w:line="480" w:lineRule="auto"/>
        <w:outlineLvl w:val="9"/>
        <w:rPr>
          <w:b w:val="0"/>
          <w:bCs w:val="0"/>
          <w:highlight w:val="none"/>
        </w:rPr>
      </w:pPr>
      <w:r>
        <w:rPr>
          <w:rFonts w:hint="eastAsia"/>
          <w:b w:val="0"/>
          <w:bCs w:val="0"/>
          <w:highlight w:val="none"/>
        </w:rPr>
        <w:t>IHC: Immunohistochemistry</w:t>
      </w:r>
    </w:p>
    <w:p w14:paraId="0FA4EE07">
      <w:pPr>
        <w:pStyle w:val="88"/>
        <w:spacing w:before="0" w:after="0" w:line="480" w:lineRule="auto"/>
        <w:outlineLvl w:val="9"/>
        <w:rPr>
          <w:b w:val="0"/>
          <w:bCs w:val="0"/>
          <w:highlight w:val="none"/>
        </w:rPr>
      </w:pPr>
      <w:r>
        <w:rPr>
          <w:rFonts w:hint="eastAsia"/>
          <w:b w:val="0"/>
          <w:bCs w:val="0"/>
          <w:highlight w:val="none"/>
        </w:rPr>
        <w:t>IHC-Fr: Immunohistochemistry (Frozen sections)</w:t>
      </w:r>
    </w:p>
    <w:p w14:paraId="454C4322">
      <w:pPr>
        <w:pStyle w:val="88"/>
        <w:spacing w:before="0" w:after="0" w:line="480" w:lineRule="auto"/>
        <w:outlineLvl w:val="9"/>
        <w:rPr>
          <w:b w:val="0"/>
          <w:bCs w:val="0"/>
          <w:highlight w:val="none"/>
        </w:rPr>
      </w:pPr>
      <w:r>
        <w:rPr>
          <w:rFonts w:hint="eastAsia"/>
          <w:b w:val="0"/>
          <w:bCs w:val="0"/>
          <w:highlight w:val="none"/>
        </w:rPr>
        <w:t>IHC-P: Immunohistochemistry (Formalin/PFA-fixed paraffin-embedded sections)</w:t>
      </w:r>
    </w:p>
    <w:p w14:paraId="19B838DC">
      <w:pPr>
        <w:pStyle w:val="88"/>
        <w:spacing w:before="0" w:after="0" w:line="480" w:lineRule="auto"/>
        <w:outlineLvl w:val="9"/>
        <w:rPr>
          <w:b w:val="0"/>
          <w:bCs w:val="0"/>
          <w:highlight w:val="none"/>
        </w:rPr>
      </w:pPr>
      <w:r>
        <w:rPr>
          <w:rFonts w:hint="eastAsia"/>
          <w:b w:val="0"/>
          <w:bCs w:val="0"/>
          <w:highlight w:val="none"/>
        </w:rPr>
        <w:t>IP: Immunoprecipitation</w:t>
      </w:r>
    </w:p>
    <w:p w14:paraId="4B6A0AAA">
      <w:pPr>
        <w:pStyle w:val="88"/>
        <w:spacing w:before="0" w:after="0" w:line="480" w:lineRule="auto"/>
        <w:outlineLvl w:val="9"/>
        <w:rPr>
          <w:b w:val="0"/>
          <w:bCs w:val="0"/>
          <w:highlight w:val="none"/>
        </w:rPr>
      </w:pPr>
      <w:r>
        <w:rPr>
          <w:rFonts w:hint="eastAsia"/>
          <w:b w:val="0"/>
          <w:bCs w:val="0"/>
          <w:highlight w:val="none"/>
        </w:rPr>
        <w:t>WB: Western Blotting</w:t>
      </w:r>
    </w:p>
    <w:sectPr>
      <w:headerReference r:id="rId3" w:type="default"/>
      <w:footerReference r:id="rId4" w:type="default"/>
      <w:footerReference r:id="rId5" w:type="even"/>
      <w:type w:val="continuous"/>
      <w:pgSz w:w="11906" w:h="16838"/>
      <w:pgMar w:top="1440" w:right="1080" w:bottom="1440" w:left="1080" w:header="708" w:footer="708" w:gutter="0"/>
      <w:lnNumType w:countBy="1" w:restart="continuous"/>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Songti SC">
    <w:panose1 w:val="02010800040101010101"/>
    <w:charset w:val="86"/>
    <w:family w:val="auto"/>
    <w:pitch w:val="default"/>
    <w:sig w:usb0="00000001" w:usb1="080F0000" w:usb2="00000000" w:usb3="00000000" w:csb0="00040000" w:csb1="00000000"/>
  </w:font>
  <w:font w:name="MS Mincho">
    <w:altName w:val="Hiragino Sans"/>
    <w:panose1 w:val="02020609040205080304"/>
    <w:charset w:val="80"/>
    <w:family w:val="modern"/>
    <w:pitch w:val="default"/>
    <w:sig w:usb0="00000000" w:usb1="00000000" w:usb2="08000012" w:usb3="00000000" w:csb0="0002009F" w:csb1="00000000"/>
  </w:font>
  <w:font w:name="Hiragino Sans">
    <w:panose1 w:val="020B0300000000000000"/>
    <w:charset w:val="80"/>
    <w:family w:val="auto"/>
    <w:pitch w:val="default"/>
    <w:sig w:usb0="E00002FF" w:usb1="7AE7FFFF" w:usb2="00000012" w:usb3="00000000" w:csb0="0002000D" w:csb1="00000000"/>
  </w:font>
  <w:font w:name="Calibri Light">
    <w:altName w:val="Helvetica Neue"/>
    <w:panose1 w:val="020F0302020204030204"/>
    <w:charset w:val="00"/>
    <w:family w:val="swiss"/>
    <w:pitch w:val="default"/>
    <w:sig w:usb0="00000000" w:usb1="00000000" w:usb2="00000009" w:usb3="00000000" w:csb0="000001FF" w:csb1="00000000"/>
  </w:font>
  <w:font w:name="等线 Light">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DengXian">
    <w:altName w:val="汉仪中等线KW"/>
    <w:panose1 w:val="02010600030101010101"/>
    <w:charset w:val="86"/>
    <w:family w:val="auto"/>
    <w:pitch w:val="default"/>
    <w:sig w:usb0="00000000" w:usb1="00000000" w:usb2="00000016" w:usb3="00000000" w:csb0="0004000F" w:csb1="00000000"/>
  </w:font>
  <w:font w:name="Tahoma">
    <w:panose1 w:val="020B0604030504040204"/>
    <w:charset w:val="00"/>
    <w:family w:val="swiss"/>
    <w:pitch w:val="default"/>
    <w:sig w:usb0="E1002AFF" w:usb1="C000605B" w:usb2="00000029" w:usb3="00000000" w:csb0="200101FF" w:csb1="20280000"/>
  </w:font>
  <w:font w:name="等线">
    <w:altName w:val="汉仪中等线KW"/>
    <w:panose1 w:val="00000000000000000000"/>
    <w:charset w:val="00"/>
    <w:family w:val="auto"/>
    <w:pitch w:val="default"/>
    <w:sig w:usb0="00000000" w:usb1="00000000" w:usb2="00000000" w:usb3="00000000" w:csb0="00000000" w:csb1="00000000"/>
  </w:font>
  <w:font w:name="Times">
    <w:altName w:val="Times New Roman"/>
    <w:panose1 w:val="020B0604020202020204"/>
    <w:charset w:val="00"/>
    <w:family w:val="auto"/>
    <w:pitch w:val="default"/>
    <w:sig w:usb0="00000000" w:usb1="00000000" w:usb2="00000000" w:usb3="00000000" w:csb0="0000019F" w:csb1="00000000"/>
  </w:font>
  <w:font w:name="Times New Roman Regular">
    <w:panose1 w:val="02020503050405090304"/>
    <w:charset w:val="00"/>
    <w:family w:val="auto"/>
    <w:pitch w:val="default"/>
    <w:sig w:usb0="E0000AFF" w:usb1="00007843" w:usb2="00000001" w:usb3="00000000" w:csb0="400001BF" w:csb1="DFF70000"/>
  </w:font>
  <w:font w:name="等线 Light">
    <w:altName w:val="汉仪中等线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Times New Roman Bold">
    <w:panose1 w:val="02020503050405090304"/>
    <w:charset w:val="00"/>
    <w:family w:val="auto"/>
    <w:pitch w:val="default"/>
    <w:sig w:usb0="E0000AFF" w:usb1="00007843" w:usb2="00000001" w:usb3="00000000" w:csb0="400001BF" w:csb1="DFF70000"/>
  </w:font>
  <w:font w:name="PingFang SC">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3"/>
      </w:rPr>
      <w:id w:val="-1"/>
    </w:sdtPr>
    <w:sdtEndPr>
      <w:rPr>
        <w:rStyle w:val="23"/>
      </w:rPr>
    </w:sdtEndPr>
    <w:sdtContent>
      <w:p w14:paraId="48F0E27C">
        <w:pPr>
          <w:pStyle w:val="13"/>
          <w:framePr w:wrap="auto" w:vAnchor="text" w:hAnchor="margin" w:xAlign="right" w:y="1"/>
          <w:rPr>
            <w:rStyle w:val="23"/>
          </w:rPr>
        </w:pPr>
        <w:r>
          <w:rPr>
            <w:rStyle w:val="23"/>
          </w:rPr>
          <w:fldChar w:fldCharType="begin"/>
        </w:r>
        <w:r>
          <w:rPr>
            <w:rStyle w:val="23"/>
          </w:rPr>
          <w:instrText xml:space="preserve"> PAGE </w:instrText>
        </w:r>
        <w:r>
          <w:rPr>
            <w:rStyle w:val="23"/>
          </w:rPr>
          <w:fldChar w:fldCharType="separate"/>
        </w:r>
        <w:r>
          <w:rPr>
            <w:rStyle w:val="23"/>
          </w:rPr>
          <w:t>12</w:t>
        </w:r>
        <w:r>
          <w:rPr>
            <w:rStyle w:val="23"/>
          </w:rPr>
          <w:fldChar w:fldCharType="end"/>
        </w:r>
      </w:p>
    </w:sdtContent>
  </w:sdt>
  <w:p w14:paraId="5C2D96AC">
    <w:pPr>
      <w:pStyle w:val="13"/>
      <w:ind w:right="360"/>
      <w:jc w:val="center"/>
    </w:pPr>
  </w:p>
  <w:p w14:paraId="5BFA2657">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3"/>
      </w:rPr>
      <w:id w:val="2058508463"/>
    </w:sdtPr>
    <w:sdtEndPr>
      <w:rPr>
        <w:rStyle w:val="23"/>
      </w:rPr>
    </w:sdtEndPr>
    <w:sdtContent>
      <w:p w14:paraId="49ED5314">
        <w:pPr>
          <w:pStyle w:val="13"/>
          <w:framePr w:wrap="auto" w:vAnchor="text" w:hAnchor="margin" w:xAlign="right" w:y="1"/>
          <w:rPr>
            <w:rStyle w:val="23"/>
          </w:rPr>
        </w:pPr>
        <w:r>
          <w:rPr>
            <w:rStyle w:val="23"/>
          </w:rPr>
          <w:fldChar w:fldCharType="begin"/>
        </w:r>
        <w:r>
          <w:rPr>
            <w:rStyle w:val="23"/>
          </w:rPr>
          <w:instrText xml:space="preserve"> PAGE </w:instrText>
        </w:r>
        <w:r>
          <w:rPr>
            <w:rStyle w:val="23"/>
          </w:rPr>
          <w:fldChar w:fldCharType="end"/>
        </w:r>
      </w:p>
    </w:sdtContent>
  </w:sdt>
  <w:p w14:paraId="30990CD8">
    <w:pPr>
      <w:pStyle w:val="1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835AF">
    <w:pPr>
      <w:pStyle w:val="14"/>
      <w:tabs>
        <w:tab w:val="left" w:pos="5003"/>
      </w:tabs>
      <w:jc w:val="right"/>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4"/>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nforcement="0"/>
  <w:defaultTabStop w:val="708"/>
  <w:hyphenationZone w:val="425"/>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6A0"/>
    <w:rsid w:val="000003BB"/>
    <w:rsid w:val="00003134"/>
    <w:rsid w:val="0000374D"/>
    <w:rsid w:val="00004A23"/>
    <w:rsid w:val="00006A0A"/>
    <w:rsid w:val="0000703E"/>
    <w:rsid w:val="000112FC"/>
    <w:rsid w:val="000118B0"/>
    <w:rsid w:val="00011C49"/>
    <w:rsid w:val="00011F40"/>
    <w:rsid w:val="0001454A"/>
    <w:rsid w:val="00014F3D"/>
    <w:rsid w:val="0001640D"/>
    <w:rsid w:val="0001683C"/>
    <w:rsid w:val="00016E79"/>
    <w:rsid w:val="000172E7"/>
    <w:rsid w:val="000214A8"/>
    <w:rsid w:val="00023692"/>
    <w:rsid w:val="00023F64"/>
    <w:rsid w:val="00027FB5"/>
    <w:rsid w:val="000314D2"/>
    <w:rsid w:val="0003318F"/>
    <w:rsid w:val="00033BA4"/>
    <w:rsid w:val="000400CD"/>
    <w:rsid w:val="0004094E"/>
    <w:rsid w:val="00040B7B"/>
    <w:rsid w:val="00041491"/>
    <w:rsid w:val="00041C1B"/>
    <w:rsid w:val="0004329D"/>
    <w:rsid w:val="000437F7"/>
    <w:rsid w:val="000458DF"/>
    <w:rsid w:val="00050985"/>
    <w:rsid w:val="0005501E"/>
    <w:rsid w:val="00055883"/>
    <w:rsid w:val="00056868"/>
    <w:rsid w:val="00056EE2"/>
    <w:rsid w:val="0006044D"/>
    <w:rsid w:val="00060D36"/>
    <w:rsid w:val="00060D37"/>
    <w:rsid w:val="00062324"/>
    <w:rsid w:val="00063C0E"/>
    <w:rsid w:val="0006581E"/>
    <w:rsid w:val="00067C29"/>
    <w:rsid w:val="00072EA7"/>
    <w:rsid w:val="00076EAD"/>
    <w:rsid w:val="0008287E"/>
    <w:rsid w:val="00082B72"/>
    <w:rsid w:val="00083031"/>
    <w:rsid w:val="0008740B"/>
    <w:rsid w:val="000904D3"/>
    <w:rsid w:val="0009052E"/>
    <w:rsid w:val="000929F8"/>
    <w:rsid w:val="00092A8F"/>
    <w:rsid w:val="0009309C"/>
    <w:rsid w:val="00093F1B"/>
    <w:rsid w:val="000951D4"/>
    <w:rsid w:val="00095511"/>
    <w:rsid w:val="000A1F4B"/>
    <w:rsid w:val="000A2145"/>
    <w:rsid w:val="000A21A9"/>
    <w:rsid w:val="000A38D2"/>
    <w:rsid w:val="000A3E93"/>
    <w:rsid w:val="000A472C"/>
    <w:rsid w:val="000A5773"/>
    <w:rsid w:val="000A682F"/>
    <w:rsid w:val="000B05A0"/>
    <w:rsid w:val="000B33EE"/>
    <w:rsid w:val="000B4293"/>
    <w:rsid w:val="000C259E"/>
    <w:rsid w:val="000C2918"/>
    <w:rsid w:val="000C3E0C"/>
    <w:rsid w:val="000C6252"/>
    <w:rsid w:val="000C6F8A"/>
    <w:rsid w:val="000D2D4B"/>
    <w:rsid w:val="000D3CC2"/>
    <w:rsid w:val="000D45F4"/>
    <w:rsid w:val="000D5AB4"/>
    <w:rsid w:val="000D66DB"/>
    <w:rsid w:val="000D7EBA"/>
    <w:rsid w:val="000D7FE6"/>
    <w:rsid w:val="000E03B7"/>
    <w:rsid w:val="000E3AB5"/>
    <w:rsid w:val="000E788B"/>
    <w:rsid w:val="000E7A5B"/>
    <w:rsid w:val="000E7BBA"/>
    <w:rsid w:val="000F439F"/>
    <w:rsid w:val="000F512F"/>
    <w:rsid w:val="0010123E"/>
    <w:rsid w:val="001013F4"/>
    <w:rsid w:val="001054D4"/>
    <w:rsid w:val="0010686C"/>
    <w:rsid w:val="00106FDD"/>
    <w:rsid w:val="00107C5F"/>
    <w:rsid w:val="00107CCC"/>
    <w:rsid w:val="00110011"/>
    <w:rsid w:val="001105BD"/>
    <w:rsid w:val="00113DAD"/>
    <w:rsid w:val="00116C82"/>
    <w:rsid w:val="00120BE6"/>
    <w:rsid w:val="00120E85"/>
    <w:rsid w:val="00123645"/>
    <w:rsid w:val="00123ADA"/>
    <w:rsid w:val="00124D09"/>
    <w:rsid w:val="00125573"/>
    <w:rsid w:val="0012642A"/>
    <w:rsid w:val="00126D17"/>
    <w:rsid w:val="001272E8"/>
    <w:rsid w:val="00127DF9"/>
    <w:rsid w:val="001305BF"/>
    <w:rsid w:val="00131D58"/>
    <w:rsid w:val="00132D14"/>
    <w:rsid w:val="0013515F"/>
    <w:rsid w:val="00136600"/>
    <w:rsid w:val="001370B1"/>
    <w:rsid w:val="001377CA"/>
    <w:rsid w:val="00140B94"/>
    <w:rsid w:val="00140D89"/>
    <w:rsid w:val="001410E5"/>
    <w:rsid w:val="001450FB"/>
    <w:rsid w:val="0014658A"/>
    <w:rsid w:val="00147DB8"/>
    <w:rsid w:val="00151683"/>
    <w:rsid w:val="0015392F"/>
    <w:rsid w:val="0015563E"/>
    <w:rsid w:val="00155F66"/>
    <w:rsid w:val="0016390D"/>
    <w:rsid w:val="00163A93"/>
    <w:rsid w:val="00164057"/>
    <w:rsid w:val="00165B37"/>
    <w:rsid w:val="00170369"/>
    <w:rsid w:val="00173757"/>
    <w:rsid w:val="00174176"/>
    <w:rsid w:val="00175E30"/>
    <w:rsid w:val="0018024D"/>
    <w:rsid w:val="0018171A"/>
    <w:rsid w:val="00181D92"/>
    <w:rsid w:val="001823B6"/>
    <w:rsid w:val="001848EB"/>
    <w:rsid w:val="00187DB9"/>
    <w:rsid w:val="0019077D"/>
    <w:rsid w:val="0019194D"/>
    <w:rsid w:val="0019309E"/>
    <w:rsid w:val="00196B68"/>
    <w:rsid w:val="0019723B"/>
    <w:rsid w:val="001A4240"/>
    <w:rsid w:val="001A6821"/>
    <w:rsid w:val="001A734D"/>
    <w:rsid w:val="001A7603"/>
    <w:rsid w:val="001B0E68"/>
    <w:rsid w:val="001B3231"/>
    <w:rsid w:val="001B4224"/>
    <w:rsid w:val="001B7472"/>
    <w:rsid w:val="001C10AC"/>
    <w:rsid w:val="001C55FB"/>
    <w:rsid w:val="001D12BC"/>
    <w:rsid w:val="001D3A42"/>
    <w:rsid w:val="001D4B77"/>
    <w:rsid w:val="001D561D"/>
    <w:rsid w:val="001E0908"/>
    <w:rsid w:val="001E18CC"/>
    <w:rsid w:val="001E1B57"/>
    <w:rsid w:val="001E3D2D"/>
    <w:rsid w:val="001E4605"/>
    <w:rsid w:val="001E5F4E"/>
    <w:rsid w:val="001F2689"/>
    <w:rsid w:val="001F2AB7"/>
    <w:rsid w:val="001F3C9B"/>
    <w:rsid w:val="001F3E77"/>
    <w:rsid w:val="001F4BD1"/>
    <w:rsid w:val="001F5110"/>
    <w:rsid w:val="001F5702"/>
    <w:rsid w:val="001F65A2"/>
    <w:rsid w:val="001F6AAF"/>
    <w:rsid w:val="001F6D06"/>
    <w:rsid w:val="002002FC"/>
    <w:rsid w:val="00201F71"/>
    <w:rsid w:val="00203934"/>
    <w:rsid w:val="0020446B"/>
    <w:rsid w:val="00204BA7"/>
    <w:rsid w:val="002072AB"/>
    <w:rsid w:val="00210140"/>
    <w:rsid w:val="00211942"/>
    <w:rsid w:val="00211E74"/>
    <w:rsid w:val="00214D95"/>
    <w:rsid w:val="00215531"/>
    <w:rsid w:val="002162B2"/>
    <w:rsid w:val="00216455"/>
    <w:rsid w:val="00216F54"/>
    <w:rsid w:val="0022047D"/>
    <w:rsid w:val="00220933"/>
    <w:rsid w:val="00220C72"/>
    <w:rsid w:val="0022540C"/>
    <w:rsid w:val="00226AA4"/>
    <w:rsid w:val="00227D6C"/>
    <w:rsid w:val="00233C8A"/>
    <w:rsid w:val="00236036"/>
    <w:rsid w:val="00240D90"/>
    <w:rsid w:val="00242720"/>
    <w:rsid w:val="0025065E"/>
    <w:rsid w:val="00253CB1"/>
    <w:rsid w:val="002543F9"/>
    <w:rsid w:val="00256B43"/>
    <w:rsid w:val="00257ADD"/>
    <w:rsid w:val="00262571"/>
    <w:rsid w:val="00263334"/>
    <w:rsid w:val="00263723"/>
    <w:rsid w:val="00263CF8"/>
    <w:rsid w:val="00264D30"/>
    <w:rsid w:val="00265635"/>
    <w:rsid w:val="00266389"/>
    <w:rsid w:val="00267053"/>
    <w:rsid w:val="002675F7"/>
    <w:rsid w:val="002725A5"/>
    <w:rsid w:val="0027314F"/>
    <w:rsid w:val="00276F30"/>
    <w:rsid w:val="002820D3"/>
    <w:rsid w:val="0028289F"/>
    <w:rsid w:val="00282946"/>
    <w:rsid w:val="00284157"/>
    <w:rsid w:val="00285631"/>
    <w:rsid w:val="00285EE5"/>
    <w:rsid w:val="00290D94"/>
    <w:rsid w:val="002914A5"/>
    <w:rsid w:val="0029203C"/>
    <w:rsid w:val="00294873"/>
    <w:rsid w:val="00294A78"/>
    <w:rsid w:val="00295A69"/>
    <w:rsid w:val="002A32E8"/>
    <w:rsid w:val="002A4A81"/>
    <w:rsid w:val="002A73A2"/>
    <w:rsid w:val="002A77F4"/>
    <w:rsid w:val="002A7CE8"/>
    <w:rsid w:val="002B0671"/>
    <w:rsid w:val="002B262F"/>
    <w:rsid w:val="002B3553"/>
    <w:rsid w:val="002B5A0A"/>
    <w:rsid w:val="002B5E06"/>
    <w:rsid w:val="002C0CFF"/>
    <w:rsid w:val="002C0F0F"/>
    <w:rsid w:val="002C2E02"/>
    <w:rsid w:val="002C381F"/>
    <w:rsid w:val="002D09B9"/>
    <w:rsid w:val="002D16A0"/>
    <w:rsid w:val="002D2930"/>
    <w:rsid w:val="002D2AFB"/>
    <w:rsid w:val="002D2DFF"/>
    <w:rsid w:val="002D3D6D"/>
    <w:rsid w:val="002D5BF8"/>
    <w:rsid w:val="002D7ECC"/>
    <w:rsid w:val="002E061C"/>
    <w:rsid w:val="002E1B8F"/>
    <w:rsid w:val="002E2DEF"/>
    <w:rsid w:val="002E424A"/>
    <w:rsid w:val="002E4E3E"/>
    <w:rsid w:val="002E5913"/>
    <w:rsid w:val="002E76B2"/>
    <w:rsid w:val="002E79A2"/>
    <w:rsid w:val="002F4F4B"/>
    <w:rsid w:val="002F55FD"/>
    <w:rsid w:val="002F594C"/>
    <w:rsid w:val="00301984"/>
    <w:rsid w:val="00301B0B"/>
    <w:rsid w:val="00301E84"/>
    <w:rsid w:val="00302E7A"/>
    <w:rsid w:val="00303D1B"/>
    <w:rsid w:val="003046B7"/>
    <w:rsid w:val="00306D4E"/>
    <w:rsid w:val="00315B67"/>
    <w:rsid w:val="00317A57"/>
    <w:rsid w:val="00320A99"/>
    <w:rsid w:val="0032144B"/>
    <w:rsid w:val="00321E38"/>
    <w:rsid w:val="00322D5B"/>
    <w:rsid w:val="003230FB"/>
    <w:rsid w:val="00325AC2"/>
    <w:rsid w:val="00326A1C"/>
    <w:rsid w:val="00326F75"/>
    <w:rsid w:val="003273CB"/>
    <w:rsid w:val="00327FDC"/>
    <w:rsid w:val="003302FB"/>
    <w:rsid w:val="003360E3"/>
    <w:rsid w:val="003371D5"/>
    <w:rsid w:val="003376CD"/>
    <w:rsid w:val="00342B30"/>
    <w:rsid w:val="00343A84"/>
    <w:rsid w:val="00344F07"/>
    <w:rsid w:val="003452C3"/>
    <w:rsid w:val="00345B38"/>
    <w:rsid w:val="003501A7"/>
    <w:rsid w:val="0035048A"/>
    <w:rsid w:val="00354F9C"/>
    <w:rsid w:val="0036263B"/>
    <w:rsid w:val="00363B62"/>
    <w:rsid w:val="003645B0"/>
    <w:rsid w:val="00364B2C"/>
    <w:rsid w:val="003664F1"/>
    <w:rsid w:val="00367E3F"/>
    <w:rsid w:val="00370FDD"/>
    <w:rsid w:val="00377EA5"/>
    <w:rsid w:val="00377F77"/>
    <w:rsid w:val="00383073"/>
    <w:rsid w:val="0038438F"/>
    <w:rsid w:val="00386369"/>
    <w:rsid w:val="0038755C"/>
    <w:rsid w:val="00387564"/>
    <w:rsid w:val="00387C67"/>
    <w:rsid w:val="00387D98"/>
    <w:rsid w:val="00390B0F"/>
    <w:rsid w:val="00390B38"/>
    <w:rsid w:val="00390B6B"/>
    <w:rsid w:val="00391CFE"/>
    <w:rsid w:val="00393381"/>
    <w:rsid w:val="0039353B"/>
    <w:rsid w:val="00394F9E"/>
    <w:rsid w:val="00395426"/>
    <w:rsid w:val="00395B91"/>
    <w:rsid w:val="00396615"/>
    <w:rsid w:val="0039700D"/>
    <w:rsid w:val="00397089"/>
    <w:rsid w:val="003978A8"/>
    <w:rsid w:val="003A0F30"/>
    <w:rsid w:val="003A1759"/>
    <w:rsid w:val="003A49BD"/>
    <w:rsid w:val="003A4C44"/>
    <w:rsid w:val="003A5AD0"/>
    <w:rsid w:val="003A6CE3"/>
    <w:rsid w:val="003A7899"/>
    <w:rsid w:val="003B15EE"/>
    <w:rsid w:val="003B4C91"/>
    <w:rsid w:val="003B517D"/>
    <w:rsid w:val="003B60EC"/>
    <w:rsid w:val="003C00ED"/>
    <w:rsid w:val="003C1C0A"/>
    <w:rsid w:val="003C35DF"/>
    <w:rsid w:val="003C4A68"/>
    <w:rsid w:val="003C554F"/>
    <w:rsid w:val="003C61DD"/>
    <w:rsid w:val="003D1352"/>
    <w:rsid w:val="003D1A88"/>
    <w:rsid w:val="003D2220"/>
    <w:rsid w:val="003D63E7"/>
    <w:rsid w:val="003D6555"/>
    <w:rsid w:val="003D75B1"/>
    <w:rsid w:val="003E05F1"/>
    <w:rsid w:val="003E113B"/>
    <w:rsid w:val="003E15E2"/>
    <w:rsid w:val="003E2F2F"/>
    <w:rsid w:val="003E5092"/>
    <w:rsid w:val="003E715D"/>
    <w:rsid w:val="003F103E"/>
    <w:rsid w:val="003F2E02"/>
    <w:rsid w:val="003F2E48"/>
    <w:rsid w:val="003F440C"/>
    <w:rsid w:val="003F525A"/>
    <w:rsid w:val="003F7BE6"/>
    <w:rsid w:val="004006A9"/>
    <w:rsid w:val="00400E3B"/>
    <w:rsid w:val="00404548"/>
    <w:rsid w:val="004052AE"/>
    <w:rsid w:val="004118A5"/>
    <w:rsid w:val="00413672"/>
    <w:rsid w:val="00414041"/>
    <w:rsid w:val="00414465"/>
    <w:rsid w:val="00414729"/>
    <w:rsid w:val="00414C80"/>
    <w:rsid w:val="00414F4B"/>
    <w:rsid w:val="00415EF9"/>
    <w:rsid w:val="00416629"/>
    <w:rsid w:val="00417DA1"/>
    <w:rsid w:val="00423478"/>
    <w:rsid w:val="00423725"/>
    <w:rsid w:val="00425B76"/>
    <w:rsid w:val="004260A2"/>
    <w:rsid w:val="00426FC6"/>
    <w:rsid w:val="004273BC"/>
    <w:rsid w:val="00427C5F"/>
    <w:rsid w:val="00441B9C"/>
    <w:rsid w:val="00441EAC"/>
    <w:rsid w:val="00442D32"/>
    <w:rsid w:val="004453D1"/>
    <w:rsid w:val="0044662B"/>
    <w:rsid w:val="0045018E"/>
    <w:rsid w:val="004507E5"/>
    <w:rsid w:val="004519AD"/>
    <w:rsid w:val="0045459A"/>
    <w:rsid w:val="004545DB"/>
    <w:rsid w:val="00454828"/>
    <w:rsid w:val="00456D76"/>
    <w:rsid w:val="0045786A"/>
    <w:rsid w:val="0046011A"/>
    <w:rsid w:val="004603E8"/>
    <w:rsid w:val="00460F76"/>
    <w:rsid w:val="00462F12"/>
    <w:rsid w:val="00463050"/>
    <w:rsid w:val="0046340F"/>
    <w:rsid w:val="00466168"/>
    <w:rsid w:val="0046778B"/>
    <w:rsid w:val="004714D4"/>
    <w:rsid w:val="004715CB"/>
    <w:rsid w:val="00474C0B"/>
    <w:rsid w:val="00475712"/>
    <w:rsid w:val="00480CCE"/>
    <w:rsid w:val="00482C00"/>
    <w:rsid w:val="00482FAA"/>
    <w:rsid w:val="00487211"/>
    <w:rsid w:val="0049075F"/>
    <w:rsid w:val="00492A39"/>
    <w:rsid w:val="00492DA8"/>
    <w:rsid w:val="004A0888"/>
    <w:rsid w:val="004A3829"/>
    <w:rsid w:val="004A43B6"/>
    <w:rsid w:val="004A6695"/>
    <w:rsid w:val="004A70EE"/>
    <w:rsid w:val="004A7492"/>
    <w:rsid w:val="004A774E"/>
    <w:rsid w:val="004A7C42"/>
    <w:rsid w:val="004A7D3E"/>
    <w:rsid w:val="004A7FF9"/>
    <w:rsid w:val="004B2DB8"/>
    <w:rsid w:val="004B379D"/>
    <w:rsid w:val="004B5F0C"/>
    <w:rsid w:val="004B6031"/>
    <w:rsid w:val="004C046E"/>
    <w:rsid w:val="004C1609"/>
    <w:rsid w:val="004C216B"/>
    <w:rsid w:val="004C56CA"/>
    <w:rsid w:val="004C5DD3"/>
    <w:rsid w:val="004D30F9"/>
    <w:rsid w:val="004D4A32"/>
    <w:rsid w:val="004D525B"/>
    <w:rsid w:val="004D5F7E"/>
    <w:rsid w:val="004D64AB"/>
    <w:rsid w:val="004E7CE8"/>
    <w:rsid w:val="004F0101"/>
    <w:rsid w:val="004F271D"/>
    <w:rsid w:val="004F5114"/>
    <w:rsid w:val="004F756C"/>
    <w:rsid w:val="005001FA"/>
    <w:rsid w:val="00501815"/>
    <w:rsid w:val="005019AF"/>
    <w:rsid w:val="0050488D"/>
    <w:rsid w:val="00504D12"/>
    <w:rsid w:val="005051CD"/>
    <w:rsid w:val="0050527A"/>
    <w:rsid w:val="0050535A"/>
    <w:rsid w:val="005106F5"/>
    <w:rsid w:val="00511192"/>
    <w:rsid w:val="005118AD"/>
    <w:rsid w:val="00512353"/>
    <w:rsid w:val="005220C2"/>
    <w:rsid w:val="005229DC"/>
    <w:rsid w:val="00522E88"/>
    <w:rsid w:val="00523369"/>
    <w:rsid w:val="0052398F"/>
    <w:rsid w:val="0052773C"/>
    <w:rsid w:val="00532380"/>
    <w:rsid w:val="00532960"/>
    <w:rsid w:val="005346D2"/>
    <w:rsid w:val="00540BB4"/>
    <w:rsid w:val="00541574"/>
    <w:rsid w:val="00544F1C"/>
    <w:rsid w:val="00545A73"/>
    <w:rsid w:val="00546DEB"/>
    <w:rsid w:val="00546F0F"/>
    <w:rsid w:val="005477E7"/>
    <w:rsid w:val="00550159"/>
    <w:rsid w:val="00551897"/>
    <w:rsid w:val="005518A7"/>
    <w:rsid w:val="0055192C"/>
    <w:rsid w:val="00551FFD"/>
    <w:rsid w:val="00552A0F"/>
    <w:rsid w:val="005551ED"/>
    <w:rsid w:val="00556419"/>
    <w:rsid w:val="005572B4"/>
    <w:rsid w:val="005572DD"/>
    <w:rsid w:val="00560564"/>
    <w:rsid w:val="00561B3B"/>
    <w:rsid w:val="00562E2B"/>
    <w:rsid w:val="00564668"/>
    <w:rsid w:val="00570353"/>
    <w:rsid w:val="005715F5"/>
    <w:rsid w:val="0057171E"/>
    <w:rsid w:val="00571EEC"/>
    <w:rsid w:val="00572666"/>
    <w:rsid w:val="0057267E"/>
    <w:rsid w:val="005726BD"/>
    <w:rsid w:val="00574A5A"/>
    <w:rsid w:val="005753B8"/>
    <w:rsid w:val="005774FB"/>
    <w:rsid w:val="00583ED5"/>
    <w:rsid w:val="00587437"/>
    <w:rsid w:val="00592678"/>
    <w:rsid w:val="00593D88"/>
    <w:rsid w:val="00594644"/>
    <w:rsid w:val="0059526F"/>
    <w:rsid w:val="00596F36"/>
    <w:rsid w:val="00596F92"/>
    <w:rsid w:val="005A1741"/>
    <w:rsid w:val="005A235F"/>
    <w:rsid w:val="005A6705"/>
    <w:rsid w:val="005A7298"/>
    <w:rsid w:val="005A751F"/>
    <w:rsid w:val="005A7719"/>
    <w:rsid w:val="005A77C2"/>
    <w:rsid w:val="005B1C24"/>
    <w:rsid w:val="005B291B"/>
    <w:rsid w:val="005B6F9F"/>
    <w:rsid w:val="005B76C5"/>
    <w:rsid w:val="005B7AF0"/>
    <w:rsid w:val="005B7B8A"/>
    <w:rsid w:val="005C09C6"/>
    <w:rsid w:val="005C167E"/>
    <w:rsid w:val="005C458D"/>
    <w:rsid w:val="005C491E"/>
    <w:rsid w:val="005C4D3B"/>
    <w:rsid w:val="005C5E0A"/>
    <w:rsid w:val="005C6C0C"/>
    <w:rsid w:val="005D2276"/>
    <w:rsid w:val="005D25FD"/>
    <w:rsid w:val="005D2808"/>
    <w:rsid w:val="005E0858"/>
    <w:rsid w:val="005E2794"/>
    <w:rsid w:val="005E3CBF"/>
    <w:rsid w:val="005E6F9D"/>
    <w:rsid w:val="005E7B5A"/>
    <w:rsid w:val="005E7B85"/>
    <w:rsid w:val="005F01FC"/>
    <w:rsid w:val="005F0C89"/>
    <w:rsid w:val="005F3701"/>
    <w:rsid w:val="005F41DF"/>
    <w:rsid w:val="005F4521"/>
    <w:rsid w:val="005F5478"/>
    <w:rsid w:val="005F60D4"/>
    <w:rsid w:val="005F7B2B"/>
    <w:rsid w:val="006006FC"/>
    <w:rsid w:val="006045BA"/>
    <w:rsid w:val="0060583A"/>
    <w:rsid w:val="00611649"/>
    <w:rsid w:val="00611A0E"/>
    <w:rsid w:val="00614154"/>
    <w:rsid w:val="00614BD3"/>
    <w:rsid w:val="00615E8A"/>
    <w:rsid w:val="0061660A"/>
    <w:rsid w:val="006173A6"/>
    <w:rsid w:val="00623A77"/>
    <w:rsid w:val="006256F5"/>
    <w:rsid w:val="0062586D"/>
    <w:rsid w:val="0063097B"/>
    <w:rsid w:val="00634F20"/>
    <w:rsid w:val="006359CB"/>
    <w:rsid w:val="006364B8"/>
    <w:rsid w:val="00636A64"/>
    <w:rsid w:val="00636B93"/>
    <w:rsid w:val="00640550"/>
    <w:rsid w:val="00643011"/>
    <w:rsid w:val="0064326A"/>
    <w:rsid w:val="00644D5D"/>
    <w:rsid w:val="0064695B"/>
    <w:rsid w:val="00646DC7"/>
    <w:rsid w:val="00647829"/>
    <w:rsid w:val="006511FB"/>
    <w:rsid w:val="00651A9D"/>
    <w:rsid w:val="00654C93"/>
    <w:rsid w:val="006559E1"/>
    <w:rsid w:val="00656092"/>
    <w:rsid w:val="0065741C"/>
    <w:rsid w:val="0066039B"/>
    <w:rsid w:val="00660B85"/>
    <w:rsid w:val="006622E0"/>
    <w:rsid w:val="00662DCE"/>
    <w:rsid w:val="00664F6D"/>
    <w:rsid w:val="00665045"/>
    <w:rsid w:val="006650B8"/>
    <w:rsid w:val="00666329"/>
    <w:rsid w:val="006672EE"/>
    <w:rsid w:val="0067011F"/>
    <w:rsid w:val="0067015E"/>
    <w:rsid w:val="006766EA"/>
    <w:rsid w:val="00680453"/>
    <w:rsid w:val="00682526"/>
    <w:rsid w:val="00683555"/>
    <w:rsid w:val="00686F1D"/>
    <w:rsid w:val="00692F7A"/>
    <w:rsid w:val="00693443"/>
    <w:rsid w:val="006938BA"/>
    <w:rsid w:val="006950AC"/>
    <w:rsid w:val="00695E06"/>
    <w:rsid w:val="00696315"/>
    <w:rsid w:val="006A0D51"/>
    <w:rsid w:val="006A1C05"/>
    <w:rsid w:val="006A225B"/>
    <w:rsid w:val="006A30D2"/>
    <w:rsid w:val="006A4A42"/>
    <w:rsid w:val="006A5A6A"/>
    <w:rsid w:val="006A5BCC"/>
    <w:rsid w:val="006A5FE3"/>
    <w:rsid w:val="006B23B2"/>
    <w:rsid w:val="006B4845"/>
    <w:rsid w:val="006B635C"/>
    <w:rsid w:val="006C1708"/>
    <w:rsid w:val="006C1C29"/>
    <w:rsid w:val="006C296A"/>
    <w:rsid w:val="006C3782"/>
    <w:rsid w:val="006C3CDE"/>
    <w:rsid w:val="006C4745"/>
    <w:rsid w:val="006D0EE8"/>
    <w:rsid w:val="006D3162"/>
    <w:rsid w:val="006D37E7"/>
    <w:rsid w:val="006D5146"/>
    <w:rsid w:val="006D59D6"/>
    <w:rsid w:val="006D5C04"/>
    <w:rsid w:val="006D7508"/>
    <w:rsid w:val="006E0F2F"/>
    <w:rsid w:val="006E19D7"/>
    <w:rsid w:val="006E3D3D"/>
    <w:rsid w:val="006E58C1"/>
    <w:rsid w:val="006E63EA"/>
    <w:rsid w:val="006E650E"/>
    <w:rsid w:val="006E71B9"/>
    <w:rsid w:val="006F0FE9"/>
    <w:rsid w:val="006F39B2"/>
    <w:rsid w:val="006F5384"/>
    <w:rsid w:val="006F63F6"/>
    <w:rsid w:val="006F6604"/>
    <w:rsid w:val="006F6896"/>
    <w:rsid w:val="006F71D8"/>
    <w:rsid w:val="006F7661"/>
    <w:rsid w:val="006F7D1A"/>
    <w:rsid w:val="00700643"/>
    <w:rsid w:val="00702F6F"/>
    <w:rsid w:val="0070346C"/>
    <w:rsid w:val="007051A0"/>
    <w:rsid w:val="00706496"/>
    <w:rsid w:val="0071060D"/>
    <w:rsid w:val="00711A12"/>
    <w:rsid w:val="00711F11"/>
    <w:rsid w:val="007154C4"/>
    <w:rsid w:val="00715DB9"/>
    <w:rsid w:val="00716AB8"/>
    <w:rsid w:val="007174BE"/>
    <w:rsid w:val="007218A0"/>
    <w:rsid w:val="007238AF"/>
    <w:rsid w:val="00726799"/>
    <w:rsid w:val="00726908"/>
    <w:rsid w:val="007270C7"/>
    <w:rsid w:val="00730F3A"/>
    <w:rsid w:val="007347C9"/>
    <w:rsid w:val="00735F34"/>
    <w:rsid w:val="00736944"/>
    <w:rsid w:val="00741200"/>
    <w:rsid w:val="00741333"/>
    <w:rsid w:val="00742FF2"/>
    <w:rsid w:val="00744D6A"/>
    <w:rsid w:val="00746138"/>
    <w:rsid w:val="0074620A"/>
    <w:rsid w:val="00751D50"/>
    <w:rsid w:val="007527D5"/>
    <w:rsid w:val="00752F3C"/>
    <w:rsid w:val="00754A8B"/>
    <w:rsid w:val="00755499"/>
    <w:rsid w:val="007561FC"/>
    <w:rsid w:val="00761D34"/>
    <w:rsid w:val="00762999"/>
    <w:rsid w:val="00762D2D"/>
    <w:rsid w:val="00764622"/>
    <w:rsid w:val="00764CAD"/>
    <w:rsid w:val="00770FA1"/>
    <w:rsid w:val="00773884"/>
    <w:rsid w:val="00774813"/>
    <w:rsid w:val="00774EB6"/>
    <w:rsid w:val="00775F64"/>
    <w:rsid w:val="0078052A"/>
    <w:rsid w:val="007812FB"/>
    <w:rsid w:val="00782F0D"/>
    <w:rsid w:val="00784032"/>
    <w:rsid w:val="00786E79"/>
    <w:rsid w:val="00787925"/>
    <w:rsid w:val="00790E31"/>
    <w:rsid w:val="00791578"/>
    <w:rsid w:val="00793B87"/>
    <w:rsid w:val="007944B1"/>
    <w:rsid w:val="0079566E"/>
    <w:rsid w:val="00796509"/>
    <w:rsid w:val="0079691E"/>
    <w:rsid w:val="00797723"/>
    <w:rsid w:val="007A0FEA"/>
    <w:rsid w:val="007A1AA8"/>
    <w:rsid w:val="007A4028"/>
    <w:rsid w:val="007B0133"/>
    <w:rsid w:val="007B1EEE"/>
    <w:rsid w:val="007B249B"/>
    <w:rsid w:val="007B5002"/>
    <w:rsid w:val="007B6B5F"/>
    <w:rsid w:val="007B6D4D"/>
    <w:rsid w:val="007B6FAF"/>
    <w:rsid w:val="007B7A09"/>
    <w:rsid w:val="007C0ABA"/>
    <w:rsid w:val="007C0F7A"/>
    <w:rsid w:val="007C5965"/>
    <w:rsid w:val="007D24A9"/>
    <w:rsid w:val="007D27FA"/>
    <w:rsid w:val="007D30B5"/>
    <w:rsid w:val="007D4543"/>
    <w:rsid w:val="007D6218"/>
    <w:rsid w:val="007D6699"/>
    <w:rsid w:val="007D7E30"/>
    <w:rsid w:val="007E0A75"/>
    <w:rsid w:val="007E1687"/>
    <w:rsid w:val="007E6419"/>
    <w:rsid w:val="007E6F30"/>
    <w:rsid w:val="007F3AD5"/>
    <w:rsid w:val="007F6815"/>
    <w:rsid w:val="007F6BA8"/>
    <w:rsid w:val="0080681B"/>
    <w:rsid w:val="0080738C"/>
    <w:rsid w:val="00810B77"/>
    <w:rsid w:val="00817436"/>
    <w:rsid w:val="00822217"/>
    <w:rsid w:val="0082542D"/>
    <w:rsid w:val="00827834"/>
    <w:rsid w:val="00830FBB"/>
    <w:rsid w:val="00832835"/>
    <w:rsid w:val="00835110"/>
    <w:rsid w:val="008351FC"/>
    <w:rsid w:val="00840001"/>
    <w:rsid w:val="00841F50"/>
    <w:rsid w:val="00842B9E"/>
    <w:rsid w:val="00843A0E"/>
    <w:rsid w:val="00845DFE"/>
    <w:rsid w:val="0084644D"/>
    <w:rsid w:val="00846E17"/>
    <w:rsid w:val="0085200A"/>
    <w:rsid w:val="00854283"/>
    <w:rsid w:val="008573E3"/>
    <w:rsid w:val="00861E81"/>
    <w:rsid w:val="008621BF"/>
    <w:rsid w:val="008645FF"/>
    <w:rsid w:val="00866D42"/>
    <w:rsid w:val="0087030E"/>
    <w:rsid w:val="00870AAC"/>
    <w:rsid w:val="008734F7"/>
    <w:rsid w:val="0087443A"/>
    <w:rsid w:val="00874E9F"/>
    <w:rsid w:val="00877842"/>
    <w:rsid w:val="00877AC0"/>
    <w:rsid w:val="00877B96"/>
    <w:rsid w:val="00877FE5"/>
    <w:rsid w:val="008806F8"/>
    <w:rsid w:val="008808E2"/>
    <w:rsid w:val="00881456"/>
    <w:rsid w:val="00881ACB"/>
    <w:rsid w:val="00885FC9"/>
    <w:rsid w:val="0088733C"/>
    <w:rsid w:val="00891328"/>
    <w:rsid w:val="00891A47"/>
    <w:rsid w:val="00892809"/>
    <w:rsid w:val="0089370F"/>
    <w:rsid w:val="008939AF"/>
    <w:rsid w:val="00893FED"/>
    <w:rsid w:val="00894171"/>
    <w:rsid w:val="0089449A"/>
    <w:rsid w:val="00895E48"/>
    <w:rsid w:val="00896687"/>
    <w:rsid w:val="008971F4"/>
    <w:rsid w:val="008A0E7D"/>
    <w:rsid w:val="008A3023"/>
    <w:rsid w:val="008A402D"/>
    <w:rsid w:val="008A403F"/>
    <w:rsid w:val="008A6815"/>
    <w:rsid w:val="008B1031"/>
    <w:rsid w:val="008B2303"/>
    <w:rsid w:val="008B34A0"/>
    <w:rsid w:val="008B42AF"/>
    <w:rsid w:val="008B5740"/>
    <w:rsid w:val="008C0B84"/>
    <w:rsid w:val="008C41DA"/>
    <w:rsid w:val="008C553A"/>
    <w:rsid w:val="008C581E"/>
    <w:rsid w:val="008C588E"/>
    <w:rsid w:val="008C6D5F"/>
    <w:rsid w:val="008C7226"/>
    <w:rsid w:val="008D1244"/>
    <w:rsid w:val="008D4227"/>
    <w:rsid w:val="008D7B80"/>
    <w:rsid w:val="008E243B"/>
    <w:rsid w:val="008E39A8"/>
    <w:rsid w:val="008E4184"/>
    <w:rsid w:val="008E549F"/>
    <w:rsid w:val="008E6301"/>
    <w:rsid w:val="008F10BC"/>
    <w:rsid w:val="008F2052"/>
    <w:rsid w:val="008F26ED"/>
    <w:rsid w:val="008F2A38"/>
    <w:rsid w:val="008F3012"/>
    <w:rsid w:val="008F51B7"/>
    <w:rsid w:val="008F592B"/>
    <w:rsid w:val="00901D14"/>
    <w:rsid w:val="00903775"/>
    <w:rsid w:val="009109F7"/>
    <w:rsid w:val="00912137"/>
    <w:rsid w:val="0091316D"/>
    <w:rsid w:val="00915BED"/>
    <w:rsid w:val="0091650F"/>
    <w:rsid w:val="00916B64"/>
    <w:rsid w:val="00917075"/>
    <w:rsid w:val="00917157"/>
    <w:rsid w:val="0092145D"/>
    <w:rsid w:val="009245DE"/>
    <w:rsid w:val="009253DE"/>
    <w:rsid w:val="00930762"/>
    <w:rsid w:val="00930C0C"/>
    <w:rsid w:val="00935897"/>
    <w:rsid w:val="00936B81"/>
    <w:rsid w:val="009408DA"/>
    <w:rsid w:val="00941F6B"/>
    <w:rsid w:val="00944701"/>
    <w:rsid w:val="00944E46"/>
    <w:rsid w:val="00950ED1"/>
    <w:rsid w:val="00952A7A"/>
    <w:rsid w:val="00953A02"/>
    <w:rsid w:val="0095444E"/>
    <w:rsid w:val="00954A44"/>
    <w:rsid w:val="00955C67"/>
    <w:rsid w:val="00957B65"/>
    <w:rsid w:val="00960AFF"/>
    <w:rsid w:val="00963F62"/>
    <w:rsid w:val="0096547A"/>
    <w:rsid w:val="00965EFC"/>
    <w:rsid w:val="009715DF"/>
    <w:rsid w:val="0097161B"/>
    <w:rsid w:val="009717D7"/>
    <w:rsid w:val="009762D2"/>
    <w:rsid w:val="009762F1"/>
    <w:rsid w:val="0097692D"/>
    <w:rsid w:val="009776D2"/>
    <w:rsid w:val="00977EA8"/>
    <w:rsid w:val="0098140D"/>
    <w:rsid w:val="00981CED"/>
    <w:rsid w:val="00983E37"/>
    <w:rsid w:val="00985A22"/>
    <w:rsid w:val="00987225"/>
    <w:rsid w:val="00990870"/>
    <w:rsid w:val="00990DCF"/>
    <w:rsid w:val="0099102B"/>
    <w:rsid w:val="009920F5"/>
    <w:rsid w:val="00992B56"/>
    <w:rsid w:val="00992CDA"/>
    <w:rsid w:val="00993342"/>
    <w:rsid w:val="00996CE4"/>
    <w:rsid w:val="009A0292"/>
    <w:rsid w:val="009A0FB3"/>
    <w:rsid w:val="009A1CDF"/>
    <w:rsid w:val="009A3F36"/>
    <w:rsid w:val="009A48D8"/>
    <w:rsid w:val="009A6C59"/>
    <w:rsid w:val="009A74F3"/>
    <w:rsid w:val="009A7878"/>
    <w:rsid w:val="009B0888"/>
    <w:rsid w:val="009B33DF"/>
    <w:rsid w:val="009B4270"/>
    <w:rsid w:val="009B44CC"/>
    <w:rsid w:val="009B5651"/>
    <w:rsid w:val="009B62E4"/>
    <w:rsid w:val="009B706A"/>
    <w:rsid w:val="009C4319"/>
    <w:rsid w:val="009C43CB"/>
    <w:rsid w:val="009D0680"/>
    <w:rsid w:val="009D109E"/>
    <w:rsid w:val="009D1CD9"/>
    <w:rsid w:val="009D1F28"/>
    <w:rsid w:val="009D28E5"/>
    <w:rsid w:val="009D4830"/>
    <w:rsid w:val="009D520D"/>
    <w:rsid w:val="009D797A"/>
    <w:rsid w:val="009E026A"/>
    <w:rsid w:val="009E3B56"/>
    <w:rsid w:val="009E49B5"/>
    <w:rsid w:val="009E551E"/>
    <w:rsid w:val="009E571D"/>
    <w:rsid w:val="009E6AD7"/>
    <w:rsid w:val="009E7066"/>
    <w:rsid w:val="009F1EF8"/>
    <w:rsid w:val="009F2739"/>
    <w:rsid w:val="009F378C"/>
    <w:rsid w:val="009F4604"/>
    <w:rsid w:val="009F4B78"/>
    <w:rsid w:val="009F606B"/>
    <w:rsid w:val="009F6E66"/>
    <w:rsid w:val="009F7888"/>
    <w:rsid w:val="00A02AC3"/>
    <w:rsid w:val="00A04265"/>
    <w:rsid w:val="00A04A01"/>
    <w:rsid w:val="00A06840"/>
    <w:rsid w:val="00A06EAD"/>
    <w:rsid w:val="00A1293C"/>
    <w:rsid w:val="00A1353E"/>
    <w:rsid w:val="00A139FC"/>
    <w:rsid w:val="00A14F9B"/>
    <w:rsid w:val="00A167F1"/>
    <w:rsid w:val="00A2085F"/>
    <w:rsid w:val="00A20EC0"/>
    <w:rsid w:val="00A2150B"/>
    <w:rsid w:val="00A215D9"/>
    <w:rsid w:val="00A2292C"/>
    <w:rsid w:val="00A22DD6"/>
    <w:rsid w:val="00A23FC3"/>
    <w:rsid w:val="00A2474A"/>
    <w:rsid w:val="00A25F1B"/>
    <w:rsid w:val="00A3288D"/>
    <w:rsid w:val="00A329DC"/>
    <w:rsid w:val="00A3374D"/>
    <w:rsid w:val="00A3419A"/>
    <w:rsid w:val="00A3547B"/>
    <w:rsid w:val="00A41135"/>
    <w:rsid w:val="00A41FEB"/>
    <w:rsid w:val="00A42FBA"/>
    <w:rsid w:val="00A4356A"/>
    <w:rsid w:val="00A44DA6"/>
    <w:rsid w:val="00A46030"/>
    <w:rsid w:val="00A50921"/>
    <w:rsid w:val="00A5160D"/>
    <w:rsid w:val="00A52672"/>
    <w:rsid w:val="00A53D3A"/>
    <w:rsid w:val="00A56CA4"/>
    <w:rsid w:val="00A63D18"/>
    <w:rsid w:val="00A64BBA"/>
    <w:rsid w:val="00A65F04"/>
    <w:rsid w:val="00A65F2E"/>
    <w:rsid w:val="00A661C1"/>
    <w:rsid w:val="00A7086D"/>
    <w:rsid w:val="00A71AD5"/>
    <w:rsid w:val="00A7226C"/>
    <w:rsid w:val="00A8073E"/>
    <w:rsid w:val="00A80883"/>
    <w:rsid w:val="00A81BED"/>
    <w:rsid w:val="00A82FC6"/>
    <w:rsid w:val="00A85A0D"/>
    <w:rsid w:val="00A92270"/>
    <w:rsid w:val="00A96E72"/>
    <w:rsid w:val="00AA10AE"/>
    <w:rsid w:val="00AA329F"/>
    <w:rsid w:val="00AA7B6A"/>
    <w:rsid w:val="00AB3DC6"/>
    <w:rsid w:val="00AB593E"/>
    <w:rsid w:val="00AB5D37"/>
    <w:rsid w:val="00AB683F"/>
    <w:rsid w:val="00AC356E"/>
    <w:rsid w:val="00AC4A2E"/>
    <w:rsid w:val="00AD161D"/>
    <w:rsid w:val="00AD1885"/>
    <w:rsid w:val="00AD2285"/>
    <w:rsid w:val="00AD50BA"/>
    <w:rsid w:val="00AE02E7"/>
    <w:rsid w:val="00AE0F75"/>
    <w:rsid w:val="00AE19B7"/>
    <w:rsid w:val="00AE319E"/>
    <w:rsid w:val="00AE3B2C"/>
    <w:rsid w:val="00AE3B4E"/>
    <w:rsid w:val="00AE676F"/>
    <w:rsid w:val="00AE709C"/>
    <w:rsid w:val="00AE7DD9"/>
    <w:rsid w:val="00AF247E"/>
    <w:rsid w:val="00AF2B38"/>
    <w:rsid w:val="00AF7C0C"/>
    <w:rsid w:val="00B004C1"/>
    <w:rsid w:val="00B0168B"/>
    <w:rsid w:val="00B03458"/>
    <w:rsid w:val="00B04B8E"/>
    <w:rsid w:val="00B1072F"/>
    <w:rsid w:val="00B15820"/>
    <w:rsid w:val="00B15A7F"/>
    <w:rsid w:val="00B172DC"/>
    <w:rsid w:val="00B215D8"/>
    <w:rsid w:val="00B2218A"/>
    <w:rsid w:val="00B23F64"/>
    <w:rsid w:val="00B246ED"/>
    <w:rsid w:val="00B26DD0"/>
    <w:rsid w:val="00B30B1D"/>
    <w:rsid w:val="00B3163D"/>
    <w:rsid w:val="00B338C8"/>
    <w:rsid w:val="00B341CC"/>
    <w:rsid w:val="00B35321"/>
    <w:rsid w:val="00B35505"/>
    <w:rsid w:val="00B35CB3"/>
    <w:rsid w:val="00B35E0A"/>
    <w:rsid w:val="00B40124"/>
    <w:rsid w:val="00B40B86"/>
    <w:rsid w:val="00B42E03"/>
    <w:rsid w:val="00B443E2"/>
    <w:rsid w:val="00B46222"/>
    <w:rsid w:val="00B47076"/>
    <w:rsid w:val="00B51B25"/>
    <w:rsid w:val="00B5281F"/>
    <w:rsid w:val="00B52AAC"/>
    <w:rsid w:val="00B54092"/>
    <w:rsid w:val="00B5444C"/>
    <w:rsid w:val="00B5568B"/>
    <w:rsid w:val="00B557BF"/>
    <w:rsid w:val="00B55BD6"/>
    <w:rsid w:val="00B56147"/>
    <w:rsid w:val="00B5720A"/>
    <w:rsid w:val="00B604A0"/>
    <w:rsid w:val="00B60761"/>
    <w:rsid w:val="00B620A5"/>
    <w:rsid w:val="00B62BB1"/>
    <w:rsid w:val="00B63559"/>
    <w:rsid w:val="00B73979"/>
    <w:rsid w:val="00B751B0"/>
    <w:rsid w:val="00B762E0"/>
    <w:rsid w:val="00B81264"/>
    <w:rsid w:val="00B86188"/>
    <w:rsid w:val="00B86C54"/>
    <w:rsid w:val="00B874C4"/>
    <w:rsid w:val="00B9233A"/>
    <w:rsid w:val="00B92C5B"/>
    <w:rsid w:val="00B97AA2"/>
    <w:rsid w:val="00B97B8E"/>
    <w:rsid w:val="00BA00A8"/>
    <w:rsid w:val="00BA0378"/>
    <w:rsid w:val="00BA37A4"/>
    <w:rsid w:val="00BA4FB0"/>
    <w:rsid w:val="00BA6138"/>
    <w:rsid w:val="00BB0585"/>
    <w:rsid w:val="00BB1930"/>
    <w:rsid w:val="00BB3478"/>
    <w:rsid w:val="00BC2247"/>
    <w:rsid w:val="00BC3DBE"/>
    <w:rsid w:val="00BC5572"/>
    <w:rsid w:val="00BC5A79"/>
    <w:rsid w:val="00BD1779"/>
    <w:rsid w:val="00BD497C"/>
    <w:rsid w:val="00BD57EE"/>
    <w:rsid w:val="00BE4E8A"/>
    <w:rsid w:val="00BE6478"/>
    <w:rsid w:val="00BF125F"/>
    <w:rsid w:val="00BF2A79"/>
    <w:rsid w:val="00BF375F"/>
    <w:rsid w:val="00BF45B5"/>
    <w:rsid w:val="00BF5E69"/>
    <w:rsid w:val="00C0083B"/>
    <w:rsid w:val="00C02372"/>
    <w:rsid w:val="00C035B3"/>
    <w:rsid w:val="00C044C3"/>
    <w:rsid w:val="00C04798"/>
    <w:rsid w:val="00C10453"/>
    <w:rsid w:val="00C12E60"/>
    <w:rsid w:val="00C13BCA"/>
    <w:rsid w:val="00C141B9"/>
    <w:rsid w:val="00C158CF"/>
    <w:rsid w:val="00C16518"/>
    <w:rsid w:val="00C1787D"/>
    <w:rsid w:val="00C20F14"/>
    <w:rsid w:val="00C2106E"/>
    <w:rsid w:val="00C22B7C"/>
    <w:rsid w:val="00C23B8E"/>
    <w:rsid w:val="00C268D0"/>
    <w:rsid w:val="00C3184D"/>
    <w:rsid w:val="00C331FD"/>
    <w:rsid w:val="00C34067"/>
    <w:rsid w:val="00C340E5"/>
    <w:rsid w:val="00C34DCB"/>
    <w:rsid w:val="00C369B0"/>
    <w:rsid w:val="00C36D0C"/>
    <w:rsid w:val="00C3708D"/>
    <w:rsid w:val="00C37173"/>
    <w:rsid w:val="00C376A7"/>
    <w:rsid w:val="00C4138A"/>
    <w:rsid w:val="00C440B4"/>
    <w:rsid w:val="00C446F9"/>
    <w:rsid w:val="00C462CB"/>
    <w:rsid w:val="00C46F39"/>
    <w:rsid w:val="00C47AFE"/>
    <w:rsid w:val="00C5067F"/>
    <w:rsid w:val="00C515C3"/>
    <w:rsid w:val="00C51AA2"/>
    <w:rsid w:val="00C52E43"/>
    <w:rsid w:val="00C56CD4"/>
    <w:rsid w:val="00C609C3"/>
    <w:rsid w:val="00C60E16"/>
    <w:rsid w:val="00C65E4E"/>
    <w:rsid w:val="00C66610"/>
    <w:rsid w:val="00C66648"/>
    <w:rsid w:val="00C66FEF"/>
    <w:rsid w:val="00C70CB4"/>
    <w:rsid w:val="00C727A7"/>
    <w:rsid w:val="00C728D5"/>
    <w:rsid w:val="00C72CF7"/>
    <w:rsid w:val="00C75119"/>
    <w:rsid w:val="00C753E5"/>
    <w:rsid w:val="00C76DD6"/>
    <w:rsid w:val="00C835CF"/>
    <w:rsid w:val="00C84827"/>
    <w:rsid w:val="00C90B62"/>
    <w:rsid w:val="00C91C08"/>
    <w:rsid w:val="00C959F3"/>
    <w:rsid w:val="00C97F0E"/>
    <w:rsid w:val="00CA06AC"/>
    <w:rsid w:val="00CA1D9E"/>
    <w:rsid w:val="00CA242A"/>
    <w:rsid w:val="00CA27BD"/>
    <w:rsid w:val="00CA2AB6"/>
    <w:rsid w:val="00CA3456"/>
    <w:rsid w:val="00CA36DE"/>
    <w:rsid w:val="00CA4BCC"/>
    <w:rsid w:val="00CA5313"/>
    <w:rsid w:val="00CB01D6"/>
    <w:rsid w:val="00CB0BC2"/>
    <w:rsid w:val="00CB311E"/>
    <w:rsid w:val="00CB6FF5"/>
    <w:rsid w:val="00CB71E1"/>
    <w:rsid w:val="00CC021F"/>
    <w:rsid w:val="00CC0ED3"/>
    <w:rsid w:val="00CC1894"/>
    <w:rsid w:val="00CC2EE2"/>
    <w:rsid w:val="00CC3D03"/>
    <w:rsid w:val="00CC45DB"/>
    <w:rsid w:val="00CC5651"/>
    <w:rsid w:val="00CC6FEB"/>
    <w:rsid w:val="00CC73FF"/>
    <w:rsid w:val="00CD0A26"/>
    <w:rsid w:val="00CD141E"/>
    <w:rsid w:val="00CD42F2"/>
    <w:rsid w:val="00CD45DA"/>
    <w:rsid w:val="00CE1CF2"/>
    <w:rsid w:val="00CE2EA4"/>
    <w:rsid w:val="00CE443C"/>
    <w:rsid w:val="00CE5714"/>
    <w:rsid w:val="00CE6138"/>
    <w:rsid w:val="00CE6F33"/>
    <w:rsid w:val="00CE6F59"/>
    <w:rsid w:val="00CE72A7"/>
    <w:rsid w:val="00CE7AAB"/>
    <w:rsid w:val="00CF2673"/>
    <w:rsid w:val="00CF2DA1"/>
    <w:rsid w:val="00CF2F88"/>
    <w:rsid w:val="00CF43B1"/>
    <w:rsid w:val="00D0614B"/>
    <w:rsid w:val="00D06AD1"/>
    <w:rsid w:val="00D17549"/>
    <w:rsid w:val="00D23B95"/>
    <w:rsid w:val="00D24A1E"/>
    <w:rsid w:val="00D24D97"/>
    <w:rsid w:val="00D26ACD"/>
    <w:rsid w:val="00D275F5"/>
    <w:rsid w:val="00D30D02"/>
    <w:rsid w:val="00D30D9D"/>
    <w:rsid w:val="00D3608B"/>
    <w:rsid w:val="00D376F1"/>
    <w:rsid w:val="00D37D02"/>
    <w:rsid w:val="00D42EFE"/>
    <w:rsid w:val="00D43CA8"/>
    <w:rsid w:val="00D4523D"/>
    <w:rsid w:val="00D4593F"/>
    <w:rsid w:val="00D45BD4"/>
    <w:rsid w:val="00D4775B"/>
    <w:rsid w:val="00D47AB8"/>
    <w:rsid w:val="00D55D94"/>
    <w:rsid w:val="00D56566"/>
    <w:rsid w:val="00D647A4"/>
    <w:rsid w:val="00D6487A"/>
    <w:rsid w:val="00D648BB"/>
    <w:rsid w:val="00D64E04"/>
    <w:rsid w:val="00D65A5E"/>
    <w:rsid w:val="00D669D1"/>
    <w:rsid w:val="00D7049A"/>
    <w:rsid w:val="00D704F6"/>
    <w:rsid w:val="00D722B1"/>
    <w:rsid w:val="00D74A82"/>
    <w:rsid w:val="00D753F6"/>
    <w:rsid w:val="00D7576F"/>
    <w:rsid w:val="00D7737D"/>
    <w:rsid w:val="00D80897"/>
    <w:rsid w:val="00D81375"/>
    <w:rsid w:val="00D83B65"/>
    <w:rsid w:val="00D84121"/>
    <w:rsid w:val="00D8540E"/>
    <w:rsid w:val="00D8570B"/>
    <w:rsid w:val="00D858DF"/>
    <w:rsid w:val="00D85C4D"/>
    <w:rsid w:val="00D8730B"/>
    <w:rsid w:val="00D87749"/>
    <w:rsid w:val="00D9072A"/>
    <w:rsid w:val="00D91F2E"/>
    <w:rsid w:val="00D94852"/>
    <w:rsid w:val="00DA039C"/>
    <w:rsid w:val="00DA10B4"/>
    <w:rsid w:val="00DA6EBE"/>
    <w:rsid w:val="00DB0FB4"/>
    <w:rsid w:val="00DB27CC"/>
    <w:rsid w:val="00DB2A54"/>
    <w:rsid w:val="00DB4EF9"/>
    <w:rsid w:val="00DB605F"/>
    <w:rsid w:val="00DC29FE"/>
    <w:rsid w:val="00DC430C"/>
    <w:rsid w:val="00DC60FB"/>
    <w:rsid w:val="00DC7319"/>
    <w:rsid w:val="00DC742E"/>
    <w:rsid w:val="00DD38DC"/>
    <w:rsid w:val="00DD63FF"/>
    <w:rsid w:val="00DE048A"/>
    <w:rsid w:val="00DE4327"/>
    <w:rsid w:val="00DE53A2"/>
    <w:rsid w:val="00DF1BBF"/>
    <w:rsid w:val="00DF3145"/>
    <w:rsid w:val="00DF4B0E"/>
    <w:rsid w:val="00DF4EFE"/>
    <w:rsid w:val="00DF7D2D"/>
    <w:rsid w:val="00E01E4B"/>
    <w:rsid w:val="00E062B0"/>
    <w:rsid w:val="00E0711E"/>
    <w:rsid w:val="00E0770C"/>
    <w:rsid w:val="00E14DFA"/>
    <w:rsid w:val="00E17EA5"/>
    <w:rsid w:val="00E229DB"/>
    <w:rsid w:val="00E22B14"/>
    <w:rsid w:val="00E2571A"/>
    <w:rsid w:val="00E26EDC"/>
    <w:rsid w:val="00E2713C"/>
    <w:rsid w:val="00E30B42"/>
    <w:rsid w:val="00E30E05"/>
    <w:rsid w:val="00E342D7"/>
    <w:rsid w:val="00E34554"/>
    <w:rsid w:val="00E345AA"/>
    <w:rsid w:val="00E34D1F"/>
    <w:rsid w:val="00E35C26"/>
    <w:rsid w:val="00E40003"/>
    <w:rsid w:val="00E40C45"/>
    <w:rsid w:val="00E410EA"/>
    <w:rsid w:val="00E41D5C"/>
    <w:rsid w:val="00E437F7"/>
    <w:rsid w:val="00E529F9"/>
    <w:rsid w:val="00E54FF4"/>
    <w:rsid w:val="00E55017"/>
    <w:rsid w:val="00E55416"/>
    <w:rsid w:val="00E557D1"/>
    <w:rsid w:val="00E56282"/>
    <w:rsid w:val="00E57677"/>
    <w:rsid w:val="00E61111"/>
    <w:rsid w:val="00E616BF"/>
    <w:rsid w:val="00E658AA"/>
    <w:rsid w:val="00E6656A"/>
    <w:rsid w:val="00E70D30"/>
    <w:rsid w:val="00E716BA"/>
    <w:rsid w:val="00E735DC"/>
    <w:rsid w:val="00E75977"/>
    <w:rsid w:val="00E76431"/>
    <w:rsid w:val="00E7686D"/>
    <w:rsid w:val="00E76AD6"/>
    <w:rsid w:val="00E813BA"/>
    <w:rsid w:val="00E8590C"/>
    <w:rsid w:val="00E85F76"/>
    <w:rsid w:val="00E9127F"/>
    <w:rsid w:val="00E92138"/>
    <w:rsid w:val="00E93590"/>
    <w:rsid w:val="00E94506"/>
    <w:rsid w:val="00E95A7B"/>
    <w:rsid w:val="00E969E9"/>
    <w:rsid w:val="00E978BD"/>
    <w:rsid w:val="00EA01A0"/>
    <w:rsid w:val="00EA155A"/>
    <w:rsid w:val="00EA24D4"/>
    <w:rsid w:val="00EA2851"/>
    <w:rsid w:val="00EA3515"/>
    <w:rsid w:val="00EA4472"/>
    <w:rsid w:val="00EA55FE"/>
    <w:rsid w:val="00EA73EC"/>
    <w:rsid w:val="00EB0B4F"/>
    <w:rsid w:val="00EB1B59"/>
    <w:rsid w:val="00EB4384"/>
    <w:rsid w:val="00EB522B"/>
    <w:rsid w:val="00EB6065"/>
    <w:rsid w:val="00EB734B"/>
    <w:rsid w:val="00EC0826"/>
    <w:rsid w:val="00EC2ADC"/>
    <w:rsid w:val="00EC4E99"/>
    <w:rsid w:val="00EC7E23"/>
    <w:rsid w:val="00ED113C"/>
    <w:rsid w:val="00ED3A21"/>
    <w:rsid w:val="00ED54F9"/>
    <w:rsid w:val="00ED6982"/>
    <w:rsid w:val="00ED6BDA"/>
    <w:rsid w:val="00EE0218"/>
    <w:rsid w:val="00EE0E54"/>
    <w:rsid w:val="00EE1033"/>
    <w:rsid w:val="00EE114E"/>
    <w:rsid w:val="00EE2299"/>
    <w:rsid w:val="00EE65F0"/>
    <w:rsid w:val="00EF24BB"/>
    <w:rsid w:val="00EF2B90"/>
    <w:rsid w:val="00EF32F6"/>
    <w:rsid w:val="00EF4114"/>
    <w:rsid w:val="00EF448F"/>
    <w:rsid w:val="00EF4634"/>
    <w:rsid w:val="00EF472E"/>
    <w:rsid w:val="00EF4A5A"/>
    <w:rsid w:val="00EF4EC4"/>
    <w:rsid w:val="00EF614F"/>
    <w:rsid w:val="00EF66A9"/>
    <w:rsid w:val="00EF74D8"/>
    <w:rsid w:val="00F01898"/>
    <w:rsid w:val="00F01CBB"/>
    <w:rsid w:val="00F0281C"/>
    <w:rsid w:val="00F02F3F"/>
    <w:rsid w:val="00F05EE0"/>
    <w:rsid w:val="00F0621D"/>
    <w:rsid w:val="00F06985"/>
    <w:rsid w:val="00F07DE8"/>
    <w:rsid w:val="00F14F1C"/>
    <w:rsid w:val="00F156B3"/>
    <w:rsid w:val="00F15FD8"/>
    <w:rsid w:val="00F21A1A"/>
    <w:rsid w:val="00F22813"/>
    <w:rsid w:val="00F22FC8"/>
    <w:rsid w:val="00F23074"/>
    <w:rsid w:val="00F27F36"/>
    <w:rsid w:val="00F32B8C"/>
    <w:rsid w:val="00F33383"/>
    <w:rsid w:val="00F33D5B"/>
    <w:rsid w:val="00F4030B"/>
    <w:rsid w:val="00F42F65"/>
    <w:rsid w:val="00F444F5"/>
    <w:rsid w:val="00F4602E"/>
    <w:rsid w:val="00F46BCF"/>
    <w:rsid w:val="00F515AF"/>
    <w:rsid w:val="00F53E05"/>
    <w:rsid w:val="00F5550A"/>
    <w:rsid w:val="00F55A56"/>
    <w:rsid w:val="00F56088"/>
    <w:rsid w:val="00F6031D"/>
    <w:rsid w:val="00F60FD5"/>
    <w:rsid w:val="00F61303"/>
    <w:rsid w:val="00F65606"/>
    <w:rsid w:val="00F6642E"/>
    <w:rsid w:val="00F66614"/>
    <w:rsid w:val="00F67764"/>
    <w:rsid w:val="00F67C19"/>
    <w:rsid w:val="00F71232"/>
    <w:rsid w:val="00F74722"/>
    <w:rsid w:val="00F75F45"/>
    <w:rsid w:val="00F76C33"/>
    <w:rsid w:val="00F82957"/>
    <w:rsid w:val="00F82B7A"/>
    <w:rsid w:val="00F82DF5"/>
    <w:rsid w:val="00F83BD2"/>
    <w:rsid w:val="00F84E5C"/>
    <w:rsid w:val="00F857CA"/>
    <w:rsid w:val="00F85EAB"/>
    <w:rsid w:val="00F9071F"/>
    <w:rsid w:val="00F91D93"/>
    <w:rsid w:val="00F924A7"/>
    <w:rsid w:val="00F92C2B"/>
    <w:rsid w:val="00F94241"/>
    <w:rsid w:val="00F945CD"/>
    <w:rsid w:val="00F951E6"/>
    <w:rsid w:val="00F95ECF"/>
    <w:rsid w:val="00F9792C"/>
    <w:rsid w:val="00F97AAA"/>
    <w:rsid w:val="00FA435C"/>
    <w:rsid w:val="00FA4AD8"/>
    <w:rsid w:val="00FA50DE"/>
    <w:rsid w:val="00FB05A9"/>
    <w:rsid w:val="00FB2C63"/>
    <w:rsid w:val="00FB3597"/>
    <w:rsid w:val="00FB53CA"/>
    <w:rsid w:val="00FC3750"/>
    <w:rsid w:val="00FC487C"/>
    <w:rsid w:val="00FC51A5"/>
    <w:rsid w:val="00FD0B36"/>
    <w:rsid w:val="00FD168A"/>
    <w:rsid w:val="00FD1B4B"/>
    <w:rsid w:val="00FD3643"/>
    <w:rsid w:val="00FD553C"/>
    <w:rsid w:val="00FD64D8"/>
    <w:rsid w:val="00FD6F5E"/>
    <w:rsid w:val="00FE087D"/>
    <w:rsid w:val="00FE133D"/>
    <w:rsid w:val="00FE2090"/>
    <w:rsid w:val="00FE359D"/>
    <w:rsid w:val="00FE4239"/>
    <w:rsid w:val="00FE47EA"/>
    <w:rsid w:val="00FE4D5F"/>
    <w:rsid w:val="00FE7BC4"/>
    <w:rsid w:val="00FF050D"/>
    <w:rsid w:val="00FF0518"/>
    <w:rsid w:val="00FF2580"/>
    <w:rsid w:val="00FF29D4"/>
    <w:rsid w:val="00FF388D"/>
    <w:rsid w:val="00FF5EFF"/>
    <w:rsid w:val="00FF7AB4"/>
    <w:rsid w:val="14FFEB4D"/>
    <w:rsid w:val="1F7DD474"/>
    <w:rsid w:val="23BB9EA4"/>
    <w:rsid w:val="29FF4B24"/>
    <w:rsid w:val="355FE3AF"/>
    <w:rsid w:val="373DC7C8"/>
    <w:rsid w:val="37D7D269"/>
    <w:rsid w:val="386EF52C"/>
    <w:rsid w:val="39736ABB"/>
    <w:rsid w:val="3DEFA887"/>
    <w:rsid w:val="3EFFA032"/>
    <w:rsid w:val="3FBE2C48"/>
    <w:rsid w:val="4A7F6AFA"/>
    <w:rsid w:val="4B2B6230"/>
    <w:rsid w:val="4FDFA3E2"/>
    <w:rsid w:val="53F342AB"/>
    <w:rsid w:val="54F7AD82"/>
    <w:rsid w:val="5ABC1977"/>
    <w:rsid w:val="5BF9F364"/>
    <w:rsid w:val="5EBBF22C"/>
    <w:rsid w:val="629F78C5"/>
    <w:rsid w:val="66F6D343"/>
    <w:rsid w:val="66FE0B80"/>
    <w:rsid w:val="675FF35D"/>
    <w:rsid w:val="6EFD5E9B"/>
    <w:rsid w:val="6F6F1D19"/>
    <w:rsid w:val="73FD6FD4"/>
    <w:rsid w:val="779E27D9"/>
    <w:rsid w:val="77BEAB5B"/>
    <w:rsid w:val="77FCF234"/>
    <w:rsid w:val="7B6316AE"/>
    <w:rsid w:val="7D0E7A0B"/>
    <w:rsid w:val="7D7F219F"/>
    <w:rsid w:val="7DD3631D"/>
    <w:rsid w:val="7DE37109"/>
    <w:rsid w:val="7E7FDB40"/>
    <w:rsid w:val="7EBC5796"/>
    <w:rsid w:val="7ED51CEA"/>
    <w:rsid w:val="7EE2AE31"/>
    <w:rsid w:val="7EE78410"/>
    <w:rsid w:val="7F3E3365"/>
    <w:rsid w:val="7F5DA2EC"/>
    <w:rsid w:val="7FDE582E"/>
    <w:rsid w:val="7FF36E92"/>
    <w:rsid w:val="7FFF86E6"/>
    <w:rsid w:val="91F521EA"/>
    <w:rsid w:val="99DFE820"/>
    <w:rsid w:val="AFBB63C3"/>
    <w:rsid w:val="B7E935A0"/>
    <w:rsid w:val="BF773AC6"/>
    <w:rsid w:val="BFBEDE59"/>
    <w:rsid w:val="BFEBADB2"/>
    <w:rsid w:val="C14C1542"/>
    <w:rsid w:val="CD1FB50E"/>
    <w:rsid w:val="DBBD5295"/>
    <w:rsid w:val="DCDD04FA"/>
    <w:rsid w:val="DDDECEC8"/>
    <w:rsid w:val="DF63DD77"/>
    <w:rsid w:val="DFBAF5F1"/>
    <w:rsid w:val="DFF70548"/>
    <w:rsid w:val="DFFF7D3E"/>
    <w:rsid w:val="DFFFA804"/>
    <w:rsid w:val="E3BB67FC"/>
    <w:rsid w:val="EBEEA094"/>
    <w:rsid w:val="EBF22D10"/>
    <w:rsid w:val="EBFD40CA"/>
    <w:rsid w:val="ED57A333"/>
    <w:rsid w:val="EDB52733"/>
    <w:rsid w:val="EDFDFBF0"/>
    <w:rsid w:val="EE9FA843"/>
    <w:rsid w:val="EF57C683"/>
    <w:rsid w:val="EF7BCB9C"/>
    <w:rsid w:val="EFDBB452"/>
    <w:rsid w:val="EFF4267D"/>
    <w:rsid w:val="F7FE495D"/>
    <w:rsid w:val="FB1B0B51"/>
    <w:rsid w:val="FBFF02A9"/>
    <w:rsid w:val="FE79CE24"/>
    <w:rsid w:val="FFBAAD98"/>
  </w:rsids>
  <m:mathPr>
    <m:mathFont m:val="Cambria Math"/>
    <m:brkBin m:val="before"/>
    <m:brkBinSub m:val="--"/>
    <m:smallFrac m:val="0"/>
    <m:dispDef/>
    <m:lMargin m:val="0"/>
    <m:rMargin m:val="0"/>
    <m:defJc m:val="centerGroup"/>
    <m:wrapIndent m:val="1440"/>
    <m:intLim m:val="subSup"/>
    <m:naryLim m:val="undOvr"/>
  </m:mathPr>
  <w:doNotAutoCompressPictures/>
  <w:themeFontLang w:val="en-GB" w:eastAsia="zh-CN"/>
  <w:clrSchemeMapping w:bg1="light1" w:t1="dark1" w:bg2="light2" w:t2="dark2" w:accent1="accent1" w:accent2="accent2" w:accent3="accent3" w:accent4="accent4" w:accent5="accent5" w:accent6="accent6" w:hyperlink="hyperlink" w:followedHyperlink="followedHyperlink"/>
  <w:doNotIncludeSubdocsInStats/>
  <w14:defaultImageDpi w14:val="33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name="footnote text"/>
    <w:lsdException w:uiPriority="99" w:semiHidden="0" w:name="annotation text"/>
    <w:lsdException w:unhideWhenUsed="0"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MS Mincho" w:cs="Times New Roman"/>
      <w:sz w:val="24"/>
      <w:szCs w:val="24"/>
      <w:lang w:val="de-DE" w:eastAsia="ja-JP" w:bidi="ar-SA"/>
    </w:rPr>
  </w:style>
  <w:style w:type="paragraph" w:styleId="2">
    <w:name w:val="heading 1"/>
    <w:basedOn w:val="1"/>
    <w:next w:val="1"/>
    <w:link w:val="68"/>
    <w:qFormat/>
    <w:uiPriority w:val="9"/>
    <w:pPr>
      <w:keepNext/>
      <w:keepLines/>
      <w:spacing w:before="480" w:beforeAutospacing="1" w:after="80" w:line="276" w:lineRule="auto"/>
      <w:outlineLvl w:val="0"/>
    </w:pPr>
    <w:rPr>
      <w:rFonts w:asciiTheme="majorHAnsi" w:hAnsiTheme="majorHAnsi" w:eastAsiaTheme="majorEastAsia" w:cstheme="majorBidi"/>
      <w:color w:val="2F5597" w:themeColor="accent1" w:themeShade="BF"/>
      <w:kern w:val="2"/>
      <w:sz w:val="48"/>
      <w:szCs w:val="48"/>
      <w:lang w:val="en-US" w:eastAsia="zh-CN"/>
    </w:rPr>
  </w:style>
  <w:style w:type="paragraph" w:styleId="3">
    <w:name w:val="heading 2"/>
    <w:basedOn w:val="1"/>
    <w:next w:val="1"/>
    <w:link w:val="69"/>
    <w:semiHidden/>
    <w:unhideWhenUsed/>
    <w:qFormat/>
    <w:uiPriority w:val="9"/>
    <w:pPr>
      <w:keepNext/>
      <w:keepLines/>
      <w:spacing w:before="160" w:beforeAutospacing="1" w:after="80" w:line="276" w:lineRule="auto"/>
      <w:outlineLvl w:val="1"/>
    </w:pPr>
    <w:rPr>
      <w:rFonts w:asciiTheme="majorHAnsi" w:hAnsiTheme="majorHAnsi" w:eastAsiaTheme="majorEastAsia" w:cstheme="majorBidi"/>
      <w:color w:val="2F5597" w:themeColor="accent1" w:themeShade="BF"/>
      <w:kern w:val="2"/>
      <w:sz w:val="40"/>
      <w:szCs w:val="40"/>
      <w:lang w:val="en-US" w:eastAsia="zh-CN"/>
    </w:rPr>
  </w:style>
  <w:style w:type="paragraph" w:styleId="4">
    <w:name w:val="heading 3"/>
    <w:basedOn w:val="1"/>
    <w:next w:val="1"/>
    <w:link w:val="70"/>
    <w:semiHidden/>
    <w:unhideWhenUsed/>
    <w:qFormat/>
    <w:uiPriority w:val="9"/>
    <w:pPr>
      <w:keepNext/>
      <w:keepLines/>
      <w:spacing w:before="160" w:beforeAutospacing="1" w:after="80" w:line="276" w:lineRule="auto"/>
      <w:outlineLvl w:val="2"/>
    </w:pPr>
    <w:rPr>
      <w:rFonts w:asciiTheme="majorHAnsi" w:hAnsiTheme="majorHAnsi" w:eastAsiaTheme="majorEastAsia" w:cstheme="majorBidi"/>
      <w:color w:val="2F5597" w:themeColor="accent1" w:themeShade="BF"/>
      <w:kern w:val="2"/>
      <w:sz w:val="32"/>
      <w:szCs w:val="32"/>
      <w:lang w:val="en-US" w:eastAsia="zh-CN"/>
    </w:rPr>
  </w:style>
  <w:style w:type="paragraph" w:styleId="5">
    <w:name w:val="heading 4"/>
    <w:basedOn w:val="1"/>
    <w:next w:val="1"/>
    <w:link w:val="71"/>
    <w:unhideWhenUsed/>
    <w:qFormat/>
    <w:uiPriority w:val="9"/>
    <w:pPr>
      <w:keepNext/>
      <w:keepLines/>
      <w:spacing w:before="80" w:beforeAutospacing="1" w:after="40" w:line="276" w:lineRule="auto"/>
      <w:outlineLvl w:val="3"/>
    </w:pPr>
    <w:rPr>
      <w:rFonts w:ascii="Calibri" w:hAnsi="Calibri" w:eastAsia="DengXian" w:cstheme="majorBidi"/>
      <w:color w:val="2F5597" w:themeColor="accent1" w:themeShade="BF"/>
      <w:kern w:val="2"/>
      <w:sz w:val="28"/>
      <w:szCs w:val="28"/>
      <w:lang w:val="en-US" w:eastAsia="zh-CN"/>
    </w:rPr>
  </w:style>
  <w:style w:type="paragraph" w:styleId="6">
    <w:name w:val="heading 5"/>
    <w:basedOn w:val="1"/>
    <w:next w:val="1"/>
    <w:link w:val="72"/>
    <w:semiHidden/>
    <w:unhideWhenUsed/>
    <w:qFormat/>
    <w:uiPriority w:val="9"/>
    <w:pPr>
      <w:keepNext/>
      <w:keepLines/>
      <w:spacing w:before="80" w:beforeAutospacing="1" w:after="40" w:line="276" w:lineRule="auto"/>
      <w:outlineLvl w:val="4"/>
    </w:pPr>
    <w:rPr>
      <w:rFonts w:ascii="Calibri" w:hAnsi="Calibri" w:eastAsia="DengXian" w:cstheme="majorBidi"/>
      <w:color w:val="2F5597" w:themeColor="accent1" w:themeShade="BF"/>
      <w:kern w:val="2"/>
      <w:lang w:val="en-US" w:eastAsia="zh-CN"/>
    </w:rPr>
  </w:style>
  <w:style w:type="paragraph" w:styleId="7">
    <w:name w:val="heading 6"/>
    <w:basedOn w:val="1"/>
    <w:next w:val="1"/>
    <w:link w:val="73"/>
    <w:semiHidden/>
    <w:unhideWhenUsed/>
    <w:qFormat/>
    <w:uiPriority w:val="9"/>
    <w:pPr>
      <w:keepNext/>
      <w:keepLines/>
      <w:spacing w:before="40" w:beforeAutospacing="1" w:line="276" w:lineRule="auto"/>
      <w:outlineLvl w:val="5"/>
    </w:pPr>
    <w:rPr>
      <w:rFonts w:ascii="Calibri" w:hAnsi="Calibri" w:eastAsia="DengXian" w:cstheme="majorBidi"/>
      <w:b/>
      <w:bCs/>
      <w:color w:val="2F5597" w:themeColor="accent1" w:themeShade="BF"/>
      <w:kern w:val="2"/>
      <w:lang w:val="en-US" w:eastAsia="zh-CN"/>
    </w:rPr>
  </w:style>
  <w:style w:type="paragraph" w:styleId="8">
    <w:name w:val="heading 7"/>
    <w:basedOn w:val="1"/>
    <w:next w:val="1"/>
    <w:link w:val="74"/>
    <w:semiHidden/>
    <w:unhideWhenUsed/>
    <w:qFormat/>
    <w:uiPriority w:val="9"/>
    <w:pPr>
      <w:keepNext/>
      <w:keepLines/>
      <w:spacing w:before="40" w:beforeAutospacing="1" w:line="276" w:lineRule="auto"/>
      <w:outlineLvl w:val="6"/>
    </w:pPr>
    <w:rPr>
      <w:rFonts w:ascii="Calibri" w:hAnsi="Calibri" w:eastAsia="DengXian" w:cstheme="majorBidi"/>
      <w:b/>
      <w:bCs/>
      <w:color w:val="595959" w:themeColor="text1" w:themeTint="A6"/>
      <w:kern w:val="2"/>
      <w:lang w:val="en-US" w:eastAsia="zh-CN"/>
      <w14:textFill>
        <w14:solidFill>
          <w14:schemeClr w14:val="tx1">
            <w14:lumMod w14:val="65000"/>
            <w14:lumOff w14:val="35000"/>
          </w14:schemeClr>
        </w14:solidFill>
      </w14:textFill>
    </w:rPr>
  </w:style>
  <w:style w:type="paragraph" w:styleId="9">
    <w:name w:val="heading 8"/>
    <w:basedOn w:val="1"/>
    <w:next w:val="1"/>
    <w:link w:val="75"/>
    <w:semiHidden/>
    <w:unhideWhenUsed/>
    <w:qFormat/>
    <w:uiPriority w:val="9"/>
    <w:pPr>
      <w:keepNext/>
      <w:keepLines/>
      <w:spacing w:before="100" w:beforeAutospacing="1" w:line="276" w:lineRule="auto"/>
      <w:outlineLvl w:val="7"/>
    </w:pPr>
    <w:rPr>
      <w:rFonts w:ascii="Calibri" w:hAnsi="Calibri" w:eastAsia="DengXian" w:cstheme="majorBidi"/>
      <w:color w:val="595959" w:themeColor="text1" w:themeTint="A6"/>
      <w:kern w:val="2"/>
      <w:lang w:val="en-US" w:eastAsia="zh-CN"/>
      <w14:textFill>
        <w14:solidFill>
          <w14:schemeClr w14:val="tx1">
            <w14:lumMod w14:val="65000"/>
            <w14:lumOff w14:val="35000"/>
          </w14:schemeClr>
        </w14:solidFill>
      </w14:textFill>
    </w:rPr>
  </w:style>
  <w:style w:type="paragraph" w:styleId="10">
    <w:name w:val="heading 9"/>
    <w:basedOn w:val="1"/>
    <w:next w:val="1"/>
    <w:link w:val="76"/>
    <w:semiHidden/>
    <w:unhideWhenUsed/>
    <w:qFormat/>
    <w:uiPriority w:val="9"/>
    <w:pPr>
      <w:keepNext/>
      <w:keepLines/>
      <w:spacing w:before="100" w:beforeAutospacing="1" w:line="276" w:lineRule="auto"/>
      <w:outlineLvl w:val="8"/>
    </w:pPr>
    <w:rPr>
      <w:rFonts w:ascii="Calibri" w:hAnsi="Calibri" w:eastAsiaTheme="majorEastAsia" w:cstheme="majorBidi"/>
      <w:color w:val="595959" w:themeColor="text1" w:themeTint="A6"/>
      <w:kern w:val="2"/>
      <w:lang w:val="en-US" w:eastAsia="zh-CN"/>
      <w14:textFill>
        <w14:solidFill>
          <w14:schemeClr w14:val="tx1">
            <w14:lumMod w14:val="65000"/>
            <w14:lumOff w14:val="35000"/>
          </w14:schemeClr>
        </w14:solidFill>
      </w14:textFill>
    </w:rPr>
  </w:style>
  <w:style w:type="character" w:default="1" w:styleId="22">
    <w:name w:val="Default Paragraph Font"/>
    <w:semiHidden/>
    <w:unhideWhenUsed/>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63"/>
    <w:unhideWhenUsed/>
    <w:uiPriority w:val="99"/>
    <w:rPr>
      <w:sz w:val="20"/>
      <w:szCs w:val="20"/>
      <w:lang w:val="zh-CN"/>
    </w:rPr>
  </w:style>
  <w:style w:type="paragraph" w:styleId="12">
    <w:name w:val="Balloon Text"/>
    <w:basedOn w:val="1"/>
    <w:semiHidden/>
    <w:uiPriority w:val="0"/>
    <w:rPr>
      <w:rFonts w:ascii="Tahoma" w:hAnsi="Tahoma" w:cs="Tahoma"/>
      <w:sz w:val="16"/>
      <w:szCs w:val="16"/>
    </w:rPr>
  </w:style>
  <w:style w:type="paragraph" w:styleId="13">
    <w:name w:val="footer"/>
    <w:basedOn w:val="1"/>
    <w:link w:val="65"/>
    <w:uiPriority w:val="99"/>
    <w:pPr>
      <w:tabs>
        <w:tab w:val="center" w:pos="4536"/>
        <w:tab w:val="right" w:pos="9072"/>
      </w:tabs>
    </w:pPr>
  </w:style>
  <w:style w:type="paragraph" w:styleId="14">
    <w:name w:val="header"/>
    <w:basedOn w:val="1"/>
    <w:link w:val="62"/>
    <w:uiPriority w:val="99"/>
    <w:pPr>
      <w:tabs>
        <w:tab w:val="center" w:pos="4536"/>
        <w:tab w:val="right" w:pos="9072"/>
      </w:tabs>
    </w:pPr>
    <w:rPr>
      <w:lang w:val="zh-CN"/>
    </w:rPr>
  </w:style>
  <w:style w:type="paragraph" w:styleId="15">
    <w:name w:val="Subtitle"/>
    <w:basedOn w:val="1"/>
    <w:next w:val="1"/>
    <w:link w:val="78"/>
    <w:qFormat/>
    <w:uiPriority w:val="11"/>
    <w:pPr>
      <w:spacing w:before="100" w:beforeAutospacing="1" w:after="160" w:line="276" w:lineRule="auto"/>
      <w:jc w:val="center"/>
    </w:pPr>
    <w:rPr>
      <w:rFonts w:asciiTheme="majorHAnsi" w:hAnsiTheme="majorHAnsi" w:eastAsiaTheme="majorEastAsia" w:cstheme="majorBidi"/>
      <w:color w:val="595959" w:themeColor="text1" w:themeTint="A6"/>
      <w:spacing w:val="15"/>
      <w:kern w:val="2"/>
      <w:sz w:val="28"/>
      <w:szCs w:val="28"/>
      <w:lang w:val="en-US" w:eastAsia="zh-CN"/>
      <w14:textFill>
        <w14:solidFill>
          <w14:schemeClr w14:val="tx1">
            <w14:lumMod w14:val="65000"/>
            <w14:lumOff w14:val="35000"/>
          </w14:schemeClr>
        </w14:solidFill>
      </w14:textFill>
    </w:rPr>
  </w:style>
  <w:style w:type="paragraph" w:styleId="16">
    <w:name w:val="footnote text"/>
    <w:basedOn w:val="1"/>
    <w:semiHidden/>
    <w:uiPriority w:val="0"/>
    <w:pPr>
      <w:keepLines/>
      <w:widowControl w:val="0"/>
      <w:jc w:val="both"/>
    </w:pPr>
    <w:rPr>
      <w:rFonts w:eastAsia="Times New Roman"/>
      <w:sz w:val="20"/>
      <w:szCs w:val="20"/>
      <w:lang w:val="en-GB" w:eastAsia="ro-RO"/>
    </w:rPr>
  </w:style>
  <w:style w:type="paragraph" w:styleId="17">
    <w:name w:val="Normal (Web)"/>
    <w:basedOn w:val="1"/>
    <w:unhideWhenUsed/>
    <w:qFormat/>
    <w:uiPriority w:val="99"/>
  </w:style>
  <w:style w:type="paragraph" w:styleId="18">
    <w:name w:val="Title"/>
    <w:basedOn w:val="1"/>
    <w:next w:val="1"/>
    <w:link w:val="77"/>
    <w:qFormat/>
    <w:uiPriority w:val="10"/>
    <w:pPr>
      <w:spacing w:before="100" w:beforeAutospacing="1" w:after="80"/>
      <w:contextualSpacing/>
      <w:jc w:val="center"/>
    </w:pPr>
    <w:rPr>
      <w:rFonts w:asciiTheme="majorHAnsi" w:hAnsiTheme="majorHAnsi" w:eastAsiaTheme="majorEastAsia" w:cstheme="majorBidi"/>
      <w:spacing w:val="-10"/>
      <w:kern w:val="28"/>
      <w:sz w:val="56"/>
      <w:szCs w:val="56"/>
      <w:lang w:val="en-US" w:eastAsia="zh-CN"/>
    </w:rPr>
  </w:style>
  <w:style w:type="paragraph" w:styleId="19">
    <w:name w:val="annotation subject"/>
    <w:basedOn w:val="11"/>
    <w:next w:val="11"/>
    <w:link w:val="64"/>
    <w:semiHidden/>
    <w:unhideWhenUsed/>
    <w:uiPriority w:val="99"/>
    <w:rPr>
      <w:b/>
      <w:bCs/>
    </w:rPr>
  </w:style>
  <w:style w:type="table" w:styleId="21">
    <w:name w:val="Table Grid"/>
    <w:basedOn w:val="20"/>
    <w:qFormat/>
    <w:uiPriority w:val="39"/>
    <w:rPr>
      <w:rFonts w:asciiTheme="minorHAnsi" w:hAnsiTheme="minorHAnsi" w:eastAsiaTheme="minorEastAsia" w:cstheme="minorBidi"/>
      <w:kern w:val="2"/>
      <w:sz w:val="22"/>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basedOn w:val="22"/>
    <w:semiHidden/>
    <w:unhideWhenUsed/>
    <w:uiPriority w:val="99"/>
  </w:style>
  <w:style w:type="character" w:styleId="24">
    <w:name w:val="line number"/>
    <w:basedOn w:val="22"/>
    <w:semiHidden/>
    <w:unhideWhenUsed/>
    <w:qFormat/>
    <w:uiPriority w:val="99"/>
  </w:style>
  <w:style w:type="character" w:styleId="25">
    <w:name w:val="Hyperlink"/>
    <w:basedOn w:val="22"/>
    <w:unhideWhenUsed/>
    <w:qFormat/>
    <w:uiPriority w:val="99"/>
    <w:rPr>
      <w:color w:val="0563C1" w:themeColor="hyperlink"/>
      <w:u w:val="single"/>
      <w14:textFill>
        <w14:solidFill>
          <w14:schemeClr w14:val="hlink"/>
        </w14:solidFill>
      </w14:textFill>
    </w:rPr>
  </w:style>
  <w:style w:type="character" w:styleId="26">
    <w:name w:val="annotation reference"/>
    <w:semiHidden/>
    <w:unhideWhenUsed/>
    <w:uiPriority w:val="99"/>
    <w:rPr>
      <w:sz w:val="16"/>
      <w:szCs w:val="16"/>
    </w:rPr>
  </w:style>
  <w:style w:type="paragraph" w:customStyle="1" w:styleId="27">
    <w:name w:val="History"/>
    <w:basedOn w:val="1"/>
    <w:qFormat/>
    <w:uiPriority w:val="0"/>
    <w:pPr>
      <w:spacing w:before="230" w:after="460" w:line="180" w:lineRule="exact"/>
      <w:jc w:val="right"/>
    </w:pPr>
    <w:rPr>
      <w:rFonts w:ascii="Arial" w:hAnsi="Arial"/>
      <w:sz w:val="14"/>
      <w:szCs w:val="16"/>
    </w:rPr>
  </w:style>
  <w:style w:type="paragraph" w:customStyle="1" w:styleId="28">
    <w:name w:val="References"/>
    <w:basedOn w:val="1"/>
    <w:qFormat/>
    <w:uiPriority w:val="0"/>
    <w:pPr>
      <w:spacing w:line="200" w:lineRule="exact"/>
      <w:ind w:left="425" w:hanging="425"/>
      <w:jc w:val="both"/>
    </w:pPr>
    <w:rPr>
      <w:sz w:val="15"/>
      <w:szCs w:val="14"/>
      <w:lang w:val="en-GB"/>
    </w:rPr>
  </w:style>
  <w:style w:type="paragraph" w:customStyle="1" w:styleId="29">
    <w:name w:val="HExperimental_Section"/>
    <w:basedOn w:val="1"/>
    <w:qFormat/>
    <w:uiPriority w:val="0"/>
    <w:pPr>
      <w:spacing w:before="460" w:after="230" w:line="230" w:lineRule="atLeast"/>
    </w:pPr>
    <w:rPr>
      <w:i/>
      <w:szCs w:val="20"/>
    </w:rPr>
  </w:style>
  <w:style w:type="paragraph" w:customStyle="1" w:styleId="30">
    <w:name w:val="ExperimentalSection"/>
    <w:basedOn w:val="1"/>
    <w:uiPriority w:val="0"/>
    <w:pPr>
      <w:spacing w:after="240" w:line="200" w:lineRule="exact"/>
      <w:ind w:firstLine="170"/>
      <w:jc w:val="both"/>
    </w:pPr>
    <w:rPr>
      <w:sz w:val="16"/>
      <w:szCs w:val="14"/>
      <w:lang w:val="en-GB"/>
    </w:rPr>
  </w:style>
  <w:style w:type="paragraph" w:customStyle="1" w:styleId="31">
    <w:name w:val="FNB"/>
    <w:basedOn w:val="1"/>
    <w:link w:val="32"/>
    <w:uiPriority w:val="0"/>
    <w:pPr>
      <w:widowControl w:val="0"/>
      <w:spacing w:after="40" w:line="160" w:lineRule="exact"/>
      <w:ind w:left="567" w:right="4434" w:hanging="567"/>
      <w:jc w:val="both"/>
    </w:pPr>
    <w:rPr>
      <w:rFonts w:ascii="Times" w:hAnsi="Times"/>
      <w:sz w:val="14"/>
      <w:szCs w:val="3276"/>
      <w:lang w:val="en-GB" w:eastAsia="de-DE"/>
    </w:rPr>
  </w:style>
  <w:style w:type="character" w:customStyle="1" w:styleId="32">
    <w:name w:val="FNB Char"/>
    <w:link w:val="31"/>
    <w:uiPriority w:val="0"/>
    <w:rPr>
      <w:rFonts w:ascii="Times" w:hAnsi="Times"/>
      <w:sz w:val="14"/>
      <w:szCs w:val="3276"/>
      <w:lang w:val="en-GB" w:eastAsia="de-DE" w:bidi="ar-SA"/>
    </w:rPr>
  </w:style>
  <w:style w:type="paragraph" w:customStyle="1" w:styleId="33">
    <w:name w:val="Ack"/>
    <w:basedOn w:val="1"/>
    <w:uiPriority w:val="0"/>
  </w:style>
  <w:style w:type="paragraph" w:customStyle="1" w:styleId="34">
    <w:name w:val="TableCaption"/>
    <w:basedOn w:val="1"/>
    <w:uiPriority w:val="0"/>
    <w:pPr>
      <w:spacing w:after="120" w:line="190" w:lineRule="exact"/>
      <w:jc w:val="both"/>
    </w:pPr>
    <w:rPr>
      <w:rFonts w:ascii="Arial" w:hAnsi="Arial"/>
      <w:sz w:val="16"/>
      <w:szCs w:val="14"/>
      <w:lang w:val="en-GB"/>
    </w:rPr>
  </w:style>
  <w:style w:type="paragraph" w:customStyle="1" w:styleId="35">
    <w:name w:val="TableHead"/>
    <w:basedOn w:val="34"/>
    <w:uiPriority w:val="0"/>
    <w:pPr>
      <w:pBdr>
        <w:top w:val="single" w:color="FFFFFF" w:sz="4" w:space="4"/>
        <w:left w:val="single" w:color="FFFFFF" w:sz="4" w:space="4"/>
        <w:bottom w:val="single" w:color="FFFFFF" w:sz="4" w:space="4"/>
        <w:right w:val="single" w:color="FFFFFF" w:sz="4" w:space="4"/>
      </w:pBdr>
      <w:spacing w:after="0"/>
    </w:pPr>
  </w:style>
  <w:style w:type="paragraph" w:customStyle="1" w:styleId="36">
    <w:name w:val="TableBody"/>
    <w:basedOn w:val="35"/>
    <w:uiPriority w:val="0"/>
  </w:style>
  <w:style w:type="paragraph" w:customStyle="1" w:styleId="37">
    <w:name w:val="TableFoot"/>
    <w:basedOn w:val="36"/>
    <w:uiPriority w:val="0"/>
    <w:pPr>
      <w:spacing w:before="60" w:after="60"/>
    </w:pPr>
  </w:style>
  <w:style w:type="paragraph" w:customStyle="1" w:styleId="38">
    <w:name w:val="SchemeCaption"/>
    <w:basedOn w:val="1"/>
    <w:uiPriority w:val="0"/>
    <w:pPr>
      <w:spacing w:before="230" w:after="460" w:line="190" w:lineRule="exact"/>
      <w:jc w:val="both"/>
    </w:pPr>
    <w:rPr>
      <w:rFonts w:ascii="Arial" w:hAnsi="Arial"/>
      <w:sz w:val="16"/>
      <w:szCs w:val="14"/>
      <w:lang w:val="en-GB"/>
    </w:rPr>
  </w:style>
  <w:style w:type="paragraph" w:customStyle="1" w:styleId="39">
    <w:name w:val="STOE"/>
    <w:basedOn w:val="1"/>
    <w:link w:val="40"/>
    <w:uiPriority w:val="0"/>
    <w:pPr>
      <w:widowControl w:val="0"/>
      <w:spacing w:line="236" w:lineRule="exact"/>
      <w:ind w:right="4434"/>
      <w:jc w:val="both"/>
    </w:pPr>
    <w:rPr>
      <w:rFonts w:ascii="Times" w:hAnsi="Times"/>
      <w:sz w:val="18"/>
      <w:szCs w:val="3276"/>
      <w:lang w:val="en-GB" w:eastAsia="de-DE"/>
    </w:rPr>
  </w:style>
  <w:style w:type="character" w:customStyle="1" w:styleId="40">
    <w:name w:val="STOE Char1"/>
    <w:link w:val="39"/>
    <w:uiPriority w:val="0"/>
    <w:rPr>
      <w:rFonts w:ascii="Times" w:hAnsi="Times"/>
      <w:sz w:val="18"/>
      <w:szCs w:val="3276"/>
      <w:lang w:val="en-GB" w:eastAsia="de-DE" w:bidi="ar-SA"/>
    </w:rPr>
  </w:style>
  <w:style w:type="paragraph" w:customStyle="1" w:styleId="41">
    <w:name w:val="Title1"/>
    <w:basedOn w:val="1"/>
    <w:uiPriority w:val="0"/>
    <w:rPr>
      <w:b/>
      <w:lang w:val="en-US"/>
    </w:rPr>
  </w:style>
  <w:style w:type="paragraph" w:customStyle="1" w:styleId="42">
    <w:name w:val="Authors Full"/>
    <w:basedOn w:val="1"/>
    <w:uiPriority w:val="0"/>
    <w:rPr>
      <w:i/>
      <w:lang w:val="en-US"/>
    </w:rPr>
  </w:style>
  <w:style w:type="paragraph" w:customStyle="1" w:styleId="43">
    <w:name w:val="dedication"/>
    <w:basedOn w:val="1"/>
    <w:uiPriority w:val="0"/>
    <w:rPr>
      <w:i/>
      <w:lang w:val="en-US"/>
    </w:rPr>
  </w:style>
  <w:style w:type="paragraph" w:customStyle="1" w:styleId="44">
    <w:name w:val="Addresses"/>
    <w:basedOn w:val="1"/>
    <w:uiPriority w:val="0"/>
    <w:rPr>
      <w:lang w:val="en-US"/>
    </w:rPr>
  </w:style>
  <w:style w:type="paragraph" w:customStyle="1" w:styleId="45">
    <w:name w:val="Acknowledgements"/>
    <w:basedOn w:val="1"/>
    <w:uiPriority w:val="0"/>
    <w:rPr>
      <w:lang w:val="en-US"/>
    </w:rPr>
  </w:style>
  <w:style w:type="paragraph" w:customStyle="1" w:styleId="46">
    <w:name w:val="Abstract"/>
    <w:basedOn w:val="1"/>
    <w:uiPriority w:val="0"/>
    <w:pPr>
      <w:spacing w:line="480" w:lineRule="auto"/>
    </w:pPr>
    <w:rPr>
      <w:lang w:val="en-US"/>
    </w:rPr>
  </w:style>
  <w:style w:type="paragraph" w:customStyle="1" w:styleId="47">
    <w:name w:val="Head 1"/>
    <w:basedOn w:val="1"/>
    <w:uiPriority w:val="0"/>
    <w:pPr>
      <w:spacing w:line="360" w:lineRule="auto"/>
    </w:pPr>
    <w:rPr>
      <w:b/>
      <w:lang w:val="en-US"/>
    </w:rPr>
  </w:style>
  <w:style w:type="paragraph" w:customStyle="1" w:styleId="48">
    <w:name w:val="Head 2"/>
    <w:basedOn w:val="1"/>
    <w:uiPriority w:val="0"/>
    <w:pPr>
      <w:spacing w:line="360" w:lineRule="auto"/>
    </w:pPr>
    <w:rPr>
      <w:i/>
      <w:lang w:val="en-US"/>
    </w:rPr>
  </w:style>
  <w:style w:type="paragraph" w:customStyle="1" w:styleId="49">
    <w:name w:val="dates"/>
    <w:basedOn w:val="1"/>
    <w:uiPriority w:val="0"/>
    <w:pPr>
      <w:jc w:val="right"/>
    </w:pPr>
    <w:rPr>
      <w:lang w:val="en-US"/>
    </w:rPr>
  </w:style>
  <w:style w:type="paragraph" w:customStyle="1" w:styleId="50">
    <w:name w:val="Literature"/>
    <w:basedOn w:val="1"/>
    <w:uiPriority w:val="0"/>
    <w:pPr>
      <w:spacing w:line="480" w:lineRule="auto"/>
    </w:pPr>
  </w:style>
  <w:style w:type="paragraph" w:customStyle="1" w:styleId="51">
    <w:name w:val="Legend"/>
    <w:basedOn w:val="1"/>
    <w:uiPriority w:val="0"/>
    <w:rPr>
      <w:lang w:val="en-US"/>
    </w:rPr>
  </w:style>
  <w:style w:type="paragraph" w:customStyle="1" w:styleId="52">
    <w:name w:val="Main Text"/>
    <w:basedOn w:val="1"/>
    <w:link w:val="56"/>
    <w:uiPriority w:val="0"/>
    <w:pPr>
      <w:spacing w:line="480" w:lineRule="auto"/>
    </w:pPr>
    <w:rPr>
      <w:lang w:val="en-US"/>
    </w:rPr>
  </w:style>
  <w:style w:type="paragraph" w:customStyle="1" w:styleId="53">
    <w:name w:val="Table of contents"/>
    <w:basedOn w:val="1"/>
    <w:uiPriority w:val="0"/>
    <w:rPr>
      <w:lang w:val="en-US"/>
    </w:rPr>
  </w:style>
  <w:style w:type="paragraph" w:customStyle="1" w:styleId="54">
    <w:name w:val="Experimental Text"/>
    <w:basedOn w:val="1"/>
    <w:link w:val="55"/>
    <w:uiPriority w:val="0"/>
    <w:pPr>
      <w:spacing w:line="480" w:lineRule="auto"/>
    </w:pPr>
    <w:rPr>
      <w:lang w:val="en-US"/>
    </w:rPr>
  </w:style>
  <w:style w:type="character" w:customStyle="1" w:styleId="55">
    <w:name w:val="Experimental Text Char"/>
    <w:link w:val="54"/>
    <w:uiPriority w:val="0"/>
    <w:rPr>
      <w:rFonts w:eastAsia="MS Mincho"/>
      <w:sz w:val="24"/>
      <w:szCs w:val="24"/>
      <w:lang w:val="en-US" w:eastAsia="ja-JP" w:bidi="ar-SA"/>
    </w:rPr>
  </w:style>
  <w:style w:type="character" w:customStyle="1" w:styleId="56">
    <w:name w:val="Main Text Char"/>
    <w:link w:val="52"/>
    <w:uiPriority w:val="0"/>
    <w:rPr>
      <w:rFonts w:eastAsia="MS Mincho"/>
      <w:sz w:val="24"/>
      <w:szCs w:val="24"/>
      <w:lang w:val="en-US" w:eastAsia="ja-JP" w:bidi="ar-SA"/>
    </w:rPr>
  </w:style>
  <w:style w:type="paragraph" w:customStyle="1" w:styleId="57">
    <w:name w:val="Title2"/>
    <w:basedOn w:val="1"/>
    <w:uiPriority w:val="0"/>
    <w:rPr>
      <w:b/>
      <w:lang w:val="en-US"/>
    </w:rPr>
  </w:style>
  <w:style w:type="paragraph" w:customStyle="1" w:styleId="58">
    <w:name w:val="Dedication"/>
    <w:basedOn w:val="1"/>
    <w:uiPriority w:val="0"/>
    <w:rPr>
      <w:lang w:val="en-US"/>
    </w:rPr>
  </w:style>
  <w:style w:type="paragraph" w:customStyle="1" w:styleId="59">
    <w:name w:val="Main text"/>
    <w:basedOn w:val="1"/>
    <w:link w:val="60"/>
    <w:uiPriority w:val="0"/>
    <w:pPr>
      <w:spacing w:line="480" w:lineRule="auto"/>
    </w:pPr>
    <w:rPr>
      <w:lang w:val="en-US"/>
    </w:rPr>
  </w:style>
  <w:style w:type="character" w:customStyle="1" w:styleId="60">
    <w:name w:val="Main text Char"/>
    <w:link w:val="59"/>
    <w:uiPriority w:val="0"/>
    <w:rPr>
      <w:sz w:val="24"/>
      <w:szCs w:val="24"/>
      <w:lang w:val="en-US" w:eastAsia="ja-JP"/>
    </w:rPr>
  </w:style>
  <w:style w:type="paragraph" w:customStyle="1" w:styleId="61">
    <w:name w:val="Biography"/>
    <w:basedOn w:val="1"/>
    <w:uiPriority w:val="0"/>
    <w:rPr>
      <w:i/>
      <w:lang w:val="en-US"/>
    </w:rPr>
  </w:style>
  <w:style w:type="character" w:customStyle="1" w:styleId="62">
    <w:name w:val="页眉 字符"/>
    <w:link w:val="14"/>
    <w:qFormat/>
    <w:uiPriority w:val="99"/>
    <w:rPr>
      <w:sz w:val="24"/>
      <w:szCs w:val="24"/>
      <w:lang w:eastAsia="ja-JP"/>
    </w:rPr>
  </w:style>
  <w:style w:type="character" w:customStyle="1" w:styleId="63">
    <w:name w:val="批注文字 字符"/>
    <w:link w:val="11"/>
    <w:uiPriority w:val="99"/>
    <w:rPr>
      <w:lang w:eastAsia="ja-JP"/>
    </w:rPr>
  </w:style>
  <w:style w:type="character" w:customStyle="1" w:styleId="64">
    <w:name w:val="批注主题 字符"/>
    <w:link w:val="19"/>
    <w:semiHidden/>
    <w:qFormat/>
    <w:uiPriority w:val="99"/>
    <w:rPr>
      <w:b/>
      <w:bCs/>
      <w:lang w:eastAsia="ja-JP"/>
    </w:rPr>
  </w:style>
  <w:style w:type="character" w:customStyle="1" w:styleId="65">
    <w:name w:val="页脚 字符"/>
    <w:link w:val="13"/>
    <w:qFormat/>
    <w:uiPriority w:val="99"/>
    <w:rPr>
      <w:sz w:val="24"/>
      <w:szCs w:val="24"/>
      <w:lang w:eastAsia="ja-JP"/>
    </w:rPr>
  </w:style>
  <w:style w:type="paragraph" w:customStyle="1" w:styleId="66">
    <w:name w:val="修订1"/>
    <w:hidden/>
    <w:semiHidden/>
    <w:qFormat/>
    <w:uiPriority w:val="99"/>
    <w:rPr>
      <w:rFonts w:ascii="Times New Roman" w:hAnsi="Times New Roman" w:eastAsia="MS Mincho" w:cs="Times New Roman"/>
      <w:sz w:val="24"/>
      <w:szCs w:val="24"/>
      <w:lang w:val="de-DE" w:eastAsia="ja-JP" w:bidi="ar-SA"/>
    </w:rPr>
  </w:style>
  <w:style w:type="character" w:customStyle="1" w:styleId="67">
    <w:name w:val="未处理的提及1"/>
    <w:basedOn w:val="22"/>
    <w:semiHidden/>
    <w:unhideWhenUsed/>
    <w:qFormat/>
    <w:uiPriority w:val="99"/>
    <w:rPr>
      <w:color w:val="605E5C"/>
      <w:shd w:val="clear" w:color="auto" w:fill="E1DFDD"/>
    </w:rPr>
  </w:style>
  <w:style w:type="character" w:customStyle="1" w:styleId="68">
    <w:name w:val="标题 1 字符"/>
    <w:basedOn w:val="22"/>
    <w:link w:val="2"/>
    <w:qFormat/>
    <w:uiPriority w:val="9"/>
    <w:rPr>
      <w:rFonts w:asciiTheme="majorHAnsi" w:hAnsiTheme="majorHAnsi" w:eastAsiaTheme="majorEastAsia" w:cstheme="majorBidi"/>
      <w:color w:val="2F5597" w:themeColor="accent1" w:themeShade="BF"/>
      <w:kern w:val="2"/>
      <w:sz w:val="48"/>
      <w:szCs w:val="48"/>
      <w:lang w:val="en-US" w:eastAsia="zh-CN"/>
    </w:rPr>
  </w:style>
  <w:style w:type="character" w:customStyle="1" w:styleId="69">
    <w:name w:val="标题 2 字符"/>
    <w:basedOn w:val="22"/>
    <w:link w:val="3"/>
    <w:semiHidden/>
    <w:qFormat/>
    <w:uiPriority w:val="9"/>
    <w:rPr>
      <w:rFonts w:asciiTheme="majorHAnsi" w:hAnsiTheme="majorHAnsi" w:eastAsiaTheme="majorEastAsia" w:cstheme="majorBidi"/>
      <w:color w:val="2F5597" w:themeColor="accent1" w:themeShade="BF"/>
      <w:kern w:val="2"/>
      <w:sz w:val="40"/>
      <w:szCs w:val="40"/>
      <w:lang w:val="en-US" w:eastAsia="zh-CN"/>
    </w:rPr>
  </w:style>
  <w:style w:type="character" w:customStyle="1" w:styleId="70">
    <w:name w:val="标题 3 字符"/>
    <w:basedOn w:val="22"/>
    <w:link w:val="4"/>
    <w:semiHidden/>
    <w:qFormat/>
    <w:uiPriority w:val="9"/>
    <w:rPr>
      <w:rFonts w:asciiTheme="majorHAnsi" w:hAnsiTheme="majorHAnsi" w:eastAsiaTheme="majorEastAsia" w:cstheme="majorBidi"/>
      <w:color w:val="2F5597" w:themeColor="accent1" w:themeShade="BF"/>
      <w:kern w:val="2"/>
      <w:sz w:val="32"/>
      <w:szCs w:val="32"/>
      <w:lang w:val="en-US" w:eastAsia="zh-CN"/>
    </w:rPr>
  </w:style>
  <w:style w:type="character" w:customStyle="1" w:styleId="71">
    <w:name w:val="标题 4 字符"/>
    <w:basedOn w:val="22"/>
    <w:link w:val="5"/>
    <w:qFormat/>
    <w:uiPriority w:val="9"/>
    <w:rPr>
      <w:rFonts w:ascii="Calibri" w:hAnsi="Calibri" w:eastAsia="DengXian" w:cstheme="majorBidi"/>
      <w:color w:val="2F5597" w:themeColor="accent1" w:themeShade="BF"/>
      <w:kern w:val="2"/>
      <w:sz w:val="28"/>
      <w:szCs w:val="28"/>
      <w:lang w:val="en-US" w:eastAsia="zh-CN"/>
    </w:rPr>
  </w:style>
  <w:style w:type="character" w:customStyle="1" w:styleId="72">
    <w:name w:val="标题 5 字符"/>
    <w:basedOn w:val="22"/>
    <w:link w:val="6"/>
    <w:semiHidden/>
    <w:qFormat/>
    <w:uiPriority w:val="9"/>
    <w:rPr>
      <w:rFonts w:ascii="Calibri" w:hAnsi="Calibri" w:eastAsia="DengXian" w:cstheme="majorBidi"/>
      <w:color w:val="2F5597" w:themeColor="accent1" w:themeShade="BF"/>
      <w:kern w:val="2"/>
      <w:sz w:val="24"/>
      <w:szCs w:val="24"/>
      <w:lang w:val="en-US" w:eastAsia="zh-CN"/>
    </w:rPr>
  </w:style>
  <w:style w:type="character" w:customStyle="1" w:styleId="73">
    <w:name w:val="标题 6 字符"/>
    <w:basedOn w:val="22"/>
    <w:link w:val="7"/>
    <w:semiHidden/>
    <w:qFormat/>
    <w:uiPriority w:val="9"/>
    <w:rPr>
      <w:rFonts w:ascii="Calibri" w:hAnsi="Calibri" w:eastAsia="DengXian" w:cstheme="majorBidi"/>
      <w:b/>
      <w:bCs/>
      <w:color w:val="2F5597" w:themeColor="accent1" w:themeShade="BF"/>
      <w:kern w:val="2"/>
      <w:sz w:val="24"/>
      <w:szCs w:val="24"/>
      <w:lang w:val="en-US" w:eastAsia="zh-CN"/>
    </w:rPr>
  </w:style>
  <w:style w:type="character" w:customStyle="1" w:styleId="74">
    <w:name w:val="标题 7 字符"/>
    <w:basedOn w:val="22"/>
    <w:link w:val="8"/>
    <w:semiHidden/>
    <w:qFormat/>
    <w:uiPriority w:val="9"/>
    <w:rPr>
      <w:rFonts w:ascii="Calibri" w:hAnsi="Calibri" w:eastAsia="DengXian" w:cstheme="majorBidi"/>
      <w:b/>
      <w:bCs/>
      <w:color w:val="595959" w:themeColor="text1" w:themeTint="A6"/>
      <w:kern w:val="2"/>
      <w:sz w:val="24"/>
      <w:szCs w:val="24"/>
      <w:lang w:val="en-US" w:eastAsia="zh-CN"/>
      <w14:textFill>
        <w14:solidFill>
          <w14:schemeClr w14:val="tx1">
            <w14:lumMod w14:val="65000"/>
            <w14:lumOff w14:val="35000"/>
          </w14:schemeClr>
        </w14:solidFill>
      </w14:textFill>
    </w:rPr>
  </w:style>
  <w:style w:type="character" w:customStyle="1" w:styleId="75">
    <w:name w:val="标题 8 字符"/>
    <w:basedOn w:val="22"/>
    <w:link w:val="9"/>
    <w:semiHidden/>
    <w:qFormat/>
    <w:uiPriority w:val="9"/>
    <w:rPr>
      <w:rFonts w:ascii="Calibri" w:hAnsi="Calibri" w:eastAsia="DengXian" w:cstheme="majorBidi"/>
      <w:color w:val="595959" w:themeColor="text1" w:themeTint="A6"/>
      <w:kern w:val="2"/>
      <w:sz w:val="24"/>
      <w:szCs w:val="24"/>
      <w:lang w:val="en-US" w:eastAsia="zh-CN"/>
      <w14:textFill>
        <w14:solidFill>
          <w14:schemeClr w14:val="tx1">
            <w14:lumMod w14:val="65000"/>
            <w14:lumOff w14:val="35000"/>
          </w14:schemeClr>
        </w14:solidFill>
      </w14:textFill>
    </w:rPr>
  </w:style>
  <w:style w:type="character" w:customStyle="1" w:styleId="76">
    <w:name w:val="标题 9 字符"/>
    <w:basedOn w:val="22"/>
    <w:link w:val="10"/>
    <w:semiHidden/>
    <w:qFormat/>
    <w:uiPriority w:val="9"/>
    <w:rPr>
      <w:rFonts w:ascii="Calibri" w:hAnsi="Calibri" w:eastAsiaTheme="majorEastAsia" w:cstheme="majorBidi"/>
      <w:color w:val="595959" w:themeColor="text1" w:themeTint="A6"/>
      <w:kern w:val="2"/>
      <w:sz w:val="24"/>
      <w:szCs w:val="24"/>
      <w:lang w:val="en-US" w:eastAsia="zh-CN"/>
      <w14:textFill>
        <w14:solidFill>
          <w14:schemeClr w14:val="tx1">
            <w14:lumMod w14:val="65000"/>
            <w14:lumOff w14:val="35000"/>
          </w14:schemeClr>
        </w14:solidFill>
      </w14:textFill>
    </w:rPr>
  </w:style>
  <w:style w:type="character" w:customStyle="1" w:styleId="77">
    <w:name w:val="标题 字符"/>
    <w:basedOn w:val="22"/>
    <w:link w:val="18"/>
    <w:qFormat/>
    <w:uiPriority w:val="10"/>
    <w:rPr>
      <w:rFonts w:asciiTheme="majorHAnsi" w:hAnsiTheme="majorHAnsi" w:eastAsiaTheme="majorEastAsia" w:cstheme="majorBidi"/>
      <w:spacing w:val="-10"/>
      <w:kern w:val="28"/>
      <w:sz w:val="56"/>
      <w:szCs w:val="56"/>
      <w:lang w:val="en-US" w:eastAsia="zh-CN"/>
    </w:rPr>
  </w:style>
  <w:style w:type="character" w:customStyle="1" w:styleId="78">
    <w:name w:val="副标题 字符"/>
    <w:basedOn w:val="22"/>
    <w:link w:val="15"/>
    <w:qFormat/>
    <w:uiPriority w:val="11"/>
    <w:rPr>
      <w:rFonts w:asciiTheme="majorHAnsi" w:hAnsiTheme="majorHAnsi" w:eastAsiaTheme="majorEastAsia" w:cstheme="majorBidi"/>
      <w:color w:val="595959" w:themeColor="text1" w:themeTint="A6"/>
      <w:spacing w:val="15"/>
      <w:kern w:val="2"/>
      <w:sz w:val="28"/>
      <w:szCs w:val="28"/>
      <w:lang w:val="en-US" w:eastAsia="zh-CN"/>
      <w14:textFill>
        <w14:solidFill>
          <w14:schemeClr w14:val="tx1">
            <w14:lumMod w14:val="65000"/>
            <w14:lumOff w14:val="35000"/>
          </w14:schemeClr>
        </w14:solidFill>
      </w14:textFill>
    </w:rPr>
  </w:style>
  <w:style w:type="paragraph" w:styleId="79">
    <w:name w:val="Quote"/>
    <w:basedOn w:val="1"/>
    <w:next w:val="1"/>
    <w:link w:val="80"/>
    <w:qFormat/>
    <w:uiPriority w:val="29"/>
    <w:pPr>
      <w:spacing w:before="160" w:beforeAutospacing="1" w:after="160" w:line="276" w:lineRule="auto"/>
      <w:jc w:val="center"/>
    </w:pPr>
    <w:rPr>
      <w:rFonts w:ascii="Calibri" w:hAnsi="Calibri" w:eastAsia="DengXian"/>
      <w:i/>
      <w:iCs/>
      <w:color w:val="404040" w:themeColor="text1" w:themeTint="BF"/>
      <w:kern w:val="2"/>
      <w:lang w:val="en-US" w:eastAsia="zh-CN"/>
      <w14:textFill>
        <w14:solidFill>
          <w14:schemeClr w14:val="tx1">
            <w14:lumMod w14:val="75000"/>
            <w14:lumOff w14:val="25000"/>
          </w14:schemeClr>
        </w14:solidFill>
      </w14:textFill>
    </w:rPr>
  </w:style>
  <w:style w:type="character" w:customStyle="1" w:styleId="80">
    <w:name w:val="引用 字符"/>
    <w:basedOn w:val="22"/>
    <w:link w:val="79"/>
    <w:uiPriority w:val="29"/>
    <w:rPr>
      <w:rFonts w:ascii="Calibri" w:hAnsi="Calibri" w:eastAsia="DengXian"/>
      <w:i/>
      <w:iCs/>
      <w:color w:val="404040" w:themeColor="text1" w:themeTint="BF"/>
      <w:kern w:val="2"/>
      <w:sz w:val="24"/>
      <w:szCs w:val="24"/>
      <w:lang w:val="en-US" w:eastAsia="zh-CN"/>
      <w14:textFill>
        <w14:solidFill>
          <w14:schemeClr w14:val="tx1">
            <w14:lumMod w14:val="75000"/>
            <w14:lumOff w14:val="25000"/>
          </w14:schemeClr>
        </w14:solidFill>
      </w14:textFill>
    </w:rPr>
  </w:style>
  <w:style w:type="paragraph" w:styleId="81">
    <w:name w:val="List Paragraph"/>
    <w:basedOn w:val="1"/>
    <w:qFormat/>
    <w:uiPriority w:val="34"/>
    <w:pPr>
      <w:spacing w:before="100" w:beforeAutospacing="1" w:after="160" w:line="276" w:lineRule="auto"/>
      <w:ind w:left="720"/>
      <w:contextualSpacing/>
    </w:pPr>
    <w:rPr>
      <w:rFonts w:ascii="Calibri" w:hAnsi="Calibri" w:eastAsia="DengXian"/>
      <w:kern w:val="2"/>
      <w:lang w:val="en-US" w:eastAsia="zh-CN"/>
    </w:rPr>
  </w:style>
  <w:style w:type="character" w:customStyle="1" w:styleId="82">
    <w:name w:val="明显强调1"/>
    <w:basedOn w:val="22"/>
    <w:qFormat/>
    <w:uiPriority w:val="21"/>
    <w:rPr>
      <w:i/>
      <w:iCs/>
      <w:color w:val="2F5597" w:themeColor="accent1" w:themeShade="BF"/>
    </w:rPr>
  </w:style>
  <w:style w:type="paragraph" w:styleId="83">
    <w:name w:val="Intense Quote"/>
    <w:basedOn w:val="1"/>
    <w:next w:val="1"/>
    <w:link w:val="84"/>
    <w:qFormat/>
    <w:uiPriority w:val="30"/>
    <w:pPr>
      <w:pBdr>
        <w:top w:val="single" w:color="2F5496" w:themeColor="accent1" w:themeShade="BF" w:sz="4" w:space="10"/>
        <w:bottom w:val="single" w:color="2F5496" w:themeColor="accent1" w:themeShade="BF" w:sz="4" w:space="10"/>
      </w:pBdr>
      <w:spacing w:before="360" w:beforeAutospacing="1" w:after="360" w:line="276" w:lineRule="auto"/>
      <w:ind w:left="864" w:right="864"/>
      <w:jc w:val="center"/>
    </w:pPr>
    <w:rPr>
      <w:rFonts w:ascii="Calibri" w:hAnsi="Calibri" w:eastAsia="DengXian"/>
      <w:i/>
      <w:iCs/>
      <w:color w:val="2F5597" w:themeColor="accent1" w:themeShade="BF"/>
      <w:kern w:val="2"/>
      <w:lang w:val="en-US" w:eastAsia="zh-CN"/>
    </w:rPr>
  </w:style>
  <w:style w:type="character" w:customStyle="1" w:styleId="84">
    <w:name w:val="明显引用 字符"/>
    <w:basedOn w:val="22"/>
    <w:link w:val="83"/>
    <w:qFormat/>
    <w:uiPriority w:val="30"/>
    <w:rPr>
      <w:rFonts w:ascii="Calibri" w:hAnsi="Calibri" w:eastAsia="DengXian"/>
      <w:i/>
      <w:iCs/>
      <w:color w:val="2F5597" w:themeColor="accent1" w:themeShade="BF"/>
      <w:kern w:val="2"/>
      <w:sz w:val="24"/>
      <w:szCs w:val="24"/>
      <w:lang w:val="en-US" w:eastAsia="zh-CN"/>
    </w:rPr>
  </w:style>
  <w:style w:type="character" w:customStyle="1" w:styleId="85">
    <w:name w:val="明显参考1"/>
    <w:basedOn w:val="22"/>
    <w:qFormat/>
    <w:uiPriority w:val="32"/>
    <w:rPr>
      <w:b/>
      <w:bCs/>
      <w:smallCaps/>
      <w:color w:val="2F5597" w:themeColor="accent1" w:themeShade="BF"/>
      <w:spacing w:val="5"/>
    </w:rPr>
  </w:style>
  <w:style w:type="paragraph" w:customStyle="1" w:styleId="86">
    <w:name w:val="书目1"/>
    <w:basedOn w:val="1"/>
    <w:next w:val="1"/>
    <w:unhideWhenUsed/>
    <w:qFormat/>
    <w:uiPriority w:val="37"/>
    <w:pPr>
      <w:tabs>
        <w:tab w:val="left" w:pos="504"/>
      </w:tabs>
      <w:spacing w:before="100" w:beforeAutospacing="1"/>
      <w:ind w:left="504" w:hanging="504"/>
    </w:pPr>
    <w:rPr>
      <w:rFonts w:ascii="Calibri" w:hAnsi="Calibri" w:eastAsia="DengXian"/>
      <w:kern w:val="2"/>
      <w:lang w:val="en-US" w:eastAsia="zh-CN"/>
    </w:rPr>
  </w:style>
  <w:style w:type="paragraph" w:customStyle="1" w:styleId="87">
    <w:name w:val="Teaser"/>
    <w:basedOn w:val="1"/>
    <w:qFormat/>
    <w:uiPriority w:val="0"/>
    <w:pPr>
      <w:spacing w:before="120"/>
    </w:pPr>
    <w:rPr>
      <w:rFonts w:eastAsia="Times New Roman"/>
      <w:lang w:val="en-US" w:eastAsia="en-US"/>
    </w:rPr>
  </w:style>
  <w:style w:type="paragraph" w:customStyle="1" w:styleId="88">
    <w:name w:val="SM Heading"/>
    <w:basedOn w:val="2"/>
    <w:qFormat/>
    <w:uiPriority w:val="0"/>
    <w:pPr>
      <w:keepLines w:val="0"/>
      <w:spacing w:before="240" w:beforeAutospacing="0" w:after="60" w:line="240" w:lineRule="auto"/>
    </w:pPr>
    <w:rPr>
      <w:rFonts w:ascii="Times New Roman" w:hAnsi="Times New Roman" w:cs="Times New Roman" w:eastAsiaTheme="minorEastAsia"/>
      <w:b/>
      <w:bCs/>
      <w:color w:val="auto"/>
      <w:kern w:val="32"/>
      <w:sz w:val="24"/>
      <w:szCs w:val="24"/>
      <w:lang w:eastAsia="en-US"/>
    </w:rPr>
  </w:style>
  <w:style w:type="paragraph" w:customStyle="1" w:styleId="89">
    <w:name w:val="SM caption"/>
    <w:basedOn w:val="1"/>
    <w:qFormat/>
    <w:uiPriority w:val="0"/>
    <w:rPr>
      <w:rFonts w:eastAsiaTheme="minorEastAsia"/>
      <w:szCs w:val="20"/>
      <w:lang w:val="en-US" w:eastAsia="en-US"/>
    </w:rPr>
  </w:style>
  <w:style w:type="paragraph" w:customStyle="1" w:styleId="90">
    <w:name w:val="Head"/>
    <w:basedOn w:val="1"/>
    <w:qFormat/>
    <w:uiPriority w:val="0"/>
    <w:pPr>
      <w:keepNext/>
      <w:spacing w:before="120" w:after="120"/>
      <w:jc w:val="center"/>
      <w:outlineLvl w:val="0"/>
    </w:pPr>
    <w:rPr>
      <w:rFonts w:eastAsia="Times New Roman"/>
      <w:b/>
      <w:bCs/>
      <w:kern w:val="28"/>
      <w:sz w:val="28"/>
      <w:szCs w:val="28"/>
      <w:lang w:val="en-US" w:eastAsia="en-US"/>
    </w:rPr>
  </w:style>
  <w:style w:type="paragraph" w:customStyle="1" w:styleId="91">
    <w:name w:val="Paragraph"/>
    <w:basedOn w:val="1"/>
    <w:qFormat/>
    <w:uiPriority w:val="0"/>
    <w:pPr>
      <w:spacing w:before="120"/>
      <w:ind w:firstLine="720"/>
    </w:pPr>
    <w:rPr>
      <w:rFonts w:eastAsia="Times New Roman"/>
      <w:lang w:val="en-US"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3.tiff"/><Relationship Id="rId8" Type="http://schemas.openxmlformats.org/officeDocument/2006/relationships/image" Target="media/image2.tiff"/><Relationship Id="rId7" Type="http://schemas.openxmlformats.org/officeDocument/2006/relationships/image" Target="media/image1.tiff"/><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8.jpeg"/><Relationship Id="rId13" Type="http://schemas.openxmlformats.org/officeDocument/2006/relationships/image" Target="media/image7.tiff"/><Relationship Id="rId12" Type="http://schemas.openxmlformats.org/officeDocument/2006/relationships/image" Target="media/image6.tiff"/><Relationship Id="rId11" Type="http://schemas.openxmlformats.org/officeDocument/2006/relationships/image" Target="media/image5.tiff"/><Relationship Id="rId10" Type="http://schemas.openxmlformats.org/officeDocument/2006/relationships/image" Target="media/image4.tif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1879</Words>
  <Characters>10715</Characters>
  <Lines>89</Lines>
  <Paragraphs>25</Paragraphs>
  <TotalTime>4</TotalTime>
  <ScaleCrop>false</ScaleCrop>
  <LinksUpToDate>false</LinksUpToDate>
  <CharactersWithSpaces>12569</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2026-01-31T10:55:00Z</dcterms:created>
  <dc:creator>Göbel, Uta</dc:creator>
  <cp:lastModifiedBy>宠，不敷衍</cp:lastModifiedBy>
  <dcterms:modified xsi:type="dcterms:W3CDTF">2026-09-01T07:18:20Z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y fmtid="{D5CDD505-2E9C-101B-9397-08002B2CF9AE}" pid="3" name="KSOProductBuildVer">
    <vt:lpwstr>2052-12.1.26046.26046</vt:lpwstr>
  </property>
  <property fmtid="{D5CDD505-2E9C-101B-9397-08002B2CF9AE}" pid="4" name="ICV">
    <vt:lpwstr>CA70E4D245D79BDF2C4B956AE6682611_43</vt:lpwstr>
  </property>
</Properties>
</file>