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16689" w14:textId="21D65A01" w:rsidR="006B5CEB" w:rsidRPr="006B5CEB" w:rsidRDefault="006B5CEB" w:rsidP="006B5CEB">
      <w:pPr>
        <w:spacing w:line="360" w:lineRule="auto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Sarad et al. “</w:t>
      </w:r>
      <w:r w:rsidRPr="006B5CEB">
        <w:rPr>
          <w:b/>
          <w:bCs/>
          <w:sz w:val="24"/>
          <w:szCs w:val="24"/>
          <w:lang w:val="en-US"/>
        </w:rPr>
        <w:t xml:space="preserve">Endothelial senescence impairs efferocytosis and </w:t>
      </w:r>
      <w:r w:rsidR="00966CD5" w:rsidRPr="00966CD5">
        <w:rPr>
          <w:b/>
          <w:bCs/>
          <w:color w:val="0000FF"/>
          <w:sz w:val="24"/>
          <w:szCs w:val="24"/>
          <w:lang w:val="en-US"/>
        </w:rPr>
        <w:t>alters</w:t>
      </w:r>
      <w:r w:rsidRPr="006B5CEB">
        <w:rPr>
          <w:b/>
          <w:bCs/>
          <w:sz w:val="24"/>
          <w:szCs w:val="24"/>
          <w:lang w:val="en-US"/>
        </w:rPr>
        <w:t xml:space="preserve"> macrophage </w:t>
      </w:r>
      <w:r w:rsidR="00966CD5" w:rsidRPr="00966CD5">
        <w:rPr>
          <w:b/>
          <w:bCs/>
          <w:color w:val="0000FF"/>
          <w:sz w:val="24"/>
          <w:szCs w:val="24"/>
          <w:lang w:val="en-US"/>
        </w:rPr>
        <w:t>responses: insights into</w:t>
      </w:r>
      <w:r w:rsidRPr="006B5CEB">
        <w:rPr>
          <w:b/>
          <w:bCs/>
          <w:sz w:val="24"/>
          <w:szCs w:val="24"/>
          <w:lang w:val="en-US"/>
        </w:rPr>
        <w:t xml:space="preserve"> APP–CD74 </w:t>
      </w:r>
      <w:r w:rsidR="00966CD5" w:rsidRPr="00966CD5">
        <w:rPr>
          <w:b/>
          <w:bCs/>
          <w:color w:val="0000FF"/>
          <w:sz w:val="24"/>
          <w:szCs w:val="24"/>
          <w:lang w:val="en-US"/>
        </w:rPr>
        <w:t>signaling</w:t>
      </w:r>
      <w:r>
        <w:rPr>
          <w:b/>
          <w:bCs/>
          <w:sz w:val="24"/>
          <w:szCs w:val="24"/>
          <w:lang w:val="en-US"/>
        </w:rPr>
        <w:t>”</w:t>
      </w:r>
    </w:p>
    <w:p w14:paraId="1210F0D3" w14:textId="1C25B067" w:rsidR="006B5CEB" w:rsidRPr="003539FE" w:rsidRDefault="006B5CEB" w:rsidP="006B5CEB">
      <w:pPr>
        <w:spacing w:line="360" w:lineRule="auto"/>
        <w:jc w:val="both"/>
        <w:rPr>
          <w:b/>
          <w:bCs/>
          <w:sz w:val="24"/>
          <w:szCs w:val="24"/>
          <w:lang w:val="en-US"/>
        </w:rPr>
      </w:pPr>
    </w:p>
    <w:p w14:paraId="61B66C24" w14:textId="21CD3297" w:rsidR="003539FE" w:rsidRPr="00157BF1" w:rsidRDefault="003539FE" w:rsidP="006B5CEB">
      <w:pPr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C94C96">
        <w:rPr>
          <w:b/>
          <w:bCs/>
          <w:sz w:val="24"/>
          <w:szCs w:val="24"/>
          <w:lang w:val="en-US"/>
        </w:rPr>
        <w:t>Full-length</w:t>
      </w:r>
      <w:r w:rsidR="0098457A">
        <w:rPr>
          <w:b/>
          <w:bCs/>
          <w:sz w:val="24"/>
          <w:szCs w:val="24"/>
          <w:lang w:val="en-US"/>
        </w:rPr>
        <w:t>, uncropped</w:t>
      </w:r>
      <w:r w:rsidRPr="00C94C96">
        <w:rPr>
          <w:b/>
          <w:bCs/>
          <w:sz w:val="24"/>
          <w:szCs w:val="24"/>
          <w:lang w:val="en-US"/>
        </w:rPr>
        <w:t xml:space="preserve"> Western blot images corresponding to Figure 8C</w:t>
      </w:r>
      <w:r w:rsidR="00157BF1" w:rsidRPr="00C94C96">
        <w:rPr>
          <w:b/>
          <w:bCs/>
          <w:sz w:val="24"/>
          <w:szCs w:val="24"/>
          <w:lang w:val="en-US"/>
        </w:rPr>
        <w:t>.</w:t>
      </w:r>
      <w:r w:rsidR="00157BF1">
        <w:rPr>
          <w:sz w:val="24"/>
          <w:szCs w:val="24"/>
          <w:lang w:val="en-US"/>
        </w:rPr>
        <w:t xml:space="preserve"> </w:t>
      </w:r>
      <w:r w:rsidR="00157BF1" w:rsidRPr="00157BF1">
        <w:rPr>
          <w:sz w:val="24"/>
          <w:szCs w:val="24"/>
          <w:lang w:val="en-US"/>
        </w:rPr>
        <w:t>Lanes 1–</w:t>
      </w:r>
      <w:r w:rsidR="00157BF1">
        <w:rPr>
          <w:sz w:val="24"/>
          <w:szCs w:val="24"/>
          <w:lang w:val="en-US"/>
        </w:rPr>
        <w:t>6</w:t>
      </w:r>
      <w:r w:rsidR="00157BF1" w:rsidRPr="00157BF1">
        <w:rPr>
          <w:sz w:val="24"/>
          <w:szCs w:val="24"/>
          <w:lang w:val="en-US"/>
        </w:rPr>
        <w:t xml:space="preserve"> correspond to the samples presented in Figure </w:t>
      </w:r>
      <w:r w:rsidR="00157BF1">
        <w:rPr>
          <w:sz w:val="24"/>
          <w:szCs w:val="24"/>
          <w:lang w:val="en-US"/>
        </w:rPr>
        <w:t>8C</w:t>
      </w:r>
      <w:r w:rsidR="00157BF1" w:rsidRPr="00157BF1">
        <w:rPr>
          <w:sz w:val="24"/>
          <w:szCs w:val="24"/>
          <w:lang w:val="en-US"/>
        </w:rPr>
        <w:t xml:space="preserve">. Lanes </w:t>
      </w:r>
      <w:r w:rsidR="00157BF1">
        <w:rPr>
          <w:sz w:val="24"/>
          <w:szCs w:val="24"/>
          <w:lang w:val="en-US"/>
        </w:rPr>
        <w:t>7</w:t>
      </w:r>
      <w:r w:rsidR="00157BF1" w:rsidRPr="00157BF1">
        <w:rPr>
          <w:sz w:val="24"/>
          <w:szCs w:val="24"/>
          <w:lang w:val="en-US"/>
        </w:rPr>
        <w:t>–</w:t>
      </w:r>
      <w:r w:rsidR="00157BF1">
        <w:rPr>
          <w:sz w:val="24"/>
          <w:szCs w:val="24"/>
          <w:lang w:val="en-US"/>
        </w:rPr>
        <w:t>9</w:t>
      </w:r>
      <w:r w:rsidR="00157BF1" w:rsidRPr="00157BF1">
        <w:rPr>
          <w:sz w:val="24"/>
          <w:szCs w:val="24"/>
          <w:lang w:val="en-US"/>
        </w:rPr>
        <w:t xml:space="preserve"> contain unrelated samples from the same gel and are not included in the analysis.</w:t>
      </w:r>
    </w:p>
    <w:p w14:paraId="211DADFC" w14:textId="417DF26E" w:rsidR="003539FE" w:rsidRDefault="00C94C96" w:rsidP="00C94C96">
      <w:pPr>
        <w:spacing w:line="360" w:lineRule="auto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w:drawing>
          <wp:inline distT="0" distB="0" distL="0" distR="0" wp14:anchorId="6EC09FB7" wp14:editId="440AD9AB">
            <wp:extent cx="3028950" cy="2198867"/>
            <wp:effectExtent l="0" t="0" r="0" b="0"/>
            <wp:docPr id="190281557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867" cy="22075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17BA1D" w14:textId="0CB51521" w:rsidR="003539FE" w:rsidRDefault="008F048B" w:rsidP="00C94C96">
      <w:pPr>
        <w:spacing w:line="360" w:lineRule="auto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w:drawing>
          <wp:inline distT="0" distB="0" distL="0" distR="0" wp14:anchorId="58E50808" wp14:editId="6CED1118">
            <wp:extent cx="3016250" cy="1633456"/>
            <wp:effectExtent l="0" t="0" r="0" b="5080"/>
            <wp:docPr id="110494218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134" cy="1642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6300EA" w14:textId="284A18D1" w:rsidR="003539FE" w:rsidRDefault="00C94C96" w:rsidP="00C94C96">
      <w:pPr>
        <w:spacing w:line="360" w:lineRule="auto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w:drawing>
          <wp:inline distT="0" distB="0" distL="0" distR="0" wp14:anchorId="7A561D7E" wp14:editId="0B25CBDF">
            <wp:extent cx="3162300" cy="2739856"/>
            <wp:effectExtent l="0" t="0" r="0" b="3810"/>
            <wp:docPr id="140638015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279" cy="2754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FAB23E" w14:textId="77777777" w:rsidR="008F048B" w:rsidRDefault="008F048B" w:rsidP="006B5CEB">
      <w:pPr>
        <w:spacing w:line="360" w:lineRule="auto"/>
        <w:jc w:val="both"/>
        <w:rPr>
          <w:b/>
          <w:bCs/>
          <w:sz w:val="24"/>
          <w:szCs w:val="24"/>
          <w:lang w:val="en-US"/>
        </w:rPr>
      </w:pPr>
    </w:p>
    <w:p w14:paraId="51A60B05" w14:textId="5066E8FE" w:rsidR="00C94C96" w:rsidRDefault="00C94C96" w:rsidP="006B5CEB">
      <w:pPr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C94C96">
        <w:rPr>
          <w:b/>
          <w:bCs/>
          <w:sz w:val="24"/>
          <w:szCs w:val="24"/>
          <w:lang w:val="en-US"/>
        </w:rPr>
        <w:t>Full-length</w:t>
      </w:r>
      <w:r w:rsidR="0098457A">
        <w:rPr>
          <w:b/>
          <w:bCs/>
          <w:sz w:val="24"/>
          <w:szCs w:val="24"/>
          <w:lang w:val="en-US"/>
        </w:rPr>
        <w:t>, uncropped</w:t>
      </w:r>
      <w:r w:rsidRPr="00C94C96">
        <w:rPr>
          <w:b/>
          <w:bCs/>
          <w:sz w:val="24"/>
          <w:szCs w:val="24"/>
          <w:lang w:val="en-US"/>
        </w:rPr>
        <w:t xml:space="preserve"> Western blot images corresponding to Figure 8</w:t>
      </w:r>
      <w:r>
        <w:rPr>
          <w:b/>
          <w:bCs/>
          <w:sz w:val="24"/>
          <w:szCs w:val="24"/>
          <w:lang w:val="en-US"/>
        </w:rPr>
        <w:t>E</w:t>
      </w:r>
      <w:r w:rsidRPr="00C94C96">
        <w:rPr>
          <w:b/>
          <w:bCs/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 xml:space="preserve"> </w:t>
      </w:r>
      <w:r w:rsidRPr="00157BF1">
        <w:rPr>
          <w:sz w:val="24"/>
          <w:szCs w:val="24"/>
          <w:lang w:val="en-US"/>
        </w:rPr>
        <w:t>Lanes 1–</w:t>
      </w:r>
      <w:r>
        <w:rPr>
          <w:sz w:val="24"/>
          <w:szCs w:val="24"/>
          <w:lang w:val="en-US"/>
        </w:rPr>
        <w:t>6</w:t>
      </w:r>
      <w:r w:rsidRPr="00157BF1">
        <w:rPr>
          <w:sz w:val="24"/>
          <w:szCs w:val="24"/>
          <w:lang w:val="en-US"/>
        </w:rPr>
        <w:t xml:space="preserve"> correspond to the samples presented in Figure </w:t>
      </w:r>
      <w:r>
        <w:rPr>
          <w:sz w:val="24"/>
          <w:szCs w:val="24"/>
          <w:lang w:val="en-US"/>
        </w:rPr>
        <w:t>8E</w:t>
      </w:r>
      <w:r w:rsidRPr="00157BF1">
        <w:rPr>
          <w:sz w:val="24"/>
          <w:szCs w:val="24"/>
          <w:lang w:val="en-US"/>
        </w:rPr>
        <w:t xml:space="preserve">. Lanes </w:t>
      </w:r>
      <w:r>
        <w:rPr>
          <w:sz w:val="24"/>
          <w:szCs w:val="24"/>
          <w:lang w:val="en-US"/>
        </w:rPr>
        <w:t>7</w:t>
      </w:r>
      <w:r w:rsidRPr="00157BF1">
        <w:rPr>
          <w:sz w:val="24"/>
          <w:szCs w:val="24"/>
          <w:lang w:val="en-US"/>
        </w:rPr>
        <w:t>–</w:t>
      </w:r>
      <w:r w:rsidR="00840B76">
        <w:rPr>
          <w:sz w:val="24"/>
          <w:szCs w:val="24"/>
          <w:lang w:val="en-US"/>
        </w:rPr>
        <w:t>8</w:t>
      </w:r>
      <w:r w:rsidRPr="00157BF1">
        <w:rPr>
          <w:sz w:val="24"/>
          <w:szCs w:val="24"/>
          <w:lang w:val="en-US"/>
        </w:rPr>
        <w:t xml:space="preserve"> contain unrelated samples from the same gel and are not included in the analysis.</w:t>
      </w:r>
    </w:p>
    <w:p w14:paraId="5AD4307E" w14:textId="7A2ED6C0" w:rsidR="00C94C96" w:rsidRDefault="008F048B" w:rsidP="008F048B">
      <w:pPr>
        <w:spacing w:line="360" w:lineRule="auto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w:drawing>
          <wp:inline distT="0" distB="0" distL="0" distR="0" wp14:anchorId="7D2FE940" wp14:editId="1E4ED70C">
            <wp:extent cx="3263900" cy="2702992"/>
            <wp:effectExtent l="0" t="0" r="0" b="2540"/>
            <wp:docPr id="9834078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164" cy="2707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3F809C" w14:textId="3E9A2D7D" w:rsidR="00C94C96" w:rsidRDefault="008F048B" w:rsidP="008F048B">
      <w:pPr>
        <w:spacing w:line="360" w:lineRule="auto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w:drawing>
          <wp:inline distT="0" distB="0" distL="0" distR="0" wp14:anchorId="748F4221" wp14:editId="47C4A857">
            <wp:extent cx="3302000" cy="2751958"/>
            <wp:effectExtent l="0" t="0" r="0" b="0"/>
            <wp:docPr id="173380457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127" cy="27595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BB0E29" w14:textId="77777777" w:rsidR="008F048B" w:rsidRDefault="008F048B" w:rsidP="008F048B">
      <w:pPr>
        <w:spacing w:line="360" w:lineRule="auto"/>
        <w:rPr>
          <w:b/>
          <w:bCs/>
          <w:sz w:val="24"/>
          <w:szCs w:val="24"/>
          <w:lang w:val="en-US"/>
        </w:rPr>
      </w:pPr>
    </w:p>
    <w:sectPr w:rsidR="008F0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CEB"/>
    <w:rsid w:val="000415A9"/>
    <w:rsid w:val="00073BB8"/>
    <w:rsid w:val="00150735"/>
    <w:rsid w:val="00157BF1"/>
    <w:rsid w:val="001678CC"/>
    <w:rsid w:val="00174D20"/>
    <w:rsid w:val="00176D71"/>
    <w:rsid w:val="0020075A"/>
    <w:rsid w:val="00267AF5"/>
    <w:rsid w:val="00276FF3"/>
    <w:rsid w:val="003539FE"/>
    <w:rsid w:val="003D7DE7"/>
    <w:rsid w:val="00491BCD"/>
    <w:rsid w:val="00492350"/>
    <w:rsid w:val="004E155D"/>
    <w:rsid w:val="004E49C6"/>
    <w:rsid w:val="005966C3"/>
    <w:rsid w:val="00612BEE"/>
    <w:rsid w:val="00640976"/>
    <w:rsid w:val="00680CB1"/>
    <w:rsid w:val="006B5CEB"/>
    <w:rsid w:val="00755324"/>
    <w:rsid w:val="00762489"/>
    <w:rsid w:val="0077628B"/>
    <w:rsid w:val="008073CB"/>
    <w:rsid w:val="00820E3C"/>
    <w:rsid w:val="00840B76"/>
    <w:rsid w:val="008F048B"/>
    <w:rsid w:val="0095151C"/>
    <w:rsid w:val="00966CD5"/>
    <w:rsid w:val="0098457A"/>
    <w:rsid w:val="009E040F"/>
    <w:rsid w:val="00A0619B"/>
    <w:rsid w:val="00C14257"/>
    <w:rsid w:val="00C94C96"/>
    <w:rsid w:val="00EB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41176"/>
  <w15:chartTrackingRefBased/>
  <w15:docId w15:val="{FB32A102-251A-47A0-BBDA-9A8040E4D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CEB"/>
    <w:pPr>
      <w:spacing w:line="259" w:lineRule="auto"/>
    </w:pPr>
    <w:rPr>
      <w:rFonts w:ascii="Times New Roman" w:hAnsi="Times New Roman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5C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5C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5CE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5CE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5CE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CE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CE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CE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CE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5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5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5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5C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5C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C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C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C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C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5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5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5CE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5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5CEB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6B5C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5CEB"/>
    <w:pPr>
      <w:spacing w:line="278" w:lineRule="auto"/>
      <w:ind w:left="720"/>
      <w:contextualSpacing/>
    </w:pPr>
    <w:rPr>
      <w:rFonts w:asciiTheme="minorHAnsi" w:hAnsiTheme="minorHAnsi" w:cstheme="minorBidi"/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6B5C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5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5C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5C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Jaźwa-Kusior</dc:creator>
  <cp:keywords/>
  <dc:description/>
  <cp:lastModifiedBy>Agnieszka Jaźwa-Kusior</cp:lastModifiedBy>
  <cp:revision>5</cp:revision>
  <dcterms:created xsi:type="dcterms:W3CDTF">2026-08-26T21:52:00Z</dcterms:created>
  <dcterms:modified xsi:type="dcterms:W3CDTF">2026-08-26T22:09:00Z</dcterms:modified>
</cp:coreProperties>
</file>