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A96" w:rsidRDefault="00EB4A96" w:rsidP="00EB4A96">
      <w:pPr>
        <w:spacing w:after="100"/>
      </w:pPr>
      <w:proofErr w:type="gramStart"/>
      <w:r>
        <w:rPr>
          <w:rFonts w:ascii="Times New Roman" w:eastAsia="Times New Roman" w:hAnsi="Times New Roman"/>
          <w:b/>
          <w:sz w:val="20"/>
        </w:rPr>
        <w:t>Supplementary Table 1.</w:t>
      </w:r>
      <w:proofErr w:type="gramEnd"/>
      <w:r>
        <w:rPr>
          <w:rFonts w:ascii="Times New Roman" w:eastAsia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Experimental roadmap for resolving 14-3-3ζ-dependent protein-fate mechanisms</w:t>
      </w:r>
    </w:p>
    <w:tbl>
      <w:tblPr>
        <w:tblStyle w:val="TableGrid"/>
        <w:tblW w:w="1533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951"/>
        <w:gridCol w:w="3528"/>
        <w:gridCol w:w="2880"/>
        <w:gridCol w:w="2808"/>
        <w:gridCol w:w="3168"/>
      </w:tblGrid>
      <w:tr w:rsidR="00EB4A96" w:rsidTr="00AC44CD">
        <w:trPr>
          <w:tblHeader/>
          <w:jc w:val="center"/>
        </w:trPr>
        <w:tc>
          <w:tcPr>
            <w:tcW w:w="2951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861BBD" w:rsidRDefault="00EB4A96" w:rsidP="00AC44CD">
            <w:pPr>
              <w:rPr>
                <w:rFonts w:eastAsia="Times New Roman"/>
                <w:b/>
                <w:sz w:val="14"/>
              </w:rPr>
            </w:pPr>
            <w:r w:rsidRPr="00861BBD">
              <w:rPr>
                <w:rFonts w:eastAsia="Times New Roman"/>
                <w:b/>
                <w:sz w:val="14"/>
              </w:rPr>
              <w:t>Question</w:t>
            </w:r>
          </w:p>
        </w:tc>
        <w:tc>
          <w:tcPr>
            <w:tcW w:w="352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861BBD" w:rsidRDefault="00EB4A96" w:rsidP="00AC44CD">
            <w:pPr>
              <w:rPr>
                <w:rFonts w:eastAsia="Times New Roman"/>
                <w:b/>
                <w:sz w:val="14"/>
              </w:rPr>
            </w:pPr>
            <w:r w:rsidRPr="00861BBD">
              <w:rPr>
                <w:rFonts w:eastAsia="Times New Roman"/>
                <w:b/>
                <w:sz w:val="14"/>
              </w:rPr>
              <w:t>Recommended approach</w:t>
            </w:r>
          </w:p>
        </w:tc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861BBD" w:rsidRDefault="00EB4A96" w:rsidP="00AC44CD">
            <w:pPr>
              <w:rPr>
                <w:rFonts w:eastAsia="Times New Roman"/>
                <w:b/>
                <w:sz w:val="14"/>
              </w:rPr>
            </w:pPr>
            <w:r w:rsidRPr="00861BBD">
              <w:rPr>
                <w:rFonts w:eastAsia="Times New Roman"/>
                <w:b/>
                <w:sz w:val="14"/>
              </w:rPr>
              <w:t>Key readout</w:t>
            </w:r>
          </w:p>
        </w:tc>
        <w:tc>
          <w:tcPr>
            <w:tcW w:w="280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861BBD" w:rsidRDefault="00EB4A96" w:rsidP="00AC44CD">
            <w:pPr>
              <w:rPr>
                <w:rFonts w:eastAsia="Times New Roman"/>
                <w:b/>
                <w:sz w:val="14"/>
              </w:rPr>
            </w:pPr>
            <w:r w:rsidRPr="00861BBD">
              <w:rPr>
                <w:rFonts w:eastAsia="Times New Roman"/>
                <w:b/>
                <w:sz w:val="14"/>
              </w:rPr>
              <w:t>Supported interpretation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861BBD" w:rsidRDefault="00EB4A96" w:rsidP="00AC44CD">
            <w:pPr>
              <w:rPr>
                <w:rFonts w:eastAsia="Times New Roman"/>
                <w:b/>
                <w:sz w:val="14"/>
              </w:rPr>
            </w:pPr>
            <w:r w:rsidRPr="00861BBD">
              <w:rPr>
                <w:rFonts w:eastAsia="Times New Roman"/>
                <w:b/>
                <w:sz w:val="14"/>
              </w:rPr>
              <w:t>Minimum evidence required</w:t>
            </w:r>
          </w:p>
        </w:tc>
      </w:tr>
      <w:tr w:rsidR="00EB4A96" w:rsidTr="00AC44CD">
        <w:trPr>
          <w:jc w:val="center"/>
        </w:trPr>
        <w:tc>
          <w:tcPr>
            <w:tcW w:w="2951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Does 14-3-3ζ physically associate with the candidate client?</w:t>
            </w:r>
          </w:p>
        </w:tc>
        <w:tc>
          <w:tcPr>
            <w:tcW w:w="352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 xml:space="preserve">Endogenous reciprocal Co-IP, </w:t>
            </w:r>
            <w:r w:rsidRPr="00221C12">
              <w:rPr>
                <w:rFonts w:eastAsia="Times New Roman"/>
                <w:sz w:val="14"/>
              </w:rPr>
              <w:t>Proximity ligation assay</w:t>
            </w:r>
            <w:r w:rsidRPr="00662F85">
              <w:rPr>
                <w:rFonts w:eastAsia="Times New Roman"/>
                <w:sz w:val="14"/>
              </w:rPr>
              <w:t>, proximity labeling, affinity purification</w:t>
            </w:r>
          </w:p>
        </w:tc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Reproducible 14-3-3ζ–client association</w:t>
            </w:r>
          </w:p>
        </w:tc>
        <w:tc>
          <w:tcPr>
            <w:tcW w:w="280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Direct or proximal interaction candidate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Endogenous evidence preferred; overexpression-only interaction is insufficient</w:t>
            </w:r>
          </w:p>
        </w:tc>
      </w:tr>
      <w:tr w:rsidR="00EB4A96" w:rsidTr="00AC44CD">
        <w:trPr>
          <w:jc w:val="center"/>
        </w:trPr>
        <w:tc>
          <w:tcPr>
            <w:tcW w:w="2951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B64425">
              <w:rPr>
                <w:rFonts w:eastAsia="Times New Roman"/>
                <w:sz w:val="14"/>
              </w:rPr>
              <w:t>Is 14-3-3ζ involvement directly demonstrated?</w:t>
            </w:r>
          </w:p>
        </w:tc>
        <w:tc>
          <w:tcPr>
            <w:tcW w:w="352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7317E4">
              <w:rPr>
                <w:rFonts w:eastAsia="Times New Roman"/>
                <w:sz w:val="14"/>
              </w:rPr>
              <w:t>YWHAZ-directed knockdown/knockout</w:t>
            </w:r>
            <w:r w:rsidRPr="00B64425">
              <w:rPr>
                <w:rFonts w:eastAsia="Times New Roman"/>
                <w:sz w:val="14"/>
              </w:rPr>
              <w:t xml:space="preserve"> followed by rescue with 14-3-3ζ; reciprocal Co-IP, </w:t>
            </w:r>
            <w:r w:rsidRPr="00221C12">
              <w:rPr>
                <w:rFonts w:eastAsia="Times New Roman"/>
                <w:sz w:val="14"/>
              </w:rPr>
              <w:t>Proximity ligation assay</w:t>
            </w:r>
            <w:r w:rsidRPr="00B64425">
              <w:rPr>
                <w:rFonts w:eastAsia="Times New Roman"/>
                <w:sz w:val="14"/>
              </w:rPr>
              <w:t xml:space="preserve"> or other direct 14-3-3ζ–client interaction assays where appropriate.</w:t>
            </w:r>
          </w:p>
        </w:tc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B64425">
              <w:rPr>
                <w:rFonts w:eastAsia="Times New Roman"/>
                <w:sz w:val="14"/>
              </w:rPr>
              <w:t>Loss or alteration of the interaction/function after YWHAZ depletion and restoration by 14-3-3ζ re-expression, or direct demonstration of a 14-3-3ζ–client interaction.</w:t>
            </w:r>
          </w:p>
        </w:tc>
        <w:tc>
          <w:tcPr>
            <w:tcW w:w="280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proofErr w:type="gramStart"/>
            <w:r w:rsidRPr="00B64425">
              <w:rPr>
                <w:rFonts w:eastAsia="Times New Roman"/>
                <w:sz w:val="14"/>
              </w:rPr>
              <w:t>ζ-demonstrated</w:t>
            </w:r>
            <w:proofErr w:type="gramEnd"/>
            <w:r w:rsidRPr="00B64425">
              <w:rPr>
                <w:rFonts w:eastAsia="Times New Roman"/>
                <w:sz w:val="14"/>
              </w:rPr>
              <w:t xml:space="preserve"> involvement.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B64425">
              <w:rPr>
                <w:rFonts w:eastAsia="Times New Roman"/>
                <w:sz w:val="14"/>
              </w:rPr>
              <w:t>Direct experimental manipulation of YWHAZ/14-3-3ζ or explicit demonstration of a 14-3-3ζ–client interaction. Comparison with relevant alternative 14-3-3 isoforms is required only when ζ-selective or ζ-exclusive biology is claimed.</w:t>
            </w:r>
          </w:p>
        </w:tc>
      </w:tr>
      <w:tr w:rsidR="00EB4A96" w:rsidTr="00AC44CD">
        <w:trPr>
          <w:jc w:val="center"/>
        </w:trPr>
        <w:tc>
          <w:tcPr>
            <w:tcW w:w="2951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Is binding phosphorylation-dependent?</w:t>
            </w:r>
          </w:p>
        </w:tc>
        <w:tc>
          <w:tcPr>
            <w:tcW w:w="352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proofErr w:type="spellStart"/>
            <w:r w:rsidRPr="00662F85">
              <w:rPr>
                <w:rFonts w:eastAsia="Times New Roman"/>
                <w:sz w:val="14"/>
              </w:rPr>
              <w:t>Phosphosite</w:t>
            </w:r>
            <w:proofErr w:type="spellEnd"/>
            <w:r w:rsidRPr="00662F85">
              <w:rPr>
                <w:rFonts w:eastAsia="Times New Roman"/>
                <w:sz w:val="14"/>
              </w:rPr>
              <w:t xml:space="preserve"> mutation, kinase inhibition/activation, phosphatase treatment, </w:t>
            </w:r>
            <w:proofErr w:type="spellStart"/>
            <w:r w:rsidRPr="00662F85">
              <w:rPr>
                <w:rFonts w:eastAsia="Times New Roman"/>
                <w:sz w:val="14"/>
              </w:rPr>
              <w:t>phosphopeptide</w:t>
            </w:r>
            <w:proofErr w:type="spellEnd"/>
            <w:r w:rsidRPr="00662F85">
              <w:rPr>
                <w:rFonts w:eastAsia="Times New Roman"/>
                <w:sz w:val="14"/>
              </w:rPr>
              <w:t>-binding assays</w:t>
            </w:r>
          </w:p>
        </w:tc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 xml:space="preserve">Binding changes with </w:t>
            </w:r>
            <w:proofErr w:type="spellStart"/>
            <w:r w:rsidRPr="00662F85">
              <w:rPr>
                <w:rFonts w:eastAsia="Times New Roman"/>
                <w:sz w:val="14"/>
              </w:rPr>
              <w:t>phosphosite</w:t>
            </w:r>
            <w:proofErr w:type="spellEnd"/>
            <w:r w:rsidRPr="00662F85">
              <w:rPr>
                <w:rFonts w:eastAsia="Times New Roman"/>
                <w:sz w:val="14"/>
              </w:rPr>
              <w:t xml:space="preserve"> state</w:t>
            </w:r>
          </w:p>
        </w:tc>
        <w:tc>
          <w:tcPr>
            <w:tcW w:w="280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Phosphorylation-dependent 14-3-3ζ engagement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Site-specific mutation plus orthogonal kinase/phosphatase evidence where feasible</w:t>
            </w:r>
          </w:p>
        </w:tc>
      </w:tr>
      <w:tr w:rsidR="00EB4A96" w:rsidTr="00AC44CD">
        <w:trPr>
          <w:jc w:val="center"/>
        </w:trPr>
        <w:tc>
          <w:tcPr>
            <w:tcW w:w="2951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Does 14-3-3ζ dimerization contribute to the interaction?</w:t>
            </w:r>
          </w:p>
        </w:tc>
        <w:tc>
          <w:tcPr>
            <w:tcW w:w="352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Dimerization-defective or Ser58-regulated 14-3-3ζ mutants; interaction and rescue assays</w:t>
            </w:r>
          </w:p>
        </w:tc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Altered client binding/function with dimerization state</w:t>
            </w:r>
          </w:p>
        </w:tc>
        <w:tc>
          <w:tcPr>
            <w:tcW w:w="280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Dimer-dependent scaffold organization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Demonstrate comparable expression and preserved general folding/binding competence</w:t>
            </w:r>
          </w:p>
        </w:tc>
      </w:tr>
      <w:tr w:rsidR="00EB4A96" w:rsidTr="00AC44CD">
        <w:trPr>
          <w:jc w:val="center"/>
        </w:trPr>
        <w:tc>
          <w:tcPr>
            <w:tcW w:w="2951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Does 14-3-3ζ alter client localization or functional accessibility?</w:t>
            </w:r>
          </w:p>
        </w:tc>
        <w:tc>
          <w:tcPr>
            <w:tcW w:w="352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Cell fractionation, live-cell imaging, nuclear/cytoplasmic quantification, DNA-/effector-binding assays</w:t>
            </w:r>
          </w:p>
        </w:tc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Redistribution or reduced access to a functional interface</w:t>
            </w:r>
          </w:p>
        </w:tc>
        <w:tc>
          <w:tcPr>
            <w:tcW w:w="280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Functional/interface sequestration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Interaction dependence plus functional rescue; degradation change is not required</w:t>
            </w:r>
          </w:p>
        </w:tc>
      </w:tr>
      <w:tr w:rsidR="00EB4A96" w:rsidTr="00AC44CD">
        <w:trPr>
          <w:jc w:val="center"/>
        </w:trPr>
        <w:tc>
          <w:tcPr>
            <w:tcW w:w="2951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Does 14-3-3ζ alter client abundance or half-life?</w:t>
            </w:r>
          </w:p>
        </w:tc>
        <w:tc>
          <w:tcPr>
            <w:tcW w:w="352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proofErr w:type="spellStart"/>
            <w:r w:rsidRPr="00662F85">
              <w:rPr>
                <w:rFonts w:eastAsia="Times New Roman"/>
                <w:sz w:val="14"/>
              </w:rPr>
              <w:t>Cycloheximide</w:t>
            </w:r>
            <w:proofErr w:type="spellEnd"/>
            <w:r w:rsidRPr="00662F85">
              <w:rPr>
                <w:rFonts w:eastAsia="Times New Roman"/>
                <w:sz w:val="14"/>
              </w:rPr>
              <w:t xml:space="preserve"> chase, pulse–chase labeling, quantitative proteomics</w:t>
            </w:r>
          </w:p>
        </w:tc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Shortened or prolonged client half-life after YWHAZ perturbation</w:t>
            </w:r>
          </w:p>
        </w:tc>
        <w:tc>
          <w:tcPr>
            <w:tcW w:w="280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14-3-3ζ-dependent stability regulation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Reproducible half-life change independent of transcript abundance</w:t>
            </w:r>
          </w:p>
        </w:tc>
      </w:tr>
      <w:tr w:rsidR="00EB4A96" w:rsidTr="00AC44CD">
        <w:trPr>
          <w:jc w:val="center"/>
        </w:trPr>
        <w:tc>
          <w:tcPr>
            <w:tcW w:w="2951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Does 14-3-3ζ alter client ubiquitination?</w:t>
            </w:r>
          </w:p>
        </w:tc>
        <w:tc>
          <w:tcPr>
            <w:tcW w:w="352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Client IP/anti-ubiquitin blot, K48-linked ubiquitin assays, ubiquitin-remnant proteomics</w:t>
            </w:r>
          </w:p>
        </w:tc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Ubiquitination changes after YWHAZ perturbation</w:t>
            </w:r>
          </w:p>
        </w:tc>
        <w:tc>
          <w:tcPr>
            <w:tcW w:w="280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14-3-3ζ-dependent ubiquitination regulation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Ubiquitination change plus appropriate degradation-pathway controls</w:t>
            </w:r>
          </w:p>
        </w:tc>
      </w:tr>
      <w:tr w:rsidR="00EB4A96" w:rsidTr="00AC44CD">
        <w:trPr>
          <w:jc w:val="center"/>
        </w:trPr>
        <w:tc>
          <w:tcPr>
            <w:tcW w:w="2951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Which degradation route is involved?</w:t>
            </w:r>
          </w:p>
        </w:tc>
        <w:tc>
          <w:tcPr>
            <w:tcW w:w="352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Proteasome versus lysosome inhibition; proteasome-function controls</w:t>
            </w:r>
          </w:p>
        </w:tc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Selective rescue by the relevant degradation-pathway inhibitor</w:t>
            </w:r>
          </w:p>
        </w:tc>
        <w:tc>
          <w:tcPr>
            <w:tcW w:w="280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proofErr w:type="spellStart"/>
            <w:r w:rsidRPr="00662F85">
              <w:rPr>
                <w:rFonts w:eastAsia="Times New Roman"/>
                <w:sz w:val="14"/>
              </w:rPr>
              <w:t>Proteasomal</w:t>
            </w:r>
            <w:proofErr w:type="spellEnd"/>
            <w:r w:rsidRPr="00662F85">
              <w:rPr>
                <w:rFonts w:eastAsia="Times New Roman"/>
                <w:sz w:val="14"/>
              </w:rPr>
              <w:t xml:space="preserve"> or lysosomal stability regulation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Exclude global proteasome impairment or nonspecific stress</w:t>
            </w:r>
          </w:p>
        </w:tc>
      </w:tr>
      <w:tr w:rsidR="00EB4A96" w:rsidTr="00AC44CD">
        <w:trPr>
          <w:jc w:val="center"/>
        </w:trPr>
        <w:tc>
          <w:tcPr>
            <w:tcW w:w="2951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Which cognate E3 ligase controls the substrate?</w:t>
            </w:r>
          </w:p>
        </w:tc>
        <w:tc>
          <w:tcPr>
            <w:tcW w:w="352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 xml:space="preserve">E3–substrate Co-IP, </w:t>
            </w:r>
            <w:r w:rsidRPr="00C352B4">
              <w:rPr>
                <w:rFonts w:eastAsia="Times New Roman"/>
                <w:sz w:val="14"/>
              </w:rPr>
              <w:t>CRISPR-mediated knockout/knockdown of candidate E3s</w:t>
            </w:r>
            <w:r w:rsidRPr="00662F85">
              <w:rPr>
                <w:rFonts w:eastAsia="Times New Roman"/>
                <w:sz w:val="14"/>
              </w:rPr>
              <w:t xml:space="preserve">, rescue, </w:t>
            </w:r>
            <w:proofErr w:type="spellStart"/>
            <w:r w:rsidRPr="00662F85">
              <w:rPr>
                <w:rFonts w:eastAsia="Times New Roman"/>
                <w:sz w:val="14"/>
              </w:rPr>
              <w:t>degron</w:t>
            </w:r>
            <w:proofErr w:type="spellEnd"/>
            <w:r w:rsidRPr="00662F85">
              <w:rPr>
                <w:rFonts w:eastAsia="Times New Roman"/>
                <w:sz w:val="14"/>
              </w:rPr>
              <w:t xml:space="preserve"> mapping</w:t>
            </w:r>
          </w:p>
        </w:tc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E3-dependent substrate ubiquitination/degradation</w:t>
            </w:r>
          </w:p>
        </w:tc>
        <w:tc>
          <w:tcPr>
            <w:tcW w:w="280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Defined E3–substrate pathway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E3 loss should alter substrate ubiquitination/stability in the predicted direction</w:t>
            </w:r>
          </w:p>
        </w:tc>
      </w:tr>
      <w:tr w:rsidR="00EB4A96" w:rsidTr="00AC44CD">
        <w:trPr>
          <w:jc w:val="center"/>
        </w:trPr>
        <w:tc>
          <w:tcPr>
            <w:tcW w:w="2951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Does 14-3-3ζ reduce productive E3–substrate engagement?</w:t>
            </w:r>
          </w:p>
        </w:tc>
        <w:tc>
          <w:tcPr>
            <w:tcW w:w="352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 xml:space="preserve">E3–substrate Co-IP ± YWHAZ perturbation, competition assays, </w:t>
            </w:r>
            <w:proofErr w:type="spellStart"/>
            <w:r w:rsidRPr="00662F85">
              <w:rPr>
                <w:rFonts w:eastAsia="Times New Roman"/>
                <w:sz w:val="14"/>
              </w:rPr>
              <w:t>degron</w:t>
            </w:r>
            <w:proofErr w:type="spellEnd"/>
            <w:r w:rsidRPr="00662F85">
              <w:rPr>
                <w:rFonts w:eastAsia="Times New Roman"/>
                <w:sz w:val="14"/>
              </w:rPr>
              <w:t xml:space="preserve"> mutants, structural mapping</w:t>
            </w:r>
          </w:p>
        </w:tc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Increased E3–substrate association after YWHAZ loss</w:t>
            </w:r>
          </w:p>
        </w:tc>
        <w:tc>
          <w:tcPr>
            <w:tcW w:w="280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Candidate E3 exclusion/interface competition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Directly connect 14-3-3ζ occupancy to the specific E3–substrate interaction</w:t>
            </w:r>
          </w:p>
        </w:tc>
      </w:tr>
      <w:tr w:rsidR="00EB4A96" w:rsidTr="00AC44CD">
        <w:trPr>
          <w:jc w:val="center"/>
        </w:trPr>
        <w:tc>
          <w:tcPr>
            <w:tcW w:w="2951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Does the module satisfy competitive ubiquitin-escape criteria?</w:t>
            </w:r>
          </w:p>
        </w:tc>
        <w:tc>
          <w:tcPr>
            <w:tcW w:w="352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1F2668" w:rsidRDefault="00EB4A96" w:rsidP="00AC44CD">
            <w:pPr>
              <w:rPr>
                <w:sz w:val="14"/>
              </w:rPr>
            </w:pPr>
            <w:r w:rsidRPr="001F2668">
              <w:rPr>
                <w:rFonts w:eastAsia="Times New Roman"/>
                <w:sz w:val="14"/>
              </w:rPr>
              <w:t xml:space="preserve">Integrate E3-engagement, ubiquitination and half-life analyses, with </w:t>
            </w:r>
            <w:proofErr w:type="spellStart"/>
            <w:r w:rsidRPr="001F2668">
              <w:rPr>
                <w:rFonts w:eastAsia="Times New Roman"/>
                <w:sz w:val="14"/>
              </w:rPr>
              <w:t>phosphosite</w:t>
            </w:r>
            <w:proofErr w:type="spellEnd"/>
            <w:r w:rsidRPr="001F2668">
              <w:rPr>
                <w:rFonts w:eastAsia="Times New Roman"/>
                <w:sz w:val="14"/>
              </w:rPr>
              <w:t xml:space="preserve"> and </w:t>
            </w:r>
            <w:proofErr w:type="spellStart"/>
            <w:r w:rsidRPr="001F2668">
              <w:rPr>
                <w:rFonts w:eastAsia="Times New Roman"/>
                <w:sz w:val="14"/>
              </w:rPr>
              <w:t>degron</w:t>
            </w:r>
            <w:proofErr w:type="spellEnd"/>
            <w:r w:rsidRPr="001F2668">
              <w:rPr>
                <w:rFonts w:eastAsia="Times New Roman"/>
                <w:sz w:val="14"/>
              </w:rPr>
              <w:t xml:space="preserve"> mapping where applicable</w:t>
            </w:r>
          </w:p>
        </w:tc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Intact degradation-competent substrate + active E3 + 14-3-3ζ-dependent reduction in E3 access/ubiquitination</w:t>
            </w:r>
          </w:p>
        </w:tc>
        <w:tc>
          <w:tcPr>
            <w:tcW w:w="280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Competitive ubiquitin escape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1F2668">
              <w:rPr>
                <w:rFonts w:eastAsia="Times New Roman"/>
                <w:sz w:val="14"/>
              </w:rPr>
              <w:t>Reduced ubiquitination alone is insufficient; the cognate E3/</w:t>
            </w:r>
            <w:proofErr w:type="spellStart"/>
            <w:r w:rsidRPr="001F2668">
              <w:rPr>
                <w:rFonts w:eastAsia="Times New Roman"/>
                <w:sz w:val="14"/>
              </w:rPr>
              <w:t>degron</w:t>
            </w:r>
            <w:proofErr w:type="spellEnd"/>
            <w:r w:rsidRPr="001F2668">
              <w:rPr>
                <w:rFonts w:eastAsia="Times New Roman"/>
                <w:sz w:val="14"/>
              </w:rPr>
              <w:t xml:space="preserve"> relationship must be functionally demonstrated</w:t>
            </w:r>
          </w:p>
        </w:tc>
      </w:tr>
      <w:tr w:rsidR="00EB4A96" w:rsidTr="00AC44CD">
        <w:trPr>
          <w:jc w:val="center"/>
        </w:trPr>
        <w:tc>
          <w:tcPr>
            <w:tcW w:w="2951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Is stabilization caused instead by reduced E3 availability/activity?</w:t>
            </w:r>
          </w:p>
        </w:tc>
        <w:tc>
          <w:tcPr>
            <w:tcW w:w="352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Quantify E3 abundance/activity; restore E3 expression/activity independently of YWHAZ</w:t>
            </w:r>
          </w:p>
        </w:tc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Stability changes track E3 state rather than 14-3-3ζ occupancy</w:t>
            </w:r>
          </w:p>
        </w:tc>
        <w:tc>
          <w:tcPr>
            <w:tcW w:w="280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E3-availability-driven stabilization, not ubiquitin escape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Loss of YWHAZ dependence after independent restoration of E3 activity</w:t>
            </w:r>
          </w:p>
        </w:tc>
      </w:tr>
      <w:tr w:rsidR="00EB4A96" w:rsidTr="00AC44CD">
        <w:trPr>
          <w:jc w:val="center"/>
        </w:trPr>
        <w:tc>
          <w:tcPr>
            <w:tcW w:w="2951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Is 14-3-3ζ itself regulated by ubiquitination or other PTMs?</w:t>
            </w:r>
          </w:p>
        </w:tc>
        <w:tc>
          <w:tcPr>
            <w:tcW w:w="352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 xml:space="preserve">14-3-3ζ ubiquitination, </w:t>
            </w:r>
            <w:proofErr w:type="spellStart"/>
            <w:r>
              <w:rPr>
                <w:rFonts w:asciiTheme="minorEastAsia" w:hAnsiTheme="minorEastAsia" w:hint="eastAsia"/>
                <w:sz w:val="14"/>
              </w:rPr>
              <w:t>c</w:t>
            </w:r>
            <w:r w:rsidRPr="00374BA3">
              <w:rPr>
                <w:rFonts w:eastAsia="Times New Roman"/>
                <w:sz w:val="14"/>
              </w:rPr>
              <w:t>ycloheximide</w:t>
            </w:r>
            <w:proofErr w:type="spellEnd"/>
            <w:r w:rsidRPr="00662F85">
              <w:rPr>
                <w:rFonts w:eastAsia="Times New Roman"/>
                <w:sz w:val="14"/>
              </w:rPr>
              <w:t xml:space="preserve"> chase, E3 manipulation, acetylation/phosphorylation assays</w:t>
            </w:r>
          </w:p>
        </w:tc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Changes in 14-3-3ζ PTM state and half-life</w:t>
            </w:r>
          </w:p>
        </w:tc>
        <w:tc>
          <w:tcPr>
            <w:tcW w:w="280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Protein-level 14-3-3ζ-abundance regulation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Direct change in 14-3-3ζ stability plus downstream functional consequence</w:t>
            </w:r>
          </w:p>
        </w:tc>
      </w:tr>
      <w:tr w:rsidR="00EB4A96" w:rsidTr="00AC44CD">
        <w:trPr>
          <w:jc w:val="center"/>
        </w:trPr>
        <w:tc>
          <w:tcPr>
            <w:tcW w:w="2951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Does therapy create a stress-specific YWHAZ/14-3-3ζ dependency?</w:t>
            </w:r>
          </w:p>
        </w:tc>
        <w:tc>
          <w:tcPr>
            <w:tcW w:w="352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 xml:space="preserve">Compare untreated, acute-treatment, </w:t>
            </w:r>
            <w:proofErr w:type="spellStart"/>
            <w:r w:rsidRPr="00662F85">
              <w:rPr>
                <w:rFonts w:eastAsia="Times New Roman"/>
                <w:sz w:val="14"/>
              </w:rPr>
              <w:t>persister</w:t>
            </w:r>
            <w:proofErr w:type="spellEnd"/>
            <w:r w:rsidRPr="00662F85">
              <w:rPr>
                <w:rFonts w:eastAsia="Times New Roman"/>
                <w:sz w:val="14"/>
              </w:rPr>
              <w:t xml:space="preserve"> and recovery states; time-resolved </w:t>
            </w:r>
            <w:proofErr w:type="spellStart"/>
            <w:r w:rsidRPr="00662F85">
              <w:rPr>
                <w:rFonts w:eastAsia="Times New Roman"/>
                <w:sz w:val="14"/>
              </w:rPr>
              <w:t>interactomics</w:t>
            </w:r>
            <w:proofErr w:type="spellEnd"/>
            <w:r w:rsidRPr="00662F85">
              <w:rPr>
                <w:rFonts w:eastAsia="Times New Roman"/>
                <w:sz w:val="14"/>
              </w:rPr>
              <w:t>/</w:t>
            </w:r>
            <w:proofErr w:type="spellStart"/>
            <w:r w:rsidRPr="00662F85">
              <w:rPr>
                <w:rFonts w:eastAsia="Times New Roman"/>
                <w:sz w:val="14"/>
              </w:rPr>
              <w:t>phosphoproteomics</w:t>
            </w:r>
            <w:proofErr w:type="spellEnd"/>
          </w:p>
        </w:tc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Stress-specific 14-3-3ζ–client interaction and selective survival requirement</w:t>
            </w:r>
          </w:p>
        </w:tc>
        <w:tc>
          <w:tcPr>
            <w:tcW w:w="280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Therapy-induced/context-specific dependency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Preferential impairment of the stress-selected state after YWHAZ perturbation</w:t>
            </w:r>
          </w:p>
        </w:tc>
      </w:tr>
      <w:tr w:rsidR="00EB4A96" w:rsidTr="00AC44CD">
        <w:trPr>
          <w:jc w:val="center"/>
        </w:trPr>
        <w:tc>
          <w:tcPr>
            <w:tcW w:w="2951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 xml:space="preserve">Does 14-3-3ζ regulate </w:t>
            </w:r>
            <w:proofErr w:type="spellStart"/>
            <w:r w:rsidRPr="00662F85">
              <w:rPr>
                <w:rFonts w:eastAsia="Times New Roman"/>
                <w:sz w:val="14"/>
              </w:rPr>
              <w:t>autophagic</w:t>
            </w:r>
            <w:proofErr w:type="spellEnd"/>
            <w:r w:rsidRPr="00662F85">
              <w:rPr>
                <w:rFonts w:eastAsia="Times New Roman"/>
                <w:sz w:val="14"/>
              </w:rPr>
              <w:t xml:space="preserve"> flux causally?</w:t>
            </w:r>
          </w:p>
        </w:tc>
        <w:tc>
          <w:tcPr>
            <w:tcW w:w="352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proofErr w:type="spellStart"/>
            <w:r w:rsidRPr="00662F85">
              <w:rPr>
                <w:rFonts w:eastAsia="Times New Roman"/>
                <w:sz w:val="14"/>
              </w:rPr>
              <w:t>mCherry</w:t>
            </w:r>
            <w:proofErr w:type="spellEnd"/>
            <w:r w:rsidRPr="00662F85">
              <w:rPr>
                <w:rFonts w:eastAsia="Times New Roman"/>
                <w:sz w:val="14"/>
              </w:rPr>
              <w:t xml:space="preserve">–GFP–LC3, lysosomal blockade, p62 turnover, </w:t>
            </w:r>
            <w:proofErr w:type="spellStart"/>
            <w:r w:rsidRPr="00662F85">
              <w:rPr>
                <w:rFonts w:eastAsia="Times New Roman"/>
                <w:sz w:val="14"/>
              </w:rPr>
              <w:t>autophagosome</w:t>
            </w:r>
            <w:proofErr w:type="spellEnd"/>
            <w:r w:rsidRPr="00662F85">
              <w:rPr>
                <w:rFonts w:eastAsia="Times New Roman"/>
                <w:sz w:val="14"/>
              </w:rPr>
              <w:t xml:space="preserve"> formation/clearance assays</w:t>
            </w:r>
          </w:p>
        </w:tc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Altered flux rather than static LC3-II abundance</w:t>
            </w:r>
          </w:p>
        </w:tc>
        <w:tc>
          <w:tcPr>
            <w:tcW w:w="280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Autophagy-organizing function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Flux assay plus YWHAZ loss/rescue; static LC3-II/p62 alone is insufficient</w:t>
            </w:r>
          </w:p>
        </w:tc>
      </w:tr>
      <w:tr w:rsidR="00EB4A96" w:rsidTr="00AC44CD">
        <w:trPr>
          <w:jc w:val="center"/>
        </w:trPr>
        <w:tc>
          <w:tcPr>
            <w:tcW w:w="2951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 xml:space="preserve">Does 14-3-3ζ regulate </w:t>
            </w:r>
            <w:proofErr w:type="spellStart"/>
            <w:r w:rsidRPr="00662F85">
              <w:rPr>
                <w:rFonts w:eastAsia="Times New Roman"/>
                <w:sz w:val="14"/>
              </w:rPr>
              <w:t>mitophagy</w:t>
            </w:r>
            <w:proofErr w:type="spellEnd"/>
            <w:r w:rsidRPr="00662F85">
              <w:rPr>
                <w:rFonts w:eastAsia="Times New Roman"/>
                <w:sz w:val="14"/>
              </w:rPr>
              <w:t xml:space="preserve"> causally?</w:t>
            </w:r>
          </w:p>
        </w:tc>
        <w:tc>
          <w:tcPr>
            <w:tcW w:w="352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 xml:space="preserve">Mitochondrial delivery/clearance reporters, </w:t>
            </w:r>
            <w:proofErr w:type="spellStart"/>
            <w:r w:rsidRPr="00662F85">
              <w:rPr>
                <w:rFonts w:eastAsia="Times New Roman"/>
                <w:sz w:val="14"/>
              </w:rPr>
              <w:t>mt-Keima</w:t>
            </w:r>
            <w:proofErr w:type="spellEnd"/>
            <w:r w:rsidRPr="00662F85">
              <w:rPr>
                <w:rFonts w:eastAsia="Times New Roman"/>
                <w:sz w:val="14"/>
              </w:rPr>
              <w:t xml:space="preserve"> or equivalent assays, </w:t>
            </w:r>
            <w:proofErr w:type="spellStart"/>
            <w:r w:rsidRPr="00662F85">
              <w:rPr>
                <w:rFonts w:eastAsia="Times New Roman"/>
                <w:sz w:val="14"/>
              </w:rPr>
              <w:t>Parkin</w:t>
            </w:r>
            <w:proofErr w:type="spellEnd"/>
            <w:r w:rsidRPr="00662F85">
              <w:rPr>
                <w:rFonts w:eastAsia="Times New Roman"/>
                <w:sz w:val="14"/>
              </w:rPr>
              <w:t>-pathway perturbation</w:t>
            </w:r>
          </w:p>
        </w:tc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Altered mitochondrial delivery and clearance</w:t>
            </w:r>
          </w:p>
        </w:tc>
        <w:tc>
          <w:tcPr>
            <w:tcW w:w="280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proofErr w:type="spellStart"/>
            <w:r w:rsidRPr="00662F85">
              <w:rPr>
                <w:rFonts w:eastAsia="Times New Roman"/>
                <w:sz w:val="14"/>
              </w:rPr>
              <w:t>Mitophagy</w:t>
            </w:r>
            <w:proofErr w:type="spellEnd"/>
            <w:r w:rsidRPr="00662F85">
              <w:rPr>
                <w:rFonts w:eastAsia="Times New Roman"/>
                <w:sz w:val="14"/>
              </w:rPr>
              <w:t xml:space="preserve"> regulation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Flux-based mitochondrial clearance plus genetic rescue</w:t>
            </w:r>
          </w:p>
        </w:tc>
      </w:tr>
      <w:tr w:rsidR="00EB4A96" w:rsidTr="00AC44CD">
        <w:trPr>
          <w:jc w:val="center"/>
        </w:trPr>
        <w:tc>
          <w:tcPr>
            <w:tcW w:w="2951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Is 14-3-3ζ a selective-autophagy cargo receptor?</w:t>
            </w:r>
          </w:p>
        </w:tc>
        <w:tc>
          <w:tcPr>
            <w:tcW w:w="352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 xml:space="preserve">Test direct </w:t>
            </w:r>
            <w:proofErr w:type="spellStart"/>
            <w:r w:rsidRPr="00662F85">
              <w:rPr>
                <w:rFonts w:eastAsia="Times New Roman"/>
                <w:sz w:val="14"/>
              </w:rPr>
              <w:t>ubiquitinated</w:t>
            </w:r>
            <w:proofErr w:type="spellEnd"/>
            <w:r w:rsidRPr="00662F85">
              <w:rPr>
                <w:rFonts w:eastAsia="Times New Roman"/>
                <w:sz w:val="14"/>
              </w:rPr>
              <w:t>-cargo recognition, LC3/GABARAP binding and cargo delivery</w:t>
            </w:r>
          </w:p>
        </w:tc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Simultaneous cargo recognition and ATG8-family coupling</w:t>
            </w:r>
          </w:p>
        </w:tc>
        <w:tc>
          <w:tcPr>
            <w:tcW w:w="280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Canonical cargo-receptor/adaptor function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 xml:space="preserve">Cargo selectivity plus physical bridging to the </w:t>
            </w:r>
            <w:proofErr w:type="spellStart"/>
            <w:r w:rsidRPr="00662F85">
              <w:rPr>
                <w:rFonts w:eastAsia="Times New Roman"/>
                <w:sz w:val="14"/>
              </w:rPr>
              <w:t>autophagic</w:t>
            </w:r>
            <w:proofErr w:type="spellEnd"/>
            <w:r w:rsidRPr="00662F85">
              <w:rPr>
                <w:rFonts w:eastAsia="Times New Roman"/>
                <w:sz w:val="14"/>
              </w:rPr>
              <w:t xml:space="preserve"> membrane; current 14-3-3ζ evidence does not meet this standard</w:t>
            </w:r>
          </w:p>
        </w:tc>
      </w:tr>
      <w:tr w:rsidR="00EB4A96" w:rsidTr="00AC44CD">
        <w:trPr>
          <w:jc w:val="center"/>
        </w:trPr>
        <w:tc>
          <w:tcPr>
            <w:tcW w:w="2951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Does 14-3-3ζ regulate biomolecular condensation or spatial partitioning?</w:t>
            </w:r>
          </w:p>
        </w:tc>
        <w:tc>
          <w:tcPr>
            <w:tcW w:w="352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 xml:space="preserve">Endogenous live-cell imaging, </w:t>
            </w:r>
            <w:r>
              <w:rPr>
                <w:rFonts w:hint="eastAsia"/>
                <w:sz w:val="14"/>
              </w:rPr>
              <w:t>f</w:t>
            </w:r>
            <w:r w:rsidRPr="00673955">
              <w:rPr>
                <w:rFonts w:eastAsia="Times New Roman"/>
                <w:sz w:val="14"/>
              </w:rPr>
              <w:t xml:space="preserve">luorescence recovery after </w:t>
            </w:r>
            <w:proofErr w:type="spellStart"/>
            <w:r w:rsidRPr="00673955">
              <w:rPr>
                <w:rFonts w:eastAsia="Times New Roman"/>
                <w:sz w:val="14"/>
              </w:rPr>
              <w:t>photobleaching</w:t>
            </w:r>
            <w:proofErr w:type="spellEnd"/>
            <w:r w:rsidRPr="00662F85">
              <w:rPr>
                <w:rFonts w:eastAsia="Times New Roman"/>
                <w:sz w:val="14"/>
              </w:rPr>
              <w:t xml:space="preserve">, partition coefficients, YWHAZ </w:t>
            </w:r>
            <w:r w:rsidRPr="00A01EAA">
              <w:rPr>
                <w:rFonts w:eastAsia="Times New Roman" w:hint="eastAsia"/>
                <w:sz w:val="14"/>
              </w:rPr>
              <w:t>k</w:t>
            </w:r>
            <w:r w:rsidRPr="00A01EAA">
              <w:rPr>
                <w:rFonts w:eastAsia="Times New Roman"/>
                <w:sz w:val="14"/>
              </w:rPr>
              <w:t>nockout</w:t>
            </w:r>
            <w:r w:rsidRPr="00662F85">
              <w:rPr>
                <w:rFonts w:eastAsia="Times New Roman"/>
                <w:sz w:val="14"/>
              </w:rPr>
              <w:t xml:space="preserve"> /rescue, dimerization/</w:t>
            </w:r>
            <w:proofErr w:type="spellStart"/>
            <w:r w:rsidRPr="00662F85">
              <w:rPr>
                <w:rFonts w:eastAsia="Times New Roman"/>
                <w:sz w:val="14"/>
              </w:rPr>
              <w:t>phosphosite</w:t>
            </w:r>
            <w:proofErr w:type="spellEnd"/>
            <w:r w:rsidRPr="00662F85">
              <w:rPr>
                <w:rFonts w:eastAsia="Times New Roman"/>
                <w:sz w:val="14"/>
              </w:rPr>
              <w:t xml:space="preserve"> mutants</w:t>
            </w:r>
          </w:p>
        </w:tc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Reproducible changes in condensate entry, retention, exit or material properties</w:t>
            </w:r>
          </w:p>
        </w:tc>
        <w:tc>
          <w:tcPr>
            <w:tcW w:w="280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Spatial/biophysical regulation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45012F">
              <w:rPr>
                <w:rFonts w:eastAsia="Times New Roman"/>
                <w:sz w:val="14"/>
              </w:rPr>
              <w:t>Spatial/biophysical regulation — ζ-demonstrated involvement plus client-specific perturbation; family-level precedent alone is insufficient</w:t>
            </w:r>
          </w:p>
        </w:tc>
      </w:tr>
      <w:tr w:rsidR="00EB4A96" w:rsidTr="00AC44CD">
        <w:trPr>
          <w:jc w:val="center"/>
        </w:trPr>
        <w:tc>
          <w:tcPr>
            <w:tcW w:w="2951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Does spatial partitioning alter degradation access?</w:t>
            </w:r>
          </w:p>
        </w:tc>
        <w:tc>
          <w:tcPr>
            <w:tcW w:w="352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Combine condensate imaging with E3 localization, client ubiquitination and half-life measurements</w:t>
            </w:r>
          </w:p>
        </w:tc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Partitioning correlates causally with E3 access and turnover</w:t>
            </w:r>
          </w:p>
        </w:tc>
        <w:tc>
          <w:tcPr>
            <w:tcW w:w="280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Spatially regulated protein fate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Classification as ubiquitin escape additionally requires reduced E3 engagement and ubiquitination</w:t>
            </w:r>
          </w:p>
        </w:tc>
      </w:tr>
      <w:tr w:rsidR="00EB4A96" w:rsidTr="00AC44CD">
        <w:trPr>
          <w:jc w:val="center"/>
        </w:trPr>
        <w:tc>
          <w:tcPr>
            <w:tcW w:w="2951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lastRenderedPageBreak/>
              <w:t>Can the disease-driving 14-3-3ζ–client interface be selectively disrupted?</w:t>
            </w:r>
          </w:p>
        </w:tc>
        <w:tc>
          <w:tcPr>
            <w:tcW w:w="352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proofErr w:type="spellStart"/>
            <w:r w:rsidRPr="00662F85">
              <w:rPr>
                <w:rFonts w:eastAsia="Times New Roman"/>
                <w:sz w:val="14"/>
              </w:rPr>
              <w:t>NanoBRET</w:t>
            </w:r>
            <w:proofErr w:type="spellEnd"/>
            <w:r w:rsidRPr="00662F85">
              <w:rPr>
                <w:rFonts w:eastAsia="Times New Roman"/>
                <w:sz w:val="14"/>
              </w:rPr>
              <w:t>/</w:t>
            </w:r>
            <w:proofErr w:type="spellStart"/>
            <w:r w:rsidRPr="00673955">
              <w:rPr>
                <w:rFonts w:eastAsia="Times New Roman"/>
                <w:sz w:val="14"/>
              </w:rPr>
              <w:t>Förster</w:t>
            </w:r>
            <w:proofErr w:type="spellEnd"/>
            <w:r w:rsidRPr="00673955">
              <w:rPr>
                <w:rFonts w:eastAsia="Times New Roman"/>
                <w:sz w:val="14"/>
              </w:rPr>
              <w:t xml:space="preserve"> resonance energy transfer</w:t>
            </w:r>
            <w:r w:rsidRPr="00662F85">
              <w:rPr>
                <w:rFonts w:eastAsia="Times New Roman"/>
                <w:sz w:val="14"/>
              </w:rPr>
              <w:t xml:space="preserve">, co-IP, </w:t>
            </w:r>
            <w:proofErr w:type="spellStart"/>
            <w:r w:rsidRPr="00662F85">
              <w:rPr>
                <w:rFonts w:eastAsia="Times New Roman"/>
                <w:sz w:val="14"/>
              </w:rPr>
              <w:t>phosphopeptide</w:t>
            </w:r>
            <w:proofErr w:type="spellEnd"/>
            <w:r w:rsidRPr="00662F85">
              <w:rPr>
                <w:rFonts w:eastAsia="Times New Roman"/>
                <w:sz w:val="14"/>
              </w:rPr>
              <w:t xml:space="preserve"> competition, macrocycles, fragment screening, structural assays</w:t>
            </w:r>
          </w:p>
        </w:tc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Selective loss of the target 14-3-3ζ–client interaction</w:t>
            </w:r>
          </w:p>
        </w:tc>
        <w:tc>
          <w:tcPr>
            <w:tcW w:w="280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Interface-selective therapeutic potential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Phenotype reversal plus preservation of unrelated 14-3-3 interactions</w:t>
            </w:r>
          </w:p>
        </w:tc>
      </w:tr>
      <w:tr w:rsidR="00EB4A96" w:rsidTr="00AC44CD">
        <w:trPr>
          <w:jc w:val="center"/>
        </w:trPr>
        <w:tc>
          <w:tcPr>
            <w:tcW w:w="2951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Can a functionally suppressive 14-3-3 interaction be selectively stabilized?</w:t>
            </w:r>
          </w:p>
        </w:tc>
        <w:tc>
          <w:tcPr>
            <w:tcW w:w="352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PPI-stabilizer screening, ternary-complex structural analysis</w:t>
            </w:r>
          </w:p>
        </w:tc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Increased target complex occupancy and reduced oncogenic client activity</w:t>
            </w:r>
          </w:p>
        </w:tc>
        <w:tc>
          <w:tcPr>
            <w:tcW w:w="280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PPI stabilization/molecular-glue strategy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Phenotypic effect must depend on stabilization of the target complex rather than global 14-3-3 activation</w:t>
            </w:r>
          </w:p>
        </w:tc>
      </w:tr>
      <w:tr w:rsidR="00EB4A96" w:rsidTr="00AC44CD">
        <w:trPr>
          <w:jc w:val="center"/>
        </w:trPr>
        <w:tc>
          <w:tcPr>
            <w:tcW w:w="2951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Can E3–substrate engagement be pharmacologically restored?</w:t>
            </w:r>
          </w:p>
        </w:tc>
        <w:tc>
          <w:tcPr>
            <w:tcW w:w="352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E3–substrate interaction enhancers, ternary assays, ubiquitination and degradation measurements</w:t>
            </w:r>
          </w:p>
        </w:tc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E3 binding, ubiquitination and degradation increase</w:t>
            </w:r>
          </w:p>
        </w:tc>
        <w:tc>
          <w:tcPr>
            <w:tcW w:w="280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E3 re-engagement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Dependence on the cognate E3 plus reversal of the 14-3-3ζ-associated resistant state</w:t>
            </w:r>
          </w:p>
        </w:tc>
      </w:tr>
      <w:tr w:rsidR="00EB4A96" w:rsidTr="00AC44CD">
        <w:trPr>
          <w:jc w:val="center"/>
        </w:trPr>
        <w:tc>
          <w:tcPr>
            <w:tcW w:w="2951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 xml:space="preserve">Can </w:t>
            </w:r>
            <w:proofErr w:type="spellStart"/>
            <w:r w:rsidRPr="00662F85">
              <w:rPr>
                <w:rFonts w:eastAsia="Times New Roman"/>
                <w:sz w:val="14"/>
              </w:rPr>
              <w:t>phosphoclient</w:t>
            </w:r>
            <w:proofErr w:type="spellEnd"/>
            <w:r w:rsidRPr="00662F85">
              <w:rPr>
                <w:rFonts w:eastAsia="Times New Roman"/>
                <w:sz w:val="14"/>
              </w:rPr>
              <w:t xml:space="preserve"> recognition be redirected toward targeted degradation?</w:t>
            </w:r>
          </w:p>
        </w:tc>
        <w:tc>
          <w:tcPr>
            <w:tcW w:w="352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Engineered E3 recruitment or degrader systems</w:t>
            </w:r>
          </w:p>
        </w:tc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 xml:space="preserve">Selective ubiquitination/degradation of target </w:t>
            </w:r>
            <w:proofErr w:type="spellStart"/>
            <w:r w:rsidRPr="00662F85">
              <w:rPr>
                <w:rFonts w:eastAsia="Times New Roman"/>
                <w:sz w:val="14"/>
              </w:rPr>
              <w:t>phosphoclient</w:t>
            </w:r>
            <w:proofErr w:type="spellEnd"/>
          </w:p>
        </w:tc>
        <w:tc>
          <w:tcPr>
            <w:tcW w:w="280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Induced degradation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Confirm target selectivity, E3 dependence and functional reversal</w:t>
            </w:r>
          </w:p>
        </w:tc>
      </w:tr>
      <w:tr w:rsidR="00EB4A96" w:rsidTr="00AC44CD">
        <w:trPr>
          <w:jc w:val="center"/>
        </w:trPr>
        <w:tc>
          <w:tcPr>
            <w:tcW w:w="2951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Is YWHAZ/14-3-3ζ dependency present in physiologically relevant models?</w:t>
            </w:r>
          </w:p>
        </w:tc>
        <w:tc>
          <w:tcPr>
            <w:tcW w:w="352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 xml:space="preserve">YWHAZ perturbation plus client rescue in organoids, tumor slices, </w:t>
            </w:r>
            <w:r w:rsidRPr="00B1369F">
              <w:rPr>
                <w:rFonts w:eastAsia="Times New Roman"/>
                <w:sz w:val="14"/>
              </w:rPr>
              <w:t xml:space="preserve">patient-derived xenograft (PDX) or </w:t>
            </w:r>
            <w:proofErr w:type="spellStart"/>
            <w:r w:rsidRPr="00B1369F">
              <w:rPr>
                <w:rFonts w:eastAsia="Times New Roman"/>
                <w:sz w:val="14"/>
              </w:rPr>
              <w:t>orthotopic</w:t>
            </w:r>
            <w:proofErr w:type="spellEnd"/>
            <w:r w:rsidRPr="00B1369F">
              <w:rPr>
                <w:rFonts w:eastAsia="Times New Roman"/>
                <w:sz w:val="14"/>
              </w:rPr>
              <w:t xml:space="preserve"> models</w:t>
            </w:r>
          </w:p>
        </w:tc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Loss and rescue of survival, invasion or treatment resistance</w:t>
            </w:r>
          </w:p>
        </w:tc>
        <w:tc>
          <w:tcPr>
            <w:tcW w:w="280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Functional YWHAZ/14-3-3ζ dependency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Expression alone is insufficient; genetic or pharmacologic dependency plus rescue is required</w:t>
            </w:r>
          </w:p>
        </w:tc>
      </w:tr>
      <w:tr w:rsidR="00EB4A96" w:rsidTr="00AC44CD">
        <w:trPr>
          <w:jc w:val="center"/>
        </w:trPr>
        <w:tc>
          <w:tcPr>
            <w:tcW w:w="2951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Can a clinically meaningful biomarker module be defined?</w:t>
            </w:r>
          </w:p>
        </w:tc>
        <w:tc>
          <w:tcPr>
            <w:tcW w:w="352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 xml:space="preserve">Treatment-annotated samples integrating YWHAZ expression, 14-3-3ζ abundance, client </w:t>
            </w:r>
            <w:proofErr w:type="spellStart"/>
            <w:r w:rsidRPr="00662F85">
              <w:rPr>
                <w:rFonts w:eastAsia="Times New Roman"/>
                <w:sz w:val="14"/>
              </w:rPr>
              <w:t>phosphosite</w:t>
            </w:r>
            <w:proofErr w:type="spellEnd"/>
            <w:r w:rsidRPr="00662F85">
              <w:rPr>
                <w:rFonts w:eastAsia="Times New Roman"/>
                <w:sz w:val="14"/>
              </w:rPr>
              <w:t>, interaction occupancy and E3 status</w:t>
            </w:r>
          </w:p>
        </w:tc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Composite module associates with treatment response</w:t>
            </w:r>
          </w:p>
        </w:tc>
        <w:tc>
          <w:tcPr>
            <w:tcW w:w="280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Translational candidate biomarker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EB4A96" w:rsidRPr="00662F85" w:rsidRDefault="00EB4A96" w:rsidP="00AC44CD">
            <w:pPr>
              <w:rPr>
                <w:rFonts w:eastAsia="Times New Roman"/>
                <w:sz w:val="14"/>
              </w:rPr>
            </w:pPr>
            <w:r w:rsidRPr="00662F85">
              <w:rPr>
                <w:rFonts w:eastAsia="Times New Roman"/>
                <w:sz w:val="14"/>
              </w:rPr>
              <w:t>Requires independent validation; YWHAZ expression or 14-3-3ζ abundance alone is insufficient</w:t>
            </w:r>
          </w:p>
        </w:tc>
      </w:tr>
    </w:tbl>
    <w:p w:rsidR="00EB4A96" w:rsidRPr="00C85218" w:rsidRDefault="00EB4A96" w:rsidP="00EB4A96">
      <w:pPr>
        <w:rPr>
          <w:rFonts w:ascii="Times New Roman" w:hAnsi="Times New Roman" w:cs="Times New Roman"/>
          <w:sz w:val="24"/>
        </w:rPr>
        <w:sectPr w:rsidR="00EB4A96" w:rsidRPr="00C85218" w:rsidSect="00DC75F0">
          <w:pgSz w:w="16834" w:h="11909" w:orient="landscape"/>
          <w:pgMar w:top="864" w:right="792" w:bottom="864" w:left="792" w:header="720" w:footer="720" w:gutter="0"/>
          <w:cols w:space="720"/>
        </w:sectPr>
      </w:pPr>
      <w:bookmarkStart w:id="0" w:name="_GoBack"/>
      <w:bookmarkEnd w:id="0"/>
    </w:p>
    <w:p w:rsidR="0071147F" w:rsidRDefault="00EB4A96"/>
    <w:sectPr w:rsidR="007114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A96"/>
    <w:rsid w:val="004B226B"/>
    <w:rsid w:val="00523442"/>
    <w:rsid w:val="00667E19"/>
    <w:rsid w:val="00670FFF"/>
    <w:rsid w:val="00705C09"/>
    <w:rsid w:val="007E13B4"/>
    <w:rsid w:val="007E4A67"/>
    <w:rsid w:val="008A42C6"/>
    <w:rsid w:val="00945D06"/>
    <w:rsid w:val="00BB3F84"/>
    <w:rsid w:val="00EB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A96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A96"/>
    <w:pPr>
      <w:spacing w:after="0" w:line="240" w:lineRule="auto"/>
    </w:pPr>
    <w:rPr>
      <w:rFonts w:ascii="Times New Roman" w:eastAsia="SimSun" w:hAnsi="Times New Roman" w:cs="Times New Roman"/>
      <w:kern w:val="2"/>
      <w:sz w:val="20"/>
      <w:szCs w:val="20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A96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A96"/>
    <w:pPr>
      <w:spacing w:after="0" w:line="240" w:lineRule="auto"/>
    </w:pPr>
    <w:rPr>
      <w:rFonts w:ascii="Times New Roman" w:eastAsia="SimSun" w:hAnsi="Times New Roman" w:cs="Times New Roman"/>
      <w:kern w:val="2"/>
      <w:sz w:val="20"/>
      <w:szCs w:val="20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1331</Words>
  <Characters>7592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 Mae Hantoc</dc:creator>
  <cp:lastModifiedBy>Apple Mae Hantoc</cp:lastModifiedBy>
  <cp:revision>1</cp:revision>
  <dcterms:created xsi:type="dcterms:W3CDTF">2026-09-28T04:29:00Z</dcterms:created>
  <dcterms:modified xsi:type="dcterms:W3CDTF">2026-09-28T04:29:00Z</dcterms:modified>
</cp:coreProperties>
</file>