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26" w:rsidRPr="005A049B" w:rsidRDefault="007F4E26" w:rsidP="00517F2E">
      <w:pP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Additional F</w:t>
      </w:r>
      <w:r w:rsidRPr="005A049B">
        <w:rPr>
          <w:b/>
          <w:color w:val="000000"/>
          <w:sz w:val="22"/>
          <w:szCs w:val="22"/>
        </w:rPr>
        <w:t>ile 2: Definitions of PROGRESS-Plus factors*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3394"/>
        <w:gridCol w:w="4323"/>
      </w:tblGrid>
      <w:tr w:rsidR="007F4E26" w:rsidRPr="005A049B" w:rsidTr="005A049B">
        <w:trPr>
          <w:cantSplit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4E26" w:rsidRPr="005A049B" w:rsidRDefault="007F4E26" w:rsidP="00517F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049B">
              <w:rPr>
                <w:b/>
                <w:color w:val="000000"/>
                <w:sz w:val="22"/>
                <w:szCs w:val="22"/>
              </w:rPr>
              <w:t>PROGESS - Plus 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4E26" w:rsidRPr="005A049B" w:rsidRDefault="007F4E26" w:rsidP="00517F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049B">
              <w:rPr>
                <w:b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4E26" w:rsidRPr="005A049B" w:rsidRDefault="007F4E26" w:rsidP="00517F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049B">
              <w:rPr>
                <w:b/>
                <w:color w:val="000000"/>
                <w:sz w:val="22"/>
                <w:szCs w:val="22"/>
              </w:rPr>
              <w:t>Example of measures</w:t>
            </w:r>
          </w:p>
        </w:tc>
      </w:tr>
      <w:tr w:rsidR="007F4E26" w:rsidRPr="005A049B" w:rsidTr="005A049B">
        <w:trPr>
          <w:cantSplit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Place of residence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Locations in which individuals reside or perceptions of their location.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E.g. urban/rural/ inner-city classifications, perceptions of the local environment (e.g. the Neighbourhood Environment Walkability Scale)</w:t>
            </w:r>
            <w:r w:rsidRPr="005A049B">
              <w:rPr>
                <w:bCs/>
                <w:noProof/>
                <w:color w:val="000000"/>
                <w:sz w:val="22"/>
                <w:szCs w:val="22"/>
              </w:rPr>
              <w:t>[1]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Self-identified racial or ethnic group or other classifications of culture or language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 w:rsidRPr="005A049B">
              <w:rPr>
                <w:bCs/>
                <w:color w:val="000000"/>
                <w:sz w:val="22"/>
                <w:szCs w:val="22"/>
              </w:rPr>
              <w:t xml:space="preserve"> This includes nationality status (e.g. refugee or migrant).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E.g. racial or ethnic group classifications (white/mixed or multiple ethnicity/ asian/black/other),</w:t>
            </w:r>
            <w:r w:rsidRPr="005A049B">
              <w:rPr>
                <w:rFonts w:cs="Calibri"/>
                <w:bCs/>
                <w:sz w:val="22"/>
                <w:szCs w:val="22"/>
                <w:lang w:eastAsia="ko-KR"/>
              </w:rPr>
              <w:t xml:space="preserve"> </w:t>
            </w:r>
            <w:r w:rsidRPr="005A049B">
              <w:rPr>
                <w:bCs/>
                <w:color w:val="000000"/>
                <w:sz w:val="22"/>
                <w:szCs w:val="22"/>
              </w:rPr>
              <w:t xml:space="preserve">mother tongue or country of origin </w:t>
            </w: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Occupation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 xml:space="preserve">Occupational situation, patterns of work or features of the working environment 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 xml:space="preserve">E.g. unemployed/employed/retired, manual or non-manual work, full-time or part-time employment, graded hierarchies measuring occupational status or prestige 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t xml:space="preserve">Sex refers to the biological and physiological characteristics that differentiate men and women. </w:t>
            </w:r>
          </w:p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t xml:space="preserve">Self-identified gender incorporates ideas </w:t>
            </w:r>
            <w:r>
              <w:rPr>
                <w:bCs/>
                <w:sz w:val="22"/>
                <w:szCs w:val="22"/>
              </w:rPr>
              <w:t>around</w:t>
            </w:r>
            <w:r w:rsidRPr="005A049B">
              <w:rPr>
                <w:bCs/>
                <w:sz w:val="22"/>
                <w:szCs w:val="22"/>
              </w:rPr>
              <w:t xml:space="preserve"> socially constructed roles or differences in behaviour attributed to men and women</w:t>
            </w:r>
            <w:r w:rsidRPr="005A049B">
              <w:rPr>
                <w:bCs/>
                <w:noProof/>
                <w:sz w:val="22"/>
                <w:szCs w:val="22"/>
              </w:rPr>
              <w:t>[2]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E.g. male or female classifications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Religion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A049B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t>An individuals’ religious affiliation or system of religious or spiritual beliefs or values</w:t>
            </w:r>
            <w:r w:rsidRPr="005A049B">
              <w:rPr>
                <w:bCs/>
                <w:noProof/>
                <w:sz w:val="22"/>
                <w:szCs w:val="22"/>
              </w:rPr>
              <w:t>[3]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E.g. Self-reported religious denomination, details of belief systems or values held, religious activities engaged in or attendance at religious institutions</w:t>
            </w:r>
            <w:r w:rsidRPr="005A049B">
              <w:rPr>
                <w:bCs/>
                <w:noProof/>
                <w:color w:val="000000"/>
                <w:sz w:val="22"/>
                <w:szCs w:val="22"/>
              </w:rPr>
              <w:t>[4]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Self-reported extent and type of schooling, education or other formal training or learning undertaken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E.g. number of years in full-time education, educational attainment or qualifications achieved, institutions attended (e.g. high school/some college/college graduate/university)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Social capital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t>A multifaceted concept capturing the obligations and benefits conferred upon an individual by their society and social relationships. This can be seen as a measure of interconnectedness between an individual and their social surroundings or group</w:t>
            </w:r>
            <w:r w:rsidRPr="005A049B">
              <w:rPr>
                <w:bCs/>
                <w:noProof/>
                <w:sz w:val="22"/>
                <w:szCs w:val="22"/>
              </w:rPr>
              <w:t>[5]</w:t>
            </w:r>
            <w:r w:rsidRPr="005A049B">
              <w:rPr>
                <w:bCs/>
                <w:sz w:val="22"/>
                <w:szCs w:val="22"/>
              </w:rPr>
              <w:t xml:space="preserve"> 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E.g. perceptions of </w:t>
            </w:r>
            <w:r w:rsidRPr="005A049B">
              <w:rPr>
                <w:bCs/>
                <w:color w:val="000000"/>
                <w:sz w:val="22"/>
                <w:szCs w:val="22"/>
              </w:rPr>
              <w:t xml:space="preserve">social norms surrounding trust or reciprocity, social support (e.g. marital or living status, household size, social support from friends, family or relevant others), social networks, civic participation or group membership. 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lastRenderedPageBreak/>
              <w:t>Socio-economic status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A049B">
            <w:pPr>
              <w:rPr>
                <w:bCs/>
                <w:sz w:val="22"/>
                <w:szCs w:val="22"/>
              </w:rPr>
            </w:pPr>
            <w:r w:rsidRPr="005A049B">
              <w:rPr>
                <w:rFonts w:cs="Arial"/>
                <w:bCs/>
                <w:sz w:val="22"/>
                <w:szCs w:val="22"/>
                <w:shd w:val="clear" w:color="auto" w:fill="FFFFFF"/>
              </w:rPr>
              <w:t xml:space="preserve">An individual’s position within a hierarchical social </w:t>
            </w:r>
            <w:proofErr w:type="gramStart"/>
            <w:r w:rsidRPr="005A049B">
              <w:rPr>
                <w:rFonts w:cs="Arial"/>
                <w:bCs/>
                <w:sz w:val="22"/>
                <w:szCs w:val="22"/>
                <w:shd w:val="clear" w:color="auto" w:fill="FFFFFF"/>
              </w:rPr>
              <w:t>structure</w:t>
            </w:r>
            <w:r w:rsidRPr="005A049B">
              <w:rPr>
                <w:rFonts w:cs="Arial"/>
                <w:bCs/>
                <w:noProof/>
                <w:sz w:val="22"/>
                <w:szCs w:val="22"/>
                <w:shd w:val="clear" w:color="auto" w:fill="FFFFFF"/>
              </w:rPr>
              <w:t>[</w:t>
            </w:r>
            <w:proofErr w:type="gramEnd"/>
            <w:r w:rsidRPr="005A049B">
              <w:rPr>
                <w:rFonts w:cs="Arial"/>
                <w:bCs/>
                <w:noProof/>
                <w:sz w:val="22"/>
                <w:szCs w:val="22"/>
                <w:shd w:val="clear" w:color="auto" w:fill="FFFFFF"/>
              </w:rPr>
              <w:t>6]</w:t>
            </w:r>
            <w:r>
              <w:rPr>
                <w:rFonts w:cs="Arial"/>
                <w:bCs/>
                <w:sz w:val="22"/>
                <w:szCs w:val="22"/>
                <w:shd w:val="clear" w:color="auto" w:fill="FFFFFF"/>
              </w:rPr>
              <w:t>.</w:t>
            </w:r>
            <w:r w:rsidRPr="005A049B">
              <w:rPr>
                <w:rFonts w:cs="Arial"/>
                <w:bCs/>
                <w:sz w:val="22"/>
                <w:szCs w:val="22"/>
                <w:shd w:val="clear" w:color="auto" w:fill="FFFFFF"/>
              </w:rPr>
              <w:t xml:space="preserve"> Measures of socio-economic status aim to capture access to resources, privilege, power or control.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E.g. poverty level, income (continuous level or proportion falling in</w:t>
            </w:r>
            <w:r>
              <w:rPr>
                <w:bCs/>
                <w:color w:val="000000"/>
                <w:sz w:val="22"/>
                <w:szCs w:val="22"/>
              </w:rPr>
              <w:t>to</w:t>
            </w:r>
            <w:r w:rsidRPr="005A049B">
              <w:rPr>
                <w:bCs/>
                <w:color w:val="000000"/>
                <w:sz w:val="22"/>
                <w:szCs w:val="22"/>
              </w:rPr>
              <w:t xml:space="preserve"> income brackets), asset-based measures such as car ownership or housing tenure, receipt of MEDICAID or other forms of state welfare or health payment assistance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Self-reported age in years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E.g. mean or median age of a study sample or proportions falling in age brackets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t>Disability</w:t>
            </w:r>
          </w:p>
        </w:tc>
        <w:tc>
          <w:tcPr>
            <w:tcW w:w="0" w:type="auto"/>
            <w:shd w:val="clear" w:color="auto" w:fill="auto"/>
          </w:tcPr>
          <w:p w:rsidR="007F4E26" w:rsidRPr="007F4E26" w:rsidRDefault="007F4E26" w:rsidP="00517F2E">
            <w:pPr>
              <w:rPr>
                <w:bCs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t>A term incorporating ideas surrounding impairment, activity limitation and restrictions on ability to participate in certain life situations. Disability can be both mental and physical.</w:t>
            </w:r>
            <w:r>
              <w:rPr>
                <w:bCs/>
                <w:noProof/>
                <w:sz w:val="22"/>
                <w:szCs w:val="22"/>
              </w:rPr>
              <w:t>[7]</w:t>
            </w:r>
          </w:p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</w:p>
          <w:p w:rsidR="007F4E26" w:rsidRPr="005A049B" w:rsidRDefault="007F4E26" w:rsidP="00517F2E">
            <w:pPr>
              <w:rPr>
                <w:bCs/>
                <w:i/>
                <w:iCs/>
                <w:sz w:val="22"/>
                <w:szCs w:val="22"/>
              </w:rPr>
            </w:pPr>
            <w:r w:rsidRPr="005A049B">
              <w:rPr>
                <w:bCs/>
                <w:i/>
                <w:iCs/>
                <w:sz w:val="22"/>
                <w:szCs w:val="22"/>
              </w:rPr>
              <w:t>NB: medical contraindications to exercise or other health conditions are not considered as a disability unless authors specifically note that such conditions are functionally limiting, disability or causing impairment.</w:t>
            </w:r>
          </w:p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  <w:r w:rsidRPr="005A049B">
              <w:rPr>
                <w:bCs/>
                <w:sz w:val="22"/>
                <w:szCs w:val="22"/>
              </w:rPr>
              <w:t xml:space="preserve">E.g. measures of functioning, health status or quality of life (e.g. </w:t>
            </w:r>
            <w:proofErr w:type="spellStart"/>
            <w:r w:rsidRPr="005A049B">
              <w:rPr>
                <w:bCs/>
                <w:sz w:val="22"/>
                <w:szCs w:val="22"/>
              </w:rPr>
              <w:t>EuroQol</w:t>
            </w:r>
            <w:proofErr w:type="spellEnd"/>
            <w:r w:rsidRPr="005A049B">
              <w:rPr>
                <w:bCs/>
                <w:sz w:val="22"/>
                <w:szCs w:val="22"/>
              </w:rPr>
              <w:t xml:space="preserve"> or the SF-36),</w:t>
            </w:r>
            <w:r w:rsidRPr="005A049B">
              <w:rPr>
                <w:bCs/>
                <w:noProof/>
                <w:sz w:val="22"/>
                <w:szCs w:val="22"/>
              </w:rPr>
              <w:t>[8]</w:t>
            </w:r>
            <w:r w:rsidRPr="005A049B">
              <w:rPr>
                <w:bCs/>
                <w:sz w:val="22"/>
                <w:szCs w:val="22"/>
              </w:rPr>
              <w:t xml:space="preserve">  physical tests of function (e.g. the walk test), or other indicators or disability (e.g. wheelchair bound)</w:t>
            </w:r>
          </w:p>
          <w:p w:rsidR="007F4E26" w:rsidRPr="005A049B" w:rsidRDefault="007F4E26" w:rsidP="00517F2E">
            <w:pPr>
              <w:rPr>
                <w:bCs/>
                <w:sz w:val="22"/>
                <w:szCs w:val="22"/>
              </w:rPr>
            </w:pPr>
          </w:p>
        </w:tc>
      </w:tr>
      <w:tr w:rsidR="007F4E26" w:rsidRPr="005A049B" w:rsidTr="005A049B">
        <w:trPr>
          <w:cantSplit/>
        </w:trPr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  <w:r w:rsidRPr="005A049B">
              <w:rPr>
                <w:bCs/>
                <w:color w:val="000000"/>
                <w:sz w:val="22"/>
                <w:szCs w:val="22"/>
              </w:rPr>
              <w:t>Sexual orientation</w:t>
            </w: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rFonts w:cs="Arial"/>
                <w:bCs/>
                <w:sz w:val="22"/>
                <w:szCs w:val="22"/>
              </w:rPr>
            </w:pPr>
            <w:r w:rsidRPr="005A049B">
              <w:rPr>
                <w:rFonts w:cs="Arial"/>
                <w:bCs/>
                <w:sz w:val="22"/>
                <w:szCs w:val="22"/>
              </w:rPr>
              <w:t>Self-reported sex towards which an individual feels attraction</w:t>
            </w:r>
            <w:r>
              <w:rPr>
                <w:rFonts w:cs="Arial"/>
                <w:bCs/>
                <w:sz w:val="22"/>
                <w:szCs w:val="22"/>
              </w:rPr>
              <w:t xml:space="preserve"> or self-defined sexual identity</w:t>
            </w:r>
            <w:r w:rsidRPr="005A049B">
              <w:rPr>
                <w:rFonts w:cs="Arial"/>
                <w:bCs/>
                <w:noProof/>
                <w:sz w:val="22"/>
                <w:szCs w:val="22"/>
              </w:rPr>
              <w:t>[9]</w:t>
            </w:r>
          </w:p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7F4E26" w:rsidRPr="005A049B" w:rsidRDefault="007F4E26" w:rsidP="00517F2E">
            <w:pPr>
              <w:rPr>
                <w:bCs/>
                <w:color w:val="000000"/>
                <w:sz w:val="22"/>
                <w:szCs w:val="22"/>
                <w:lang w:val="fr-FR"/>
              </w:rPr>
            </w:pPr>
            <w:r>
              <w:rPr>
                <w:bCs/>
                <w:color w:val="000000"/>
                <w:sz w:val="22"/>
                <w:szCs w:val="22"/>
                <w:lang w:val="fr-FR"/>
              </w:rPr>
              <w:t>E</w:t>
            </w:r>
            <w:r w:rsidRPr="005A049B">
              <w:rPr>
                <w:bCs/>
                <w:color w:val="000000"/>
                <w:sz w:val="22"/>
                <w:szCs w:val="22"/>
                <w:lang w:val="fr-FR"/>
              </w:rPr>
              <w:t>.g. hetero- /homo- /bi- /transsexual classifications</w:t>
            </w:r>
          </w:p>
        </w:tc>
      </w:tr>
    </w:tbl>
    <w:p w:rsidR="007F4E26" w:rsidRDefault="007F4E26" w:rsidP="00517F2E">
      <w:pPr>
        <w:ind w:left="360"/>
        <w:rPr>
          <w:sz w:val="22"/>
          <w:szCs w:val="22"/>
          <w:lang w:val="fr-FR"/>
        </w:rPr>
      </w:pPr>
    </w:p>
    <w:p w:rsidR="007F4E26" w:rsidRDefault="007F4E26" w:rsidP="00517F2E">
      <w:pPr>
        <w:rPr>
          <w:color w:val="000000"/>
          <w:sz w:val="22"/>
          <w:szCs w:val="22"/>
          <w:vertAlign w:val="superscript"/>
        </w:rPr>
      </w:pPr>
      <w:r w:rsidRPr="00517F2E">
        <w:rPr>
          <w:color w:val="000000"/>
          <w:sz w:val="22"/>
          <w:szCs w:val="22"/>
          <w:vertAlign w:val="superscript"/>
        </w:rPr>
        <w:t>*We acknowledge that the definitions and measures within this table are not exhaustive and include it here to provide an example of the type of data sought and extracted.</w:t>
      </w:r>
    </w:p>
    <w:p w:rsidR="007F4E26" w:rsidRPr="005A049B" w:rsidRDefault="007F4E26" w:rsidP="00517F2E">
      <w:pPr>
        <w:rPr>
          <w:color w:val="000000"/>
          <w:sz w:val="22"/>
          <w:szCs w:val="22"/>
          <w:highlight w:val="yellow"/>
        </w:rPr>
      </w:pPr>
    </w:p>
    <w:p w:rsidR="007F4E26" w:rsidRPr="005D7C31" w:rsidRDefault="007F4E26" w:rsidP="005A049B">
      <w:pPr>
        <w:pStyle w:val="EndNoteBibliographyTitle"/>
        <w:jc w:val="both"/>
        <w:rPr>
          <w:b/>
          <w:sz w:val="20"/>
          <w:szCs w:val="20"/>
        </w:rPr>
      </w:pPr>
      <w:r w:rsidRPr="005D7C31">
        <w:rPr>
          <w:b/>
          <w:sz w:val="20"/>
          <w:szCs w:val="20"/>
        </w:rPr>
        <w:t>References</w:t>
      </w:r>
    </w:p>
    <w:p w:rsidR="007F4E26" w:rsidRPr="005D7C31" w:rsidRDefault="007F4E26" w:rsidP="005A049B">
      <w:pPr>
        <w:pStyle w:val="EndNoteBibliographyTitle"/>
        <w:jc w:val="both"/>
        <w:rPr>
          <w:sz w:val="20"/>
          <w:szCs w:val="20"/>
        </w:rPr>
      </w:pPr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0" w:name="_ENREF_1"/>
      <w:r w:rsidRPr="005D7C31">
        <w:rPr>
          <w:sz w:val="20"/>
          <w:szCs w:val="20"/>
        </w:rPr>
        <w:t>1.</w:t>
      </w:r>
      <w:r w:rsidRPr="005D7C31">
        <w:rPr>
          <w:sz w:val="20"/>
          <w:szCs w:val="20"/>
        </w:rPr>
        <w:tab/>
        <w:t xml:space="preserve">Cerin E, Saelens BE, Sallis JF, et al. Neighborhood Environment Walkability Scale: validity and development of a short form. </w:t>
      </w:r>
      <w:r w:rsidRPr="005D7C31">
        <w:rPr>
          <w:rFonts w:cs="Arial"/>
          <w:i/>
          <w:iCs/>
          <w:color w:val="000000"/>
          <w:sz w:val="20"/>
          <w:szCs w:val="20"/>
          <w:shd w:val="clear" w:color="auto" w:fill="FFFFFF"/>
        </w:rPr>
        <w:t>Med Sci Sports Exerc</w:t>
      </w:r>
      <w:r w:rsidRPr="005D7C31">
        <w:rPr>
          <w:sz w:val="20"/>
          <w:szCs w:val="20"/>
        </w:rPr>
        <w:t xml:space="preserve"> 2006;</w:t>
      </w:r>
      <w:r w:rsidRPr="00D65076">
        <w:rPr>
          <w:b/>
          <w:sz w:val="20"/>
          <w:szCs w:val="20"/>
        </w:rPr>
        <w:t>38</w:t>
      </w:r>
      <w:r w:rsidRPr="005D7C31">
        <w:rPr>
          <w:sz w:val="20"/>
          <w:szCs w:val="20"/>
        </w:rPr>
        <w:t>(9):1682-1691.</w:t>
      </w:r>
      <w:bookmarkEnd w:id="0"/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1" w:name="_ENREF_2"/>
      <w:r w:rsidRPr="005D7C31">
        <w:rPr>
          <w:sz w:val="20"/>
          <w:szCs w:val="20"/>
        </w:rPr>
        <w:t>2.</w:t>
      </w:r>
      <w:r w:rsidRPr="005D7C31">
        <w:rPr>
          <w:sz w:val="20"/>
          <w:szCs w:val="20"/>
        </w:rPr>
        <w:tab/>
        <w:t>Word Health Organisation.</w:t>
      </w:r>
      <w:bookmarkEnd w:id="1"/>
      <w:r w:rsidRPr="005D7C31">
        <w:rPr>
          <w:sz w:val="20"/>
          <w:szCs w:val="20"/>
        </w:rPr>
        <w:t xml:space="preserve"> http://www.euro.who.int/en/health-topics/health-determinants/gender/gender-definitions (2002). </w:t>
      </w:r>
      <w:r w:rsidRPr="00D65076">
        <w:rPr>
          <w:i/>
          <w:sz w:val="20"/>
          <w:szCs w:val="20"/>
        </w:rPr>
        <w:t>Accessed 9 Jun 201</w:t>
      </w:r>
      <w:r w:rsidRPr="005D7C31">
        <w:rPr>
          <w:sz w:val="20"/>
          <w:szCs w:val="20"/>
        </w:rPr>
        <w:t>5.</w:t>
      </w:r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  <w:lang w:val="fr-FR"/>
        </w:rPr>
      </w:pPr>
      <w:bookmarkStart w:id="2" w:name="_ENREF_3"/>
      <w:r w:rsidRPr="005D7C31">
        <w:rPr>
          <w:sz w:val="20"/>
          <w:szCs w:val="20"/>
        </w:rPr>
        <w:t>3.</w:t>
      </w:r>
      <w:r w:rsidRPr="005D7C31">
        <w:rPr>
          <w:sz w:val="20"/>
          <w:szCs w:val="20"/>
        </w:rPr>
        <w:tab/>
        <w:t xml:space="preserve">Koenig  HG. Religion, spirituality, and health: the research and clinical implications. </w:t>
      </w:r>
      <w:r w:rsidRPr="005D7C31">
        <w:rPr>
          <w:i/>
          <w:iCs/>
          <w:sz w:val="20"/>
          <w:szCs w:val="20"/>
        </w:rPr>
        <w:t>ISRN psychiatry</w:t>
      </w:r>
      <w:r w:rsidRPr="005D7C31">
        <w:rPr>
          <w:sz w:val="20"/>
          <w:szCs w:val="20"/>
        </w:rPr>
        <w:t xml:space="preserve"> </w:t>
      </w:r>
      <w:r w:rsidRPr="005D7C31">
        <w:rPr>
          <w:sz w:val="20"/>
          <w:szCs w:val="20"/>
          <w:lang w:val="fr-FR"/>
        </w:rPr>
        <w:t>2012;278730.</w:t>
      </w:r>
      <w:bookmarkEnd w:id="2"/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3" w:name="_ENREF_4"/>
      <w:r w:rsidRPr="005D7C31">
        <w:rPr>
          <w:sz w:val="20"/>
          <w:szCs w:val="20"/>
          <w:lang w:val="fr-FR"/>
        </w:rPr>
        <w:t>4.</w:t>
      </w:r>
      <w:r w:rsidRPr="005D7C31">
        <w:rPr>
          <w:sz w:val="20"/>
          <w:szCs w:val="20"/>
          <w:lang w:val="fr-FR"/>
        </w:rPr>
        <w:tab/>
        <w:t xml:space="preserve">Idler EL, Musick MA, Ellison CG, et al. </w:t>
      </w:r>
      <w:r w:rsidRPr="005D7C31">
        <w:rPr>
          <w:sz w:val="20"/>
          <w:szCs w:val="20"/>
        </w:rPr>
        <w:t xml:space="preserve">Measuring Multiple Dimensions of Religion and Spirituality for Health Research: Conceptual Background and Findings from the 1998 General Social Survey. </w:t>
      </w:r>
      <w:r>
        <w:rPr>
          <w:i/>
          <w:iCs/>
          <w:sz w:val="20"/>
          <w:szCs w:val="20"/>
        </w:rPr>
        <w:t>Res</w:t>
      </w:r>
      <w:r w:rsidRPr="005D7C31">
        <w:rPr>
          <w:i/>
          <w:iCs/>
          <w:sz w:val="20"/>
          <w:szCs w:val="20"/>
        </w:rPr>
        <w:t xml:space="preserve"> Aging</w:t>
      </w:r>
      <w:r w:rsidRPr="005D7C31">
        <w:rPr>
          <w:sz w:val="20"/>
          <w:szCs w:val="20"/>
        </w:rPr>
        <w:t xml:space="preserve"> 2003;</w:t>
      </w:r>
      <w:r w:rsidRPr="00D65076">
        <w:rPr>
          <w:b/>
          <w:sz w:val="20"/>
          <w:szCs w:val="20"/>
        </w:rPr>
        <w:t>25</w:t>
      </w:r>
      <w:r w:rsidRPr="005D7C31">
        <w:rPr>
          <w:sz w:val="20"/>
          <w:szCs w:val="20"/>
        </w:rPr>
        <w:t>(4):327-365.</w:t>
      </w:r>
      <w:bookmarkEnd w:id="3"/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4" w:name="_ENREF_5"/>
      <w:r w:rsidRPr="005D7C31">
        <w:rPr>
          <w:sz w:val="20"/>
          <w:szCs w:val="20"/>
        </w:rPr>
        <w:t>5.</w:t>
      </w:r>
      <w:r w:rsidRPr="005D7C31">
        <w:rPr>
          <w:sz w:val="20"/>
          <w:szCs w:val="20"/>
        </w:rPr>
        <w:tab/>
        <w:t xml:space="preserve">Harpham T, Grant E, Thomas E. Measuring social capital within health surveys: key issues. </w:t>
      </w:r>
      <w:r w:rsidRPr="005D7C31">
        <w:rPr>
          <w:i/>
          <w:iCs/>
          <w:sz w:val="20"/>
          <w:szCs w:val="20"/>
        </w:rPr>
        <w:t>Health Policy Plan</w:t>
      </w:r>
      <w:r w:rsidRPr="005D7C31">
        <w:rPr>
          <w:sz w:val="20"/>
          <w:szCs w:val="20"/>
        </w:rPr>
        <w:t xml:space="preserve"> 2002; </w:t>
      </w:r>
      <w:r w:rsidRPr="00D65076">
        <w:rPr>
          <w:b/>
          <w:sz w:val="20"/>
          <w:szCs w:val="20"/>
        </w:rPr>
        <w:t>17</w:t>
      </w:r>
      <w:r w:rsidRPr="005D7C31">
        <w:rPr>
          <w:sz w:val="20"/>
          <w:szCs w:val="20"/>
        </w:rPr>
        <w:t>(1):106-111.</w:t>
      </w:r>
      <w:bookmarkEnd w:id="4"/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5" w:name="_ENREF_6"/>
      <w:r w:rsidRPr="005D7C31">
        <w:rPr>
          <w:sz w:val="20"/>
          <w:szCs w:val="20"/>
        </w:rPr>
        <w:t>6.</w:t>
      </w:r>
      <w:r w:rsidRPr="005D7C31">
        <w:rPr>
          <w:sz w:val="20"/>
          <w:szCs w:val="20"/>
        </w:rPr>
        <w:tab/>
        <w:t xml:space="preserve">Braveman PA, Cubbin C, Egerter S et al. Socioeconomic status in health research: one size does not fit all. </w:t>
      </w:r>
      <w:r w:rsidRPr="005D7C31">
        <w:rPr>
          <w:i/>
          <w:iCs/>
          <w:sz w:val="20"/>
          <w:szCs w:val="20"/>
        </w:rPr>
        <w:t>J</w:t>
      </w:r>
      <w:r>
        <w:rPr>
          <w:i/>
          <w:iCs/>
          <w:sz w:val="20"/>
          <w:szCs w:val="20"/>
        </w:rPr>
        <w:t xml:space="preserve">AMA </w:t>
      </w:r>
      <w:r w:rsidRPr="005D7C31">
        <w:rPr>
          <w:sz w:val="20"/>
          <w:szCs w:val="20"/>
        </w:rPr>
        <w:t>2005;</w:t>
      </w:r>
      <w:r w:rsidRPr="00D65076">
        <w:rPr>
          <w:b/>
          <w:sz w:val="20"/>
          <w:szCs w:val="20"/>
        </w:rPr>
        <w:t>294</w:t>
      </w:r>
      <w:r w:rsidRPr="005D7C31">
        <w:rPr>
          <w:sz w:val="20"/>
          <w:szCs w:val="20"/>
        </w:rPr>
        <w:t>(22):2879-2888.</w:t>
      </w:r>
      <w:bookmarkEnd w:id="5"/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6" w:name="_ENREF_7"/>
      <w:r w:rsidRPr="005D7C31">
        <w:rPr>
          <w:sz w:val="20"/>
          <w:szCs w:val="20"/>
        </w:rPr>
        <w:t>7.</w:t>
      </w:r>
      <w:r w:rsidRPr="005D7C31">
        <w:rPr>
          <w:sz w:val="20"/>
          <w:szCs w:val="20"/>
        </w:rPr>
        <w:tab/>
      </w:r>
      <w:bookmarkEnd w:id="6"/>
      <w:r w:rsidRPr="005D7C31">
        <w:rPr>
          <w:sz w:val="20"/>
          <w:szCs w:val="20"/>
        </w:rPr>
        <w:t>World Health Organi</w:t>
      </w:r>
      <w:r>
        <w:rPr>
          <w:sz w:val="20"/>
          <w:szCs w:val="20"/>
        </w:rPr>
        <w:t>s</w:t>
      </w:r>
      <w:r w:rsidRPr="005D7C31">
        <w:rPr>
          <w:sz w:val="20"/>
          <w:szCs w:val="20"/>
        </w:rPr>
        <w:t xml:space="preserve">ation. http://www.who.int/topics/disabilities/en/ (2015). </w:t>
      </w:r>
      <w:r w:rsidRPr="00D65076">
        <w:rPr>
          <w:i/>
          <w:sz w:val="20"/>
          <w:szCs w:val="20"/>
        </w:rPr>
        <w:t>Accessed 9 Jun 2015</w:t>
      </w:r>
      <w:r w:rsidRPr="005D7C31">
        <w:rPr>
          <w:sz w:val="20"/>
          <w:szCs w:val="20"/>
        </w:rPr>
        <w:t>.</w:t>
      </w:r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7" w:name="_ENREF_8"/>
      <w:r w:rsidRPr="005D7C31">
        <w:rPr>
          <w:sz w:val="20"/>
          <w:szCs w:val="20"/>
        </w:rPr>
        <w:t>8.</w:t>
      </w:r>
      <w:r w:rsidRPr="005D7C31">
        <w:rPr>
          <w:sz w:val="20"/>
          <w:szCs w:val="20"/>
        </w:rPr>
        <w:tab/>
        <w:t>Cohen ME, Marino RJ. The tools of disability outcomes research function</w:t>
      </w:r>
      <w:r>
        <w:rPr>
          <w:sz w:val="20"/>
          <w:szCs w:val="20"/>
        </w:rPr>
        <w:t xml:space="preserve">al status measures. </w:t>
      </w:r>
      <w:r w:rsidRPr="00D65076">
        <w:rPr>
          <w:i/>
          <w:sz w:val="20"/>
          <w:szCs w:val="20"/>
        </w:rPr>
        <w:t>Arch Phys Med Rehab</w:t>
      </w:r>
      <w:r w:rsidRPr="005D7C31">
        <w:rPr>
          <w:sz w:val="20"/>
          <w:szCs w:val="20"/>
        </w:rPr>
        <w:t xml:space="preserve">. 2000; </w:t>
      </w:r>
      <w:r w:rsidRPr="00D65076">
        <w:rPr>
          <w:b/>
          <w:sz w:val="20"/>
          <w:szCs w:val="20"/>
        </w:rPr>
        <w:t>81</w:t>
      </w:r>
      <w:r w:rsidRPr="005D7C31">
        <w:rPr>
          <w:sz w:val="20"/>
          <w:szCs w:val="20"/>
        </w:rPr>
        <w:t>:S21-S29.</w:t>
      </w:r>
      <w:bookmarkEnd w:id="7"/>
    </w:p>
    <w:p w:rsidR="007F4E26" w:rsidRPr="005D7C31" w:rsidRDefault="007F4E26" w:rsidP="009B2473">
      <w:pPr>
        <w:pStyle w:val="EndNoteBibliography"/>
        <w:ind w:left="720" w:hanging="720"/>
        <w:jc w:val="both"/>
        <w:rPr>
          <w:sz w:val="20"/>
          <w:szCs w:val="20"/>
        </w:rPr>
      </w:pPr>
      <w:bookmarkStart w:id="8" w:name="_ENREF_9"/>
      <w:r w:rsidRPr="005D7C31">
        <w:rPr>
          <w:sz w:val="20"/>
          <w:szCs w:val="20"/>
        </w:rPr>
        <w:t>9.</w:t>
      </w:r>
      <w:r w:rsidRPr="005D7C31">
        <w:rPr>
          <w:sz w:val="20"/>
          <w:szCs w:val="20"/>
        </w:rPr>
        <w:tab/>
        <w:t xml:space="preserve">Sell R. Defining and Measuring Sexual Orientation: A Review. </w:t>
      </w:r>
      <w:r w:rsidRPr="005D7C31">
        <w:rPr>
          <w:i/>
          <w:iCs/>
          <w:sz w:val="20"/>
          <w:szCs w:val="20"/>
        </w:rPr>
        <w:t>Arch Sex Behav</w:t>
      </w:r>
      <w:r w:rsidRPr="005D7C31">
        <w:rPr>
          <w:sz w:val="20"/>
          <w:szCs w:val="20"/>
        </w:rPr>
        <w:t xml:space="preserve"> 1997;</w:t>
      </w:r>
      <w:r w:rsidRPr="00166945">
        <w:rPr>
          <w:b/>
          <w:sz w:val="20"/>
          <w:szCs w:val="20"/>
        </w:rPr>
        <w:t>26</w:t>
      </w:r>
      <w:r w:rsidRPr="005D7C31">
        <w:rPr>
          <w:sz w:val="20"/>
          <w:szCs w:val="20"/>
        </w:rPr>
        <w:t>(6):643-658.</w:t>
      </w:r>
      <w:bookmarkEnd w:id="8"/>
    </w:p>
    <w:p w:rsidR="007F4E26" w:rsidRPr="00517F2E" w:rsidRDefault="007F4E26" w:rsidP="005A049B">
      <w:pPr>
        <w:jc w:val="both"/>
        <w:rPr>
          <w:sz w:val="22"/>
          <w:szCs w:val="22"/>
        </w:rPr>
      </w:pPr>
      <w:bookmarkStart w:id="9" w:name="_GoBack"/>
      <w:bookmarkEnd w:id="9"/>
    </w:p>
    <w:p w:rsidR="0050134D" w:rsidRDefault="00166945"/>
    <w:sectPr w:rsidR="0050134D" w:rsidSect="00A66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F4E26"/>
    <w:rsid w:val="00166945"/>
    <w:rsid w:val="007F4E26"/>
    <w:rsid w:val="00E76D9D"/>
    <w:rsid w:val="00F3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B26F2D-9988-4F03-9B26-33737FBE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E26"/>
    <w:pPr>
      <w:spacing w:after="0" w:line="240" w:lineRule="auto"/>
    </w:pPr>
    <w:rPr>
      <w:rFonts w:ascii="Calibri" w:eastAsia="Times New Roman" w:hAnsi="Calibri" w:cs="Times New Roman"/>
      <w:sz w:val="14"/>
      <w:szCs w:val="1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7F4E26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7F4E26"/>
    <w:rPr>
      <w:rFonts w:ascii="Calibri" w:eastAsia="Times New Roman" w:hAnsi="Calibri" w:cs="Times New Roman"/>
      <w:noProof/>
      <w:sz w:val="14"/>
      <w:szCs w:val="1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7F4E26"/>
    <w:rPr>
      <w:noProof/>
    </w:rPr>
  </w:style>
  <w:style w:type="character" w:customStyle="1" w:styleId="EndNoteBibliographyChar">
    <w:name w:val="EndNote Bibliography Char"/>
    <w:link w:val="EndNoteBibliography"/>
    <w:rsid w:val="007F4E26"/>
    <w:rPr>
      <w:rFonts w:ascii="Calibri" w:eastAsia="Times New Roman" w:hAnsi="Calibri" w:cs="Times New Roman"/>
      <w:noProof/>
      <w:sz w:val="14"/>
      <w:szCs w:val="14"/>
      <w:lang w:eastAsia="en-GB"/>
    </w:rPr>
  </w:style>
  <w:style w:type="character" w:styleId="Hyperlink">
    <w:name w:val="Hyperlink"/>
    <w:rsid w:val="007F4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4284</Characters>
  <Application>Microsoft Office Word</Application>
  <DocSecurity>0</DocSecurity>
  <Lines>35</Lines>
  <Paragraphs>10</Paragraphs>
  <ScaleCrop>false</ScaleCrop>
  <Company>Clinical School Computing Service</Company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Attwood</dc:creator>
  <cp:keywords/>
  <dc:description/>
  <cp:lastModifiedBy>Sophie Attwood</cp:lastModifiedBy>
  <cp:revision>2</cp:revision>
  <dcterms:created xsi:type="dcterms:W3CDTF">2016-04-22T12:49:00Z</dcterms:created>
  <dcterms:modified xsi:type="dcterms:W3CDTF">2016-04-22T12:50:00Z</dcterms:modified>
</cp:coreProperties>
</file>