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38E" w:rsidRDefault="0058538E" w:rsidP="0058538E">
      <w:pPr>
        <w:rPr>
          <w:rFonts w:cs="Times New Roman"/>
          <w:szCs w:val="24"/>
        </w:rPr>
      </w:pPr>
      <w:r>
        <w:rPr>
          <w:rFonts w:cs="Times New Roman"/>
          <w:szCs w:val="24"/>
        </w:rPr>
        <w:t>Additional file 3: Worksite variation (ICCs) in changes in social-cognitive constructs at three and 12 months</w:t>
      </w:r>
    </w:p>
    <w:p w:rsidR="0058538E" w:rsidRDefault="0058538E" w:rsidP="0058538E">
      <w:pPr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9"/>
        <w:gridCol w:w="2269"/>
        <w:gridCol w:w="1350"/>
        <w:gridCol w:w="2160"/>
        <w:gridCol w:w="1214"/>
      </w:tblGrid>
      <w:tr w:rsidR="0058538E" w:rsidRPr="00B20546" w:rsidTr="00140C5B">
        <w:tc>
          <w:tcPr>
            <w:tcW w:w="2249" w:type="dxa"/>
            <w:tcBorders>
              <w:top w:val="single" w:sz="4" w:space="0" w:color="auto"/>
            </w:tcBorders>
          </w:tcPr>
          <w:p w:rsidR="0058538E" w:rsidRPr="00B20546" w:rsidRDefault="0058538E" w:rsidP="00140C5B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36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3 months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12 months</w:t>
            </w:r>
          </w:p>
        </w:tc>
      </w:tr>
      <w:tr w:rsidR="0058538E" w:rsidRPr="00B20546" w:rsidTr="00140C5B">
        <w:tc>
          <w:tcPr>
            <w:tcW w:w="2249" w:type="dxa"/>
          </w:tcPr>
          <w:p w:rsidR="0058538E" w:rsidRPr="00B20546" w:rsidRDefault="0058538E" w:rsidP="00140C5B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ICC (95% CI)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p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ICC (95% CI)</w:t>
            </w:r>
          </w:p>
        </w:tc>
        <w:tc>
          <w:tcPr>
            <w:tcW w:w="1214" w:type="dxa"/>
            <w:tcBorders>
              <w:top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p</w:t>
            </w:r>
          </w:p>
        </w:tc>
      </w:tr>
      <w:tr w:rsidR="0058538E" w:rsidRPr="00B20546" w:rsidTr="00140C5B">
        <w:tc>
          <w:tcPr>
            <w:tcW w:w="2249" w:type="dxa"/>
          </w:tcPr>
          <w:p w:rsidR="0058538E" w:rsidRPr="00B20546" w:rsidRDefault="0058538E" w:rsidP="00140C5B">
            <w:pPr>
              <w:spacing w:after="0"/>
              <w:rPr>
                <w:rFonts w:cs="Times New Roman"/>
                <w:sz w:val="22"/>
              </w:rPr>
            </w:pPr>
            <w:bookmarkStart w:id="0" w:name="_GoBack" w:colFirst="4" w:colLast="4"/>
            <w:r w:rsidRPr="00B20546">
              <w:rPr>
                <w:rFonts w:cs="Times New Roman"/>
                <w:sz w:val="22"/>
              </w:rPr>
              <w:t>Perceived behavioural control</w:t>
            </w:r>
          </w:p>
        </w:tc>
        <w:tc>
          <w:tcPr>
            <w:tcW w:w="2269" w:type="dxa"/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  <w:vertAlign w:val="superscript"/>
              </w:rPr>
            </w:pPr>
            <w:r w:rsidRPr="00B20546">
              <w:rPr>
                <w:rFonts w:cs="Times New Roman"/>
                <w:sz w:val="22"/>
                <w:vertAlign w:val="superscript"/>
              </w:rPr>
              <w:t>a</w:t>
            </w:r>
          </w:p>
        </w:tc>
        <w:tc>
          <w:tcPr>
            <w:tcW w:w="1350" w:type="dxa"/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  <w:vertAlign w:val="superscript"/>
              </w:rPr>
            </w:pPr>
            <w:r w:rsidRPr="00B20546">
              <w:rPr>
                <w:rFonts w:cs="Times New Roman"/>
                <w:sz w:val="22"/>
              </w:rPr>
              <w:t>&gt;0.999</w:t>
            </w:r>
          </w:p>
        </w:tc>
        <w:tc>
          <w:tcPr>
            <w:tcW w:w="2160" w:type="dxa"/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0.128</w:t>
            </w:r>
            <w:r>
              <w:rPr>
                <w:rFonts w:cs="Times New Roman"/>
                <w:sz w:val="22"/>
              </w:rPr>
              <w:t xml:space="preserve"> </w:t>
            </w:r>
            <w:r w:rsidRPr="00B20546">
              <w:rPr>
                <w:rFonts w:cs="Times New Roman"/>
                <w:sz w:val="22"/>
              </w:rPr>
              <w:t>(0.029, 0.421)</w:t>
            </w:r>
          </w:p>
        </w:tc>
        <w:tc>
          <w:tcPr>
            <w:tcW w:w="1214" w:type="dxa"/>
          </w:tcPr>
          <w:p w:rsidR="0058538E" w:rsidRPr="001A16DE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1A16DE">
              <w:rPr>
                <w:rFonts w:cs="Times New Roman"/>
                <w:sz w:val="22"/>
              </w:rPr>
              <w:t>0.014</w:t>
            </w:r>
          </w:p>
        </w:tc>
      </w:tr>
      <w:tr w:rsidR="0058538E" w:rsidRPr="00B20546" w:rsidTr="00140C5B">
        <w:tc>
          <w:tcPr>
            <w:tcW w:w="2249" w:type="dxa"/>
          </w:tcPr>
          <w:p w:rsidR="0058538E" w:rsidRPr="00B20546" w:rsidRDefault="0058538E" w:rsidP="00140C5B">
            <w:pPr>
              <w:spacing w:after="0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Barrier self-efficacy</w:t>
            </w:r>
          </w:p>
        </w:tc>
        <w:tc>
          <w:tcPr>
            <w:tcW w:w="2269" w:type="dxa"/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0.007</w:t>
            </w:r>
            <w:r>
              <w:rPr>
                <w:rFonts w:cs="Times New Roman"/>
                <w:sz w:val="22"/>
              </w:rPr>
              <w:t xml:space="preserve"> </w:t>
            </w:r>
            <w:r w:rsidRPr="00B20546">
              <w:rPr>
                <w:rFonts w:cs="Times New Roman"/>
                <w:sz w:val="22"/>
              </w:rPr>
              <w:t>(&lt;0.001, 0.978)</w:t>
            </w:r>
          </w:p>
        </w:tc>
        <w:tc>
          <w:tcPr>
            <w:tcW w:w="1350" w:type="dxa"/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0.405</w:t>
            </w:r>
          </w:p>
        </w:tc>
        <w:tc>
          <w:tcPr>
            <w:tcW w:w="2160" w:type="dxa"/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0.032 (0.001, 0.664)</w:t>
            </w:r>
          </w:p>
        </w:tc>
        <w:tc>
          <w:tcPr>
            <w:tcW w:w="1214" w:type="dxa"/>
          </w:tcPr>
          <w:p w:rsidR="0058538E" w:rsidRPr="001A16DE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1A16DE">
              <w:rPr>
                <w:rFonts w:cs="Times New Roman"/>
                <w:sz w:val="22"/>
              </w:rPr>
              <w:t>0.282</w:t>
            </w:r>
          </w:p>
        </w:tc>
      </w:tr>
      <w:tr w:rsidR="0058538E" w:rsidRPr="00B20546" w:rsidTr="00140C5B">
        <w:tc>
          <w:tcPr>
            <w:tcW w:w="2249" w:type="dxa"/>
          </w:tcPr>
          <w:p w:rsidR="0058538E" w:rsidRPr="00B20546" w:rsidRDefault="0058538E" w:rsidP="00140C5B">
            <w:pPr>
              <w:spacing w:after="0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Perceived organisational norms</w:t>
            </w:r>
          </w:p>
        </w:tc>
        <w:tc>
          <w:tcPr>
            <w:tcW w:w="2269" w:type="dxa"/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0.027 (0.001, 0.458)</w:t>
            </w:r>
          </w:p>
        </w:tc>
        <w:tc>
          <w:tcPr>
            <w:tcW w:w="1350" w:type="dxa"/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0.239</w:t>
            </w:r>
          </w:p>
        </w:tc>
        <w:tc>
          <w:tcPr>
            <w:tcW w:w="2160" w:type="dxa"/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0.169</w:t>
            </w:r>
            <w:r>
              <w:rPr>
                <w:rFonts w:cs="Times New Roman"/>
                <w:sz w:val="22"/>
              </w:rPr>
              <w:t xml:space="preserve"> </w:t>
            </w:r>
            <w:r w:rsidRPr="00B20546">
              <w:rPr>
                <w:rFonts w:cs="Times New Roman"/>
                <w:sz w:val="22"/>
              </w:rPr>
              <w:t>(0.042, 0.487)</w:t>
            </w:r>
          </w:p>
        </w:tc>
        <w:tc>
          <w:tcPr>
            <w:tcW w:w="1214" w:type="dxa"/>
          </w:tcPr>
          <w:p w:rsidR="0058538E" w:rsidRPr="001A16DE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1A16DE">
              <w:rPr>
                <w:rFonts w:cs="Times New Roman"/>
                <w:sz w:val="22"/>
              </w:rPr>
              <w:t>0.003</w:t>
            </w:r>
          </w:p>
        </w:tc>
      </w:tr>
      <w:bookmarkEnd w:id="0"/>
      <w:tr w:rsidR="0058538E" w:rsidRPr="00B20546" w:rsidTr="00140C5B">
        <w:tc>
          <w:tcPr>
            <w:tcW w:w="2249" w:type="dxa"/>
            <w:tcBorders>
              <w:bottom w:val="single" w:sz="4" w:space="0" w:color="auto"/>
            </w:tcBorders>
          </w:tcPr>
          <w:p w:rsidR="0058538E" w:rsidRPr="00B20546" w:rsidRDefault="0058538E" w:rsidP="00140C5B">
            <w:pPr>
              <w:spacing w:after="0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Knowledge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  <w:vertAlign w:val="superscript"/>
              </w:rPr>
            </w:pPr>
            <w:r w:rsidRPr="00B20546">
              <w:rPr>
                <w:rFonts w:cs="Times New Roman"/>
                <w:sz w:val="22"/>
                <w:vertAlign w:val="superscript"/>
              </w:rPr>
              <w:t>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  <w:vertAlign w:val="superscript"/>
              </w:rPr>
            </w:pPr>
            <w:r w:rsidRPr="00B20546">
              <w:rPr>
                <w:rFonts w:cs="Times New Roman"/>
                <w:sz w:val="22"/>
              </w:rPr>
              <w:t>&gt;0.999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0.088</w:t>
            </w:r>
            <w:r>
              <w:rPr>
                <w:rFonts w:cs="Times New Roman"/>
                <w:sz w:val="22"/>
              </w:rPr>
              <w:t xml:space="preserve"> </w:t>
            </w:r>
            <w:r w:rsidRPr="00B20546">
              <w:rPr>
                <w:rFonts w:cs="Times New Roman"/>
                <w:sz w:val="22"/>
              </w:rPr>
              <w:t>(0.013, 0.407)</w:t>
            </w: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:rsidR="0058538E" w:rsidRPr="00B20546" w:rsidRDefault="0058538E" w:rsidP="00140C5B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B20546">
              <w:rPr>
                <w:rFonts w:cs="Times New Roman"/>
                <w:sz w:val="22"/>
              </w:rPr>
              <w:t>0.061</w:t>
            </w:r>
          </w:p>
        </w:tc>
      </w:tr>
    </w:tbl>
    <w:p w:rsidR="0058538E" w:rsidRPr="0015481E" w:rsidRDefault="0058538E" w:rsidP="0058538E">
      <w:pPr>
        <w:rPr>
          <w:rFonts w:cs="Times New Roman"/>
          <w:szCs w:val="24"/>
          <w:lang w:val="fr-FR"/>
        </w:rPr>
      </w:pPr>
      <w:r w:rsidRPr="0015481E">
        <w:rPr>
          <w:rFonts w:cs="Times New Roman"/>
          <w:szCs w:val="24"/>
          <w:lang w:val="fr-FR"/>
        </w:rPr>
        <w:t xml:space="preserve">ICC = </w:t>
      </w:r>
      <w:proofErr w:type="spellStart"/>
      <w:r w:rsidRPr="0015481E">
        <w:rPr>
          <w:rFonts w:cs="Times New Roman"/>
          <w:szCs w:val="24"/>
          <w:lang w:val="fr-FR"/>
        </w:rPr>
        <w:t>intracluster</w:t>
      </w:r>
      <w:proofErr w:type="spellEnd"/>
      <w:r w:rsidRPr="0015481E">
        <w:rPr>
          <w:rFonts w:cs="Times New Roman"/>
          <w:szCs w:val="24"/>
          <w:lang w:val="fr-FR"/>
        </w:rPr>
        <w:t xml:space="preserve"> </w:t>
      </w:r>
      <w:proofErr w:type="spellStart"/>
      <w:r w:rsidRPr="0015481E">
        <w:rPr>
          <w:rFonts w:cs="Times New Roman"/>
          <w:szCs w:val="24"/>
          <w:lang w:val="fr-FR"/>
        </w:rPr>
        <w:t>correlation</w:t>
      </w:r>
      <w:proofErr w:type="spellEnd"/>
      <w:r w:rsidRPr="0015481E">
        <w:rPr>
          <w:rFonts w:cs="Times New Roman"/>
          <w:szCs w:val="24"/>
          <w:lang w:val="fr-FR"/>
        </w:rPr>
        <w:t xml:space="preserve"> coefficient; CI</w:t>
      </w:r>
      <w:r>
        <w:rPr>
          <w:rFonts w:cs="Times New Roman"/>
          <w:szCs w:val="24"/>
          <w:lang w:val="fr-FR"/>
        </w:rPr>
        <w:t xml:space="preserve"> </w:t>
      </w:r>
      <w:r w:rsidRPr="0015481E">
        <w:rPr>
          <w:rFonts w:cs="Times New Roman"/>
          <w:szCs w:val="24"/>
          <w:lang w:val="fr-FR"/>
        </w:rPr>
        <w:t>=</w:t>
      </w:r>
      <w:r>
        <w:rPr>
          <w:rFonts w:cs="Times New Roman"/>
          <w:szCs w:val="24"/>
          <w:lang w:val="fr-FR"/>
        </w:rPr>
        <w:t xml:space="preserve"> </w:t>
      </w:r>
      <w:r w:rsidRPr="0015481E">
        <w:rPr>
          <w:rFonts w:cs="Times New Roman"/>
          <w:szCs w:val="24"/>
          <w:lang w:val="fr-FR"/>
        </w:rPr>
        <w:t xml:space="preserve">confidence </w:t>
      </w:r>
      <w:proofErr w:type="spellStart"/>
      <w:r w:rsidRPr="0015481E">
        <w:rPr>
          <w:rFonts w:cs="Times New Roman"/>
          <w:szCs w:val="24"/>
          <w:lang w:val="fr-FR"/>
        </w:rPr>
        <w:t>interval</w:t>
      </w:r>
      <w:proofErr w:type="spellEnd"/>
    </w:p>
    <w:p w:rsidR="0058538E" w:rsidRDefault="0058538E" w:rsidP="0058538E">
      <w:pPr>
        <w:rPr>
          <w:szCs w:val="24"/>
        </w:rPr>
      </w:pPr>
      <w:r w:rsidRPr="007F1E59">
        <w:rPr>
          <w:rFonts w:cs="Times New Roman"/>
          <w:szCs w:val="24"/>
          <w:vertAlign w:val="superscript"/>
        </w:rPr>
        <w:t>a</w:t>
      </w:r>
      <w:r>
        <w:rPr>
          <w:rFonts w:cs="Times New Roman"/>
          <w:szCs w:val="24"/>
        </w:rPr>
        <w:t xml:space="preserve"> ICC inestimably small &lt;0.001</w:t>
      </w:r>
    </w:p>
    <w:p w:rsidR="00513159" w:rsidRDefault="00513159"/>
    <w:sectPr w:rsidR="00513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38E"/>
    <w:rsid w:val="001A16DE"/>
    <w:rsid w:val="003E3B81"/>
    <w:rsid w:val="00513159"/>
    <w:rsid w:val="0058538E"/>
    <w:rsid w:val="006171B8"/>
    <w:rsid w:val="00D2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58E923-82BE-4256-8ACB-A6401044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8538E"/>
    <w:pPr>
      <w:spacing w:after="1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Nyssa Hadgraft</dc:creator>
  <cp:lastModifiedBy>Nyssa Hadgraft</cp:lastModifiedBy>
  <cp:revision>2</cp:revision>
  <dcterms:created xsi:type="dcterms:W3CDTF">2016-12-12T05:34:00Z</dcterms:created>
  <dcterms:modified xsi:type="dcterms:W3CDTF">2017-03-01T23:09:00Z</dcterms:modified>
</cp:coreProperties>
</file>