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3D5B3C" w14:textId="3C1FF21D" w:rsidR="00E164A9" w:rsidRPr="00E164A9" w:rsidRDefault="00101402" w:rsidP="00E164A9">
      <w:pPr>
        <w:pStyle w:val="NoSpacing"/>
        <w:rPr>
          <w:b/>
        </w:rPr>
      </w:pPr>
      <w:r>
        <w:rPr>
          <w:b/>
        </w:rPr>
        <w:t>Change in diet in the period from adolescence to early adulthood:  a</w:t>
      </w:r>
      <w:r w:rsidR="00E164A9" w:rsidRPr="00E164A9">
        <w:rPr>
          <w:b/>
        </w:rPr>
        <w:t xml:space="preserve"> systematic scoping review of longitudinal studies</w:t>
      </w:r>
    </w:p>
    <w:p w14:paraId="642AE7A4" w14:textId="7E295989" w:rsidR="00E164A9" w:rsidRDefault="00E164A9" w:rsidP="00E164A9">
      <w:pPr>
        <w:pStyle w:val="NoSpacing"/>
      </w:pPr>
      <w:r>
        <w:t xml:space="preserve">Eleanor M Winpenny, Tarra </w:t>
      </w:r>
      <w:r w:rsidR="00390256">
        <w:t xml:space="preserve">L </w:t>
      </w:r>
      <w:r w:rsidR="001D6C12">
        <w:t xml:space="preserve">Penney, Kirsten </w:t>
      </w:r>
      <w:r>
        <w:t>Corder, Martin White, Esther MF van Sluijs</w:t>
      </w:r>
    </w:p>
    <w:p w14:paraId="2CE382F1" w14:textId="77777777" w:rsidR="00E164A9" w:rsidRDefault="00E164A9" w:rsidP="00E164A9">
      <w:pPr>
        <w:pStyle w:val="NoSpacing"/>
      </w:pPr>
    </w:p>
    <w:p w14:paraId="2F23264D" w14:textId="77777777" w:rsidR="00E164A9" w:rsidRDefault="00E164A9" w:rsidP="00E164A9">
      <w:pPr>
        <w:pStyle w:val="NoSpacing"/>
      </w:pPr>
    </w:p>
    <w:p w14:paraId="31A314F7" w14:textId="1F04CBBE" w:rsidR="003118BE" w:rsidRPr="00C72635" w:rsidRDefault="006224BF" w:rsidP="003118BE">
      <w:pPr>
        <w:rPr>
          <w:b/>
        </w:rPr>
      </w:pPr>
      <w:r w:rsidRPr="00C72635">
        <w:rPr>
          <w:b/>
        </w:rPr>
        <w:t>Table S1</w:t>
      </w:r>
      <w:r w:rsidR="00B41BFF" w:rsidRPr="00C72635">
        <w:rPr>
          <w:b/>
        </w:rPr>
        <w:t>: Medline search strategy</w:t>
      </w:r>
    </w:p>
    <w:tbl>
      <w:tblPr>
        <w:tblStyle w:val="TableGrid"/>
        <w:tblW w:w="0" w:type="auto"/>
        <w:tblLook w:val="04A0" w:firstRow="1" w:lastRow="0" w:firstColumn="1" w:lastColumn="0" w:noHBand="0" w:noVBand="1"/>
      </w:tblPr>
      <w:tblGrid>
        <w:gridCol w:w="520"/>
        <w:gridCol w:w="1321"/>
        <w:gridCol w:w="7175"/>
      </w:tblGrid>
      <w:tr w:rsidR="003118BE" w:rsidRPr="00740E5F" w14:paraId="6E95705E" w14:textId="77777777" w:rsidTr="00212963">
        <w:tc>
          <w:tcPr>
            <w:tcW w:w="520" w:type="dxa"/>
            <w:tcBorders>
              <w:bottom w:val="nil"/>
            </w:tcBorders>
          </w:tcPr>
          <w:p w14:paraId="58680EFC" w14:textId="77777777" w:rsidR="003118BE" w:rsidRPr="00740E5F" w:rsidRDefault="003118BE" w:rsidP="00212963">
            <w:pPr>
              <w:spacing w:line="360" w:lineRule="auto"/>
              <w:rPr>
                <w:rFonts w:ascii="Arial" w:hAnsi="Arial" w:cs="Arial"/>
                <w:sz w:val="18"/>
                <w:szCs w:val="18"/>
              </w:rPr>
            </w:pPr>
            <w:r w:rsidRPr="00740E5F">
              <w:rPr>
                <w:rFonts w:ascii="Arial" w:hAnsi="Arial" w:cs="Arial"/>
                <w:sz w:val="18"/>
                <w:szCs w:val="18"/>
              </w:rPr>
              <w:t>1</w:t>
            </w:r>
          </w:p>
        </w:tc>
        <w:tc>
          <w:tcPr>
            <w:tcW w:w="1321" w:type="dxa"/>
            <w:tcBorders>
              <w:bottom w:val="nil"/>
            </w:tcBorders>
          </w:tcPr>
          <w:p w14:paraId="2B13CFC9" w14:textId="77777777" w:rsidR="003118BE" w:rsidRDefault="003118BE" w:rsidP="00212963">
            <w:pPr>
              <w:spacing w:line="360" w:lineRule="auto"/>
              <w:rPr>
                <w:rFonts w:ascii="Arial" w:hAnsi="Arial" w:cs="Arial"/>
                <w:sz w:val="18"/>
                <w:szCs w:val="18"/>
              </w:rPr>
            </w:pPr>
            <w:r>
              <w:rPr>
                <w:rFonts w:ascii="Arial" w:hAnsi="Arial" w:cs="Arial"/>
                <w:sz w:val="18"/>
                <w:szCs w:val="18"/>
              </w:rPr>
              <w:t xml:space="preserve">Diet </w:t>
            </w:r>
            <w:r w:rsidRPr="00740E5F">
              <w:rPr>
                <w:rFonts w:ascii="Arial" w:hAnsi="Arial" w:cs="Arial"/>
                <w:sz w:val="18"/>
                <w:szCs w:val="18"/>
              </w:rPr>
              <w:t>Outcomes</w:t>
            </w:r>
          </w:p>
          <w:p w14:paraId="32171DA0" w14:textId="77777777" w:rsidR="003118BE" w:rsidRPr="00740E5F" w:rsidRDefault="003118BE" w:rsidP="00212963">
            <w:pPr>
              <w:spacing w:line="360" w:lineRule="auto"/>
              <w:rPr>
                <w:rFonts w:ascii="Arial" w:hAnsi="Arial" w:cs="Arial"/>
                <w:sz w:val="18"/>
                <w:szCs w:val="18"/>
              </w:rPr>
            </w:pPr>
            <w:r>
              <w:rPr>
                <w:rFonts w:ascii="Arial" w:hAnsi="Arial" w:cs="Arial"/>
                <w:sz w:val="18"/>
                <w:szCs w:val="18"/>
              </w:rPr>
              <w:t>Physical activity outcomes</w:t>
            </w:r>
          </w:p>
        </w:tc>
        <w:tc>
          <w:tcPr>
            <w:tcW w:w="7175" w:type="dxa"/>
            <w:tcBorders>
              <w:bottom w:val="nil"/>
            </w:tcBorders>
          </w:tcPr>
          <w:p w14:paraId="3BD8412B" w14:textId="77777777" w:rsidR="003118BE" w:rsidRPr="00506FB0" w:rsidRDefault="003118BE" w:rsidP="00212963">
            <w:pPr>
              <w:spacing w:line="360" w:lineRule="auto"/>
              <w:rPr>
                <w:rFonts w:ascii="Arial" w:hAnsi="Arial" w:cs="Arial"/>
                <w:sz w:val="18"/>
                <w:szCs w:val="18"/>
              </w:rPr>
            </w:pPr>
            <w:r>
              <w:rPr>
                <w:rFonts w:ascii="Arial" w:hAnsi="Arial" w:cs="Arial"/>
                <w:sz w:val="18"/>
                <w:szCs w:val="18"/>
              </w:rPr>
              <w:t>f</w:t>
            </w:r>
            <w:r w:rsidRPr="00506FB0">
              <w:rPr>
                <w:rFonts w:ascii="Arial" w:hAnsi="Arial" w:cs="Arial"/>
                <w:sz w:val="18"/>
                <w:szCs w:val="18"/>
              </w:rPr>
              <w:t xml:space="preserve">ood*[Title/Abstract] OR nutrient*[Title/Abstract] </w:t>
            </w:r>
            <w:r>
              <w:rPr>
                <w:rFonts w:ascii="Arial" w:hAnsi="Arial" w:cs="Arial"/>
                <w:sz w:val="18"/>
                <w:szCs w:val="18"/>
              </w:rPr>
              <w:t xml:space="preserve">OR </w:t>
            </w:r>
            <w:r w:rsidRPr="00AC2742">
              <w:rPr>
                <w:rFonts w:ascii="Arial" w:hAnsi="Arial" w:cs="Arial"/>
                <w:sz w:val="18"/>
                <w:szCs w:val="18"/>
              </w:rPr>
              <w:t xml:space="preserve">macronutrient*[Title/Abstract] </w:t>
            </w:r>
            <w:r w:rsidRPr="00506FB0">
              <w:rPr>
                <w:rFonts w:ascii="Arial" w:hAnsi="Arial" w:cs="Arial"/>
                <w:sz w:val="18"/>
                <w:szCs w:val="18"/>
              </w:rPr>
              <w:t xml:space="preserve">OR “energy intake”[Title/Abstract] OR diet[Title/Abstract] OR diets[Title/Abstract]  </w:t>
            </w:r>
            <w:r>
              <w:rPr>
                <w:rFonts w:ascii="Arial" w:hAnsi="Arial" w:cs="Arial"/>
                <w:sz w:val="18"/>
                <w:szCs w:val="18"/>
              </w:rPr>
              <w:t xml:space="preserve">OR “dietary”[Title/Abstract] </w:t>
            </w:r>
            <w:r w:rsidRPr="00506FB0">
              <w:rPr>
                <w:rFonts w:ascii="Arial" w:hAnsi="Arial" w:cs="Arial"/>
                <w:sz w:val="18"/>
                <w:szCs w:val="18"/>
              </w:rPr>
              <w:t xml:space="preserve">OR nutrition[Title/Abstract] OR nutritional[Title/Abstract] OR fruit[Title/Abstract] OR vegetable[Title/Abstract] OR fruits[Title/Abstract] OR vegetables[Title/Abstract] </w:t>
            </w:r>
            <w:r w:rsidRPr="006504E4">
              <w:rPr>
                <w:rFonts w:ascii="Arial" w:hAnsi="Arial" w:cs="Arial"/>
                <w:sz w:val="18"/>
                <w:szCs w:val="18"/>
              </w:rPr>
              <w:t>OR snack*[Title/Abstract] OR “soft drink*”[Title/Abstract] OR soda[Title/Abstract] OR SSB[Title/Abstract] OR SSBs[Title/Abstract]  OR salt[Title/Abstract]  OR sugar*[Title/Abstract]  OR  "Food"[Mesh] OR "Beverages"[Mesh] OR diet[Mesh] OR "Nutrition Surveys"[Mesh] OR "Diet Records"[Mesh] OR "Dietary Fats"[Mesh] OR "Dietary Proteins"[Mesh] OR "Dietary Carbohydrates "[Mesh] OR "Micronutrients"[Mesh]</w:t>
            </w:r>
            <w:r w:rsidRPr="00506FB0">
              <w:rPr>
                <w:rFonts w:ascii="Arial" w:hAnsi="Arial" w:cs="Arial"/>
                <w:sz w:val="18"/>
                <w:szCs w:val="18"/>
              </w:rPr>
              <w:t xml:space="preserve"> </w:t>
            </w:r>
          </w:p>
          <w:p w14:paraId="7248D161" w14:textId="77777777" w:rsidR="003118BE" w:rsidRPr="00740E5F" w:rsidRDefault="003118BE" w:rsidP="00212963">
            <w:pPr>
              <w:spacing w:line="360" w:lineRule="auto"/>
              <w:rPr>
                <w:rFonts w:ascii="Arial" w:hAnsi="Arial" w:cs="Arial"/>
                <w:sz w:val="18"/>
                <w:szCs w:val="18"/>
              </w:rPr>
            </w:pPr>
            <w:r w:rsidRPr="00D617D1">
              <w:rPr>
                <w:rFonts w:ascii="Arial" w:hAnsi="Arial" w:cs="Arial"/>
                <w:color w:val="808080" w:themeColor="background1" w:themeShade="80"/>
                <w:sz w:val="18"/>
                <w:szCs w:val="18"/>
              </w:rPr>
              <w:t>OR “Exercise”[</w:t>
            </w:r>
            <w:proofErr w:type="spellStart"/>
            <w:r w:rsidRPr="00D617D1">
              <w:rPr>
                <w:rFonts w:ascii="Arial" w:hAnsi="Arial" w:cs="Arial"/>
                <w:color w:val="808080" w:themeColor="background1" w:themeShade="80"/>
                <w:sz w:val="18"/>
                <w:szCs w:val="18"/>
              </w:rPr>
              <w:t>MeSH</w:t>
            </w:r>
            <w:proofErr w:type="spellEnd"/>
            <w:r w:rsidRPr="00D617D1">
              <w:rPr>
                <w:rFonts w:ascii="Arial" w:hAnsi="Arial" w:cs="Arial"/>
                <w:color w:val="808080" w:themeColor="background1" w:themeShade="80"/>
                <w:sz w:val="18"/>
                <w:szCs w:val="18"/>
              </w:rPr>
              <w:t>] OR “Sports”[Mesh] OR "physical activity"[Title/Abstract] OR "physical activities"[Title/Abstract] OR “physically active”[Title/Abstract]  OR "active transport"[Title/Abstract] OR "active travel"[Title/Abstract] OR exercise*[Title/Abstract] OR cycle[Title/Abstract] OR cycling[Title/Abstract] OR walk*[Title/Abstract] OR sport*[Title/Abstract] OR "energy expenditure"[Title/Abstract]</w:t>
            </w:r>
          </w:p>
        </w:tc>
      </w:tr>
      <w:tr w:rsidR="003118BE" w:rsidRPr="00740E5F" w14:paraId="059F3D3C" w14:textId="77777777" w:rsidTr="00212963">
        <w:tc>
          <w:tcPr>
            <w:tcW w:w="520" w:type="dxa"/>
          </w:tcPr>
          <w:p w14:paraId="7604C958" w14:textId="77777777" w:rsidR="003118BE" w:rsidRPr="00740E5F" w:rsidRDefault="003118BE" w:rsidP="00212963">
            <w:pPr>
              <w:spacing w:line="360" w:lineRule="auto"/>
              <w:rPr>
                <w:rFonts w:ascii="Arial" w:hAnsi="Arial" w:cs="Arial"/>
                <w:sz w:val="18"/>
                <w:szCs w:val="18"/>
              </w:rPr>
            </w:pPr>
            <w:r>
              <w:rPr>
                <w:rFonts w:ascii="Arial" w:hAnsi="Arial" w:cs="Arial"/>
                <w:sz w:val="18"/>
                <w:szCs w:val="18"/>
              </w:rPr>
              <w:t>2</w:t>
            </w:r>
          </w:p>
        </w:tc>
        <w:tc>
          <w:tcPr>
            <w:tcW w:w="1321" w:type="dxa"/>
          </w:tcPr>
          <w:p w14:paraId="30AD3745" w14:textId="77777777" w:rsidR="003118BE" w:rsidRPr="00740E5F" w:rsidRDefault="003118BE" w:rsidP="00212963">
            <w:pPr>
              <w:spacing w:line="360" w:lineRule="auto"/>
              <w:rPr>
                <w:rFonts w:ascii="Arial" w:hAnsi="Arial" w:cs="Arial"/>
                <w:sz w:val="18"/>
                <w:szCs w:val="18"/>
              </w:rPr>
            </w:pPr>
            <w:r w:rsidRPr="00740E5F">
              <w:rPr>
                <w:rFonts w:ascii="Arial" w:hAnsi="Arial" w:cs="Arial"/>
                <w:sz w:val="18"/>
                <w:szCs w:val="18"/>
              </w:rPr>
              <w:t>Longitudinal</w:t>
            </w:r>
          </w:p>
        </w:tc>
        <w:tc>
          <w:tcPr>
            <w:tcW w:w="7175" w:type="dxa"/>
          </w:tcPr>
          <w:p w14:paraId="002E271D" w14:textId="77777777" w:rsidR="003118BE" w:rsidRPr="00740E5F" w:rsidRDefault="003118BE" w:rsidP="00212963">
            <w:pPr>
              <w:spacing w:line="360" w:lineRule="auto"/>
              <w:rPr>
                <w:rFonts w:ascii="Arial" w:hAnsi="Arial" w:cs="Arial"/>
                <w:sz w:val="18"/>
                <w:szCs w:val="18"/>
              </w:rPr>
            </w:pPr>
            <w:r>
              <w:rPr>
                <w:rFonts w:ascii="Arial" w:hAnsi="Arial" w:cs="Arial"/>
                <w:sz w:val="18"/>
                <w:szCs w:val="18"/>
              </w:rPr>
              <w:t>l</w:t>
            </w:r>
            <w:r w:rsidRPr="00740E5F">
              <w:rPr>
                <w:rFonts w:ascii="Arial" w:hAnsi="Arial" w:cs="Arial"/>
                <w:sz w:val="18"/>
                <w:szCs w:val="18"/>
              </w:rPr>
              <w:t xml:space="preserve">ongitudinal[Title/Abstract] OR cohort[Title/Abstract] </w:t>
            </w:r>
            <w:r w:rsidRPr="00523B22">
              <w:rPr>
                <w:rFonts w:ascii="Arial" w:hAnsi="Arial" w:cs="Arial"/>
                <w:sz w:val="18"/>
                <w:szCs w:val="18"/>
              </w:rPr>
              <w:t>OR prospective[Title/Abstract]</w:t>
            </w:r>
            <w:r>
              <w:rPr>
                <w:rFonts w:ascii="Arial" w:hAnsi="Arial" w:cs="Arial"/>
                <w:sz w:val="18"/>
                <w:szCs w:val="18"/>
              </w:rPr>
              <w:t xml:space="preserve"> OR “follow-up stud*”</w:t>
            </w:r>
            <w:r w:rsidRPr="00740E5F">
              <w:rPr>
                <w:rFonts w:ascii="Arial" w:hAnsi="Arial" w:cs="Arial"/>
                <w:sz w:val="18"/>
                <w:szCs w:val="18"/>
              </w:rPr>
              <w:t xml:space="preserve">[Title/Abstract] </w:t>
            </w:r>
            <w:r w:rsidRPr="00523B22">
              <w:rPr>
                <w:rFonts w:ascii="Arial" w:hAnsi="Arial" w:cs="Arial"/>
                <w:sz w:val="18"/>
                <w:szCs w:val="18"/>
              </w:rPr>
              <w:t xml:space="preserve"> </w:t>
            </w:r>
            <w:r>
              <w:rPr>
                <w:rFonts w:ascii="Arial" w:hAnsi="Arial" w:cs="Arial"/>
                <w:sz w:val="18"/>
                <w:szCs w:val="18"/>
              </w:rPr>
              <w:t>OR “follow up stud*”</w:t>
            </w:r>
            <w:r w:rsidRPr="00740E5F">
              <w:rPr>
                <w:rFonts w:ascii="Arial" w:hAnsi="Arial" w:cs="Arial"/>
                <w:sz w:val="18"/>
                <w:szCs w:val="18"/>
              </w:rPr>
              <w:t xml:space="preserve">[Title/Abstract] </w:t>
            </w:r>
            <w:r w:rsidRPr="00523B22">
              <w:rPr>
                <w:rFonts w:ascii="Arial" w:hAnsi="Arial" w:cs="Arial"/>
                <w:sz w:val="18"/>
                <w:szCs w:val="18"/>
              </w:rPr>
              <w:t xml:space="preserve"> </w:t>
            </w:r>
            <w:r>
              <w:rPr>
                <w:rFonts w:ascii="Arial" w:hAnsi="Arial" w:cs="Arial"/>
                <w:sz w:val="18"/>
                <w:szCs w:val="18"/>
              </w:rPr>
              <w:t xml:space="preserve">OR tracking[Title/Abstract]  </w:t>
            </w:r>
            <w:r w:rsidRPr="00740E5F">
              <w:rPr>
                <w:rFonts w:ascii="Arial" w:hAnsi="Arial" w:cs="Arial"/>
                <w:sz w:val="18"/>
                <w:szCs w:val="18"/>
              </w:rPr>
              <w:t xml:space="preserve">OR </w:t>
            </w:r>
            <w:r w:rsidRPr="00506FB0">
              <w:rPr>
                <w:rFonts w:ascii="Arial" w:hAnsi="Arial" w:cs="Arial"/>
                <w:sz w:val="18"/>
                <w:szCs w:val="18"/>
              </w:rPr>
              <w:t>"Follow-Up Studies"[Mesh]</w:t>
            </w:r>
            <w:r>
              <w:rPr>
                <w:rFonts w:ascii="Arial" w:hAnsi="Arial" w:cs="Arial"/>
                <w:sz w:val="18"/>
                <w:szCs w:val="18"/>
              </w:rPr>
              <w:t xml:space="preserve"> OR “Prospective Studies”[Mesh] OR “Longitudinal Studies”[Mesh] </w:t>
            </w:r>
          </w:p>
        </w:tc>
      </w:tr>
      <w:tr w:rsidR="003118BE" w:rsidRPr="00740E5F" w14:paraId="369BB9DF" w14:textId="77777777" w:rsidTr="00212963">
        <w:tc>
          <w:tcPr>
            <w:tcW w:w="520" w:type="dxa"/>
          </w:tcPr>
          <w:p w14:paraId="48FCD507" w14:textId="77777777" w:rsidR="003118BE" w:rsidRPr="00740E5F" w:rsidRDefault="003118BE" w:rsidP="00212963">
            <w:pPr>
              <w:spacing w:line="360" w:lineRule="auto"/>
              <w:rPr>
                <w:rFonts w:ascii="Arial" w:hAnsi="Arial" w:cs="Arial"/>
                <w:sz w:val="18"/>
                <w:szCs w:val="18"/>
              </w:rPr>
            </w:pPr>
            <w:r>
              <w:rPr>
                <w:rFonts w:ascii="Arial" w:hAnsi="Arial" w:cs="Arial"/>
                <w:sz w:val="18"/>
                <w:szCs w:val="18"/>
              </w:rPr>
              <w:t>3</w:t>
            </w:r>
          </w:p>
        </w:tc>
        <w:tc>
          <w:tcPr>
            <w:tcW w:w="1321" w:type="dxa"/>
          </w:tcPr>
          <w:p w14:paraId="26855887" w14:textId="77777777" w:rsidR="003118BE" w:rsidRPr="00740E5F" w:rsidRDefault="003118BE" w:rsidP="00212963">
            <w:pPr>
              <w:spacing w:line="360" w:lineRule="auto"/>
              <w:rPr>
                <w:rFonts w:ascii="Arial" w:hAnsi="Arial" w:cs="Arial"/>
                <w:sz w:val="18"/>
                <w:szCs w:val="18"/>
              </w:rPr>
            </w:pPr>
            <w:r w:rsidRPr="00740E5F">
              <w:rPr>
                <w:rFonts w:ascii="Arial" w:hAnsi="Arial" w:cs="Arial"/>
                <w:sz w:val="18"/>
                <w:szCs w:val="18"/>
              </w:rPr>
              <w:t>Age range</w:t>
            </w:r>
          </w:p>
        </w:tc>
        <w:tc>
          <w:tcPr>
            <w:tcW w:w="7175" w:type="dxa"/>
          </w:tcPr>
          <w:p w14:paraId="64A204B7" w14:textId="77777777" w:rsidR="003118BE" w:rsidRPr="00740E5F" w:rsidRDefault="003118BE" w:rsidP="00212963">
            <w:pPr>
              <w:spacing w:line="360" w:lineRule="auto"/>
              <w:rPr>
                <w:rFonts w:ascii="Arial" w:hAnsi="Arial" w:cs="Arial"/>
                <w:sz w:val="18"/>
                <w:szCs w:val="18"/>
              </w:rPr>
            </w:pPr>
            <w:r>
              <w:rPr>
                <w:rFonts w:ascii="Arial" w:hAnsi="Arial" w:cs="Arial"/>
                <w:sz w:val="18"/>
                <w:szCs w:val="18"/>
              </w:rPr>
              <w:t>adolescent*</w:t>
            </w:r>
            <w:r w:rsidRPr="00506FB0">
              <w:rPr>
                <w:rFonts w:ascii="Arial" w:hAnsi="Arial" w:cs="Arial"/>
                <w:sz w:val="18"/>
                <w:szCs w:val="18"/>
              </w:rPr>
              <w:t>[Title/Abstract</w:t>
            </w:r>
            <w:r>
              <w:rPr>
                <w:rFonts w:ascii="Arial" w:hAnsi="Arial" w:cs="Arial"/>
                <w:sz w:val="18"/>
                <w:szCs w:val="18"/>
              </w:rPr>
              <w:t>] OR adolescence</w:t>
            </w:r>
            <w:r w:rsidRPr="00506FB0">
              <w:rPr>
                <w:rFonts w:ascii="Arial" w:hAnsi="Arial" w:cs="Arial"/>
                <w:sz w:val="18"/>
                <w:szCs w:val="18"/>
              </w:rPr>
              <w:t>[Title/Abstract</w:t>
            </w:r>
            <w:r>
              <w:rPr>
                <w:rFonts w:ascii="Arial" w:hAnsi="Arial" w:cs="Arial"/>
                <w:sz w:val="18"/>
                <w:szCs w:val="18"/>
              </w:rPr>
              <w:t xml:space="preserve">] </w:t>
            </w:r>
            <w:r w:rsidRPr="00506FB0">
              <w:rPr>
                <w:rFonts w:ascii="Arial" w:hAnsi="Arial" w:cs="Arial"/>
                <w:sz w:val="18"/>
                <w:szCs w:val="18"/>
              </w:rPr>
              <w:t>OR teen*[Title/Abstract] OR student*[Title/Abstract]  OR “young adult*”[Title/Abstract] OR “young adulth</w:t>
            </w:r>
            <w:r>
              <w:rPr>
                <w:rFonts w:ascii="Arial" w:hAnsi="Arial" w:cs="Arial"/>
                <w:sz w:val="18"/>
                <w:szCs w:val="18"/>
              </w:rPr>
              <w:t xml:space="preserve">ood”[Title/Abstract] OR “early </w:t>
            </w:r>
            <w:r w:rsidRPr="00506FB0">
              <w:rPr>
                <w:rFonts w:ascii="Arial" w:hAnsi="Arial" w:cs="Arial"/>
                <w:sz w:val="18"/>
                <w:szCs w:val="18"/>
              </w:rPr>
              <w:t>adulthood”[Title/Abstract] OR “emerging adulthood”[Title/Abstract] OR youth*[Title/Abstract] OR “young people”[Title/Abstract]</w:t>
            </w:r>
            <w:r>
              <w:rPr>
                <w:rFonts w:ascii="Arial" w:hAnsi="Arial" w:cs="Arial"/>
                <w:sz w:val="18"/>
                <w:szCs w:val="18"/>
              </w:rPr>
              <w:t xml:space="preserve"> OR freshman</w:t>
            </w:r>
            <w:r w:rsidRPr="00506FB0">
              <w:rPr>
                <w:rFonts w:ascii="Arial" w:hAnsi="Arial" w:cs="Arial"/>
                <w:sz w:val="18"/>
                <w:szCs w:val="18"/>
              </w:rPr>
              <w:t>[Title/Abstract]</w:t>
            </w:r>
            <w:r>
              <w:rPr>
                <w:rFonts w:ascii="Arial" w:hAnsi="Arial" w:cs="Arial"/>
                <w:sz w:val="18"/>
                <w:szCs w:val="18"/>
              </w:rPr>
              <w:t xml:space="preserve"> OR freshmen</w:t>
            </w:r>
            <w:r w:rsidRPr="00506FB0">
              <w:rPr>
                <w:rFonts w:ascii="Arial" w:hAnsi="Arial" w:cs="Arial"/>
                <w:sz w:val="18"/>
                <w:szCs w:val="18"/>
              </w:rPr>
              <w:t>[Title/Abstract]</w:t>
            </w:r>
          </w:p>
        </w:tc>
      </w:tr>
      <w:tr w:rsidR="003118BE" w:rsidRPr="00740E5F" w14:paraId="0BB2197C" w14:textId="77777777" w:rsidTr="00212963">
        <w:tc>
          <w:tcPr>
            <w:tcW w:w="520" w:type="dxa"/>
          </w:tcPr>
          <w:p w14:paraId="0F366E3D" w14:textId="77777777" w:rsidR="003118BE" w:rsidRPr="00740E5F" w:rsidRDefault="003118BE" w:rsidP="00212963">
            <w:pPr>
              <w:spacing w:line="360" w:lineRule="auto"/>
              <w:rPr>
                <w:rFonts w:ascii="Arial" w:hAnsi="Arial" w:cs="Arial"/>
                <w:sz w:val="18"/>
                <w:szCs w:val="18"/>
              </w:rPr>
            </w:pPr>
            <w:r>
              <w:rPr>
                <w:rFonts w:ascii="Arial" w:hAnsi="Arial" w:cs="Arial"/>
                <w:sz w:val="18"/>
                <w:szCs w:val="18"/>
              </w:rPr>
              <w:t>4</w:t>
            </w:r>
          </w:p>
        </w:tc>
        <w:tc>
          <w:tcPr>
            <w:tcW w:w="1321" w:type="dxa"/>
          </w:tcPr>
          <w:p w14:paraId="362FE5EA" w14:textId="77777777" w:rsidR="003118BE" w:rsidRPr="00740E5F" w:rsidRDefault="003118BE" w:rsidP="00212963">
            <w:pPr>
              <w:spacing w:line="360" w:lineRule="auto"/>
              <w:rPr>
                <w:rFonts w:ascii="Arial" w:hAnsi="Arial" w:cs="Arial"/>
                <w:sz w:val="18"/>
                <w:szCs w:val="18"/>
              </w:rPr>
            </w:pPr>
            <w:r w:rsidRPr="00740E5F">
              <w:rPr>
                <w:rFonts w:ascii="Arial" w:hAnsi="Arial" w:cs="Arial"/>
                <w:sz w:val="18"/>
                <w:szCs w:val="18"/>
              </w:rPr>
              <w:t>Additional filters</w:t>
            </w:r>
          </w:p>
        </w:tc>
        <w:tc>
          <w:tcPr>
            <w:tcW w:w="7175" w:type="dxa"/>
          </w:tcPr>
          <w:p w14:paraId="66940DFC" w14:textId="77777777" w:rsidR="003118BE" w:rsidRDefault="003118BE" w:rsidP="00212963">
            <w:pPr>
              <w:spacing w:line="360" w:lineRule="auto"/>
              <w:rPr>
                <w:rFonts w:ascii="Arial" w:hAnsi="Arial" w:cs="Arial"/>
                <w:sz w:val="18"/>
                <w:szCs w:val="18"/>
              </w:rPr>
            </w:pPr>
            <w:r w:rsidRPr="00740E5F">
              <w:rPr>
                <w:rFonts w:ascii="Arial" w:hAnsi="Arial" w:cs="Arial"/>
                <w:sz w:val="18"/>
                <w:szCs w:val="18"/>
              </w:rPr>
              <w:t>English[</w:t>
            </w:r>
            <w:proofErr w:type="spellStart"/>
            <w:r w:rsidRPr="00740E5F">
              <w:rPr>
                <w:rFonts w:ascii="Arial" w:hAnsi="Arial" w:cs="Arial"/>
                <w:sz w:val="18"/>
                <w:szCs w:val="18"/>
              </w:rPr>
              <w:t>lang</w:t>
            </w:r>
            <w:proofErr w:type="spellEnd"/>
            <w:r w:rsidRPr="00740E5F">
              <w:rPr>
                <w:rFonts w:ascii="Arial" w:hAnsi="Arial" w:cs="Arial"/>
                <w:sz w:val="18"/>
                <w:szCs w:val="18"/>
              </w:rPr>
              <w:t>]</w:t>
            </w:r>
          </w:p>
          <w:p w14:paraId="58E95D6E" w14:textId="77777777" w:rsidR="003118BE" w:rsidRPr="00740E5F" w:rsidRDefault="003118BE" w:rsidP="00212963">
            <w:pPr>
              <w:spacing w:line="360" w:lineRule="auto"/>
              <w:rPr>
                <w:rFonts w:ascii="Arial" w:hAnsi="Arial" w:cs="Arial"/>
                <w:sz w:val="18"/>
                <w:szCs w:val="18"/>
              </w:rPr>
            </w:pPr>
            <w:r>
              <w:rPr>
                <w:rFonts w:ascii="Arial" w:hAnsi="Arial" w:cs="Arial"/>
                <w:sz w:val="18"/>
                <w:szCs w:val="18"/>
              </w:rPr>
              <w:t>Restrict to publication year 1980 or after</w:t>
            </w:r>
          </w:p>
        </w:tc>
      </w:tr>
      <w:tr w:rsidR="003118BE" w:rsidRPr="00740E5F" w14:paraId="78A833EF" w14:textId="77777777" w:rsidTr="00212963">
        <w:tc>
          <w:tcPr>
            <w:tcW w:w="520" w:type="dxa"/>
          </w:tcPr>
          <w:p w14:paraId="4A885954" w14:textId="77777777" w:rsidR="003118BE" w:rsidRPr="00740E5F" w:rsidRDefault="003118BE" w:rsidP="00212963">
            <w:pPr>
              <w:spacing w:line="360" w:lineRule="auto"/>
              <w:rPr>
                <w:rFonts w:ascii="Arial" w:hAnsi="Arial" w:cs="Arial"/>
                <w:sz w:val="18"/>
                <w:szCs w:val="18"/>
              </w:rPr>
            </w:pPr>
            <w:r>
              <w:rPr>
                <w:rFonts w:ascii="Arial" w:hAnsi="Arial" w:cs="Arial"/>
                <w:sz w:val="18"/>
                <w:szCs w:val="18"/>
              </w:rPr>
              <w:t>5</w:t>
            </w:r>
          </w:p>
        </w:tc>
        <w:tc>
          <w:tcPr>
            <w:tcW w:w="1321" w:type="dxa"/>
          </w:tcPr>
          <w:p w14:paraId="6BD7B697" w14:textId="77777777" w:rsidR="003118BE" w:rsidRPr="00740E5F" w:rsidRDefault="003118BE" w:rsidP="00212963">
            <w:pPr>
              <w:spacing w:line="360" w:lineRule="auto"/>
              <w:rPr>
                <w:rFonts w:ascii="Arial" w:hAnsi="Arial" w:cs="Arial"/>
                <w:sz w:val="18"/>
                <w:szCs w:val="18"/>
              </w:rPr>
            </w:pPr>
          </w:p>
        </w:tc>
        <w:tc>
          <w:tcPr>
            <w:tcW w:w="7175" w:type="dxa"/>
          </w:tcPr>
          <w:p w14:paraId="4D84BF35" w14:textId="77777777" w:rsidR="003118BE" w:rsidRPr="00740E5F" w:rsidRDefault="003118BE" w:rsidP="00212963">
            <w:pPr>
              <w:spacing w:line="360" w:lineRule="auto"/>
              <w:rPr>
                <w:rFonts w:ascii="Arial" w:hAnsi="Arial" w:cs="Arial"/>
                <w:sz w:val="18"/>
                <w:szCs w:val="18"/>
              </w:rPr>
            </w:pPr>
            <w:r w:rsidRPr="00740E5F">
              <w:rPr>
                <w:rFonts w:ascii="Arial" w:hAnsi="Arial" w:cs="Arial"/>
                <w:sz w:val="18"/>
                <w:szCs w:val="18"/>
              </w:rPr>
              <w:t>1 AND 2 AND 3 AND 4</w:t>
            </w:r>
          </w:p>
        </w:tc>
      </w:tr>
    </w:tbl>
    <w:p w14:paraId="0E2B63DF" w14:textId="77777777" w:rsidR="003118BE" w:rsidRDefault="003118BE" w:rsidP="003118BE"/>
    <w:p w14:paraId="694431AC" w14:textId="78327410" w:rsidR="00AE3898" w:rsidRDefault="00AE3898">
      <w:r>
        <w:br w:type="page"/>
      </w:r>
    </w:p>
    <w:p w14:paraId="6E5EECD0" w14:textId="4AAFD39C" w:rsidR="006224BF" w:rsidRDefault="006224BF" w:rsidP="003118BE">
      <w:pPr>
        <w:rPr>
          <w:b/>
        </w:rPr>
      </w:pPr>
      <w:r w:rsidRPr="006224BF">
        <w:rPr>
          <w:b/>
        </w:rPr>
        <w:lastRenderedPageBreak/>
        <w:t>Appendix 1</w:t>
      </w:r>
    </w:p>
    <w:p w14:paraId="16F05220" w14:textId="77777777" w:rsidR="00E71F03" w:rsidRDefault="00E71F03" w:rsidP="00E71F03">
      <w:r>
        <w:t>Additional foods reported with references to the papers in which they were reported:</w:t>
      </w:r>
    </w:p>
    <w:p w14:paraId="1C8B5F82" w14:textId="105B20F1" w:rsidR="00E71F03" w:rsidRDefault="00AB1911" w:rsidP="00E71F03">
      <w:r>
        <w:t>Tea/coffee</w:t>
      </w:r>
      <w:r w:rsidR="00E71F03">
        <w:fldChar w:fldCharType="begin" w:fldLock="1"/>
      </w:r>
      <w:r>
        <w:instrText>ADDIN CSL_CITATION { "citationItems" : [ { "id" : "ITEM-1", "itemData" : { "DOI" : "10.1016/j.jada.2009.12.027", "ISBN" : "0002-8223", "ISSN" : "00028223", "PMID" : "20338280", "abstract" : "Background: Information is limited on persistence of early beverage patterns throughout childhood and adolescence and their influence on long-term dietary intake. Objective: To describe changes in beverage intake during childhood and assess beverage and nutrient intake from ages 5 to 15 years among girls who were consuming or not consuming sweetened carbonated beverages (soda) at age 5 years. Design/subjects: Participants were part of a longitudinal study of non-Hispanic white girls and their parents (n=170) assessed biennially from age 5 to 15 years starting fall 1996. Statistical analyses: At each assessment, intakes of beverages (milk, fruit juice, fruit drinks, soda, and tea/coffee), energy, macronutrients, and micronutrients were assessed using three 24-hour recalls. Analyses of longitudinal changes and the interaction between beverage type and age were conducted using a mixed modeling approach. Girls were categorized as either soda consumers or nonconsumers at age 5 years. A mixed modeling approach was used to assess longitudinal differences and patterns of change in beverage and nutrient intake between soda consumption groups. Results: Early differences in soda intake were predictive of later soda and milk intake and of differences in selected nutrients. Relative to girls who were not consuming soda beverages at age 5 years, soda consumers at age 5 years had higher subsequent soda intake, lower milk intake, higher intake of added sugars, lower protein, fiber, vitamin D, calcium, magnesium, phosphorous, and potassium from ages 5 to 15 years. Conclusions: Soda consumption at age 5 years predicted patterns of nutrient intake that persisted during childhood and into adolescence. Diets of soda consumers were higher in added sugars and lower in protein, fiber, calcium, vitamin D, magnesium, phosphorous, and potassium. Findings provide a more complex picture regarding the emergence of early beverage patterns and their predictive effects on nutrient intake across childhood and adolescence. ?? 2010 American Dietetic Association.", "author" : [ { "dropping-particle" : "", "family" : "Fiorito", "given" : "Laura M.", "non-dropping-particle" : "", "parse-names" : false, "suffix" : "" }, { "dropping-particle" : "", "family" : "Marini", "given" : "Michele", "non-dropping-particle" : "", "parse-names" : false, "suffix" : "" }, { "dropping-particle" : "", "family" : "Mitchell", "given" : "Diane C.", "non-dropping-particle" : "", "parse-names" : false, "suffix" : "" }, { "dropping-particle" : "", "family" : "Smiciklas-Wright", "given" : "Helen", "non-dropping-particle" : "", "parse-names" : false, "suffix" : "" }, { "dropping-particle" : "", "family" : "Birch", "given" : "Leann L.", "non-dropping-particle" : "", "parse-names" : false, "suffix" : "" } ], "container-title" : "Journal of the American Dietetic Association", "id" : "ITEM-1", "issue" : "4", "issued" : { "date-parts" : [ [ "2010" ] ] }, "page" : "543-550", "publisher" : "Elsevier Inc.", "title" : "Girls' Early Sweetened Carbonated Beverage Intake Predicts Different Patterns of Beverage and Nutrient Intake across Childhood and Adolescence", "type" : "article-journal", "volume" : "110" }, "uris" : [ "http://www.mendeley.com/documents/?uuid=22c31d38-4fcc-4384-9ffb-4031a3744143" ] }, { "id" : "ITEM-2", "itemData" : { "DOI" : "10.1016/j.jada.2008.10.043", "ISBN" : "0002-8223; 0002-8223", "ISSN" : "00028223", "PMID" : "19167959", "abstract" : "Detailed research examining concurrent longitudinal and secular changes in adolescent beverage intake is not currently available, particularly since the year 2000. This study's objective was to evaluate these trends in beverage intake in a large, diverse adolescent cohort. Project EAT (Eating Among Teens)-II is a 5-year longitudinal study (n=2,516) including two cohorts, which allows for the observation of longitudinal changes from early to mid-adolescence (junior high to high school) and from mid- to late adolescence (high school to post high school). Project EAT-II also examined secular trends in adolescent health behavior from 1999-2004 in mid-adolescence. Daily beverage servings were assessed using the Youth and Adolescent Food Frequency Questionnaire. Longitudinal findings indicate that intake of soda and sugar-sweetened beverages (including soda, sweetened iced teas, and fruit drinks) increased significantly among younger males, and alcohol increased across all groups (P&lt;0.01). Consumption of certain beverages decreased with age: fruit juice (among all males and older females, P&lt; or =0.02), milk (older adolescents, P&lt;0.01), other milk beverages (all females and older males, P&lt;0.01), diet soda (younger adolescents, P&lt;0.01), and coffee/tea (all males and younger females, P&lt;0.01). Significant secular decreases were observed in fruit juice and coffee/tea for males and females (P&lt; or =0.05). Overall, these findings reflect recent secular and longitudinal shifts in adolescent beverage consumption during the critical transition period from early to mid-adolescence and mid- to late adolescence. Although additional research is needed to better understand nuances in adolescent consumption patterns, registered dietitians and other health care practitioners working with adolescents should address the importance of limiting sugar-sweetened beverages with low nutrient density.", "author" : [ { "dropping-particle" : "", "family" : "Nelson", "given" : "Melissa C.", "non-dropping-particle" : "", "parse-names" : false, "suffix" : "" }, { "dropping-particle" : "", "family" : "Neumark-Sztainer", "given" : "Dianne", "non-dropping-particle" : "", "parse-names" : false, "suffix" : "" }, { "dropping-particle" : "", "family" : "Hannan", "given" : "Peter J.", "non-dropping-particle" : "", "parse-names" : false, "suffix" : "" }, { "dropping-particle" : "", "family" : "Story", "given" : "Mary", "non-dropping-particle" : "", "parse-names" : false, "suffix" : "" } ], "container-title" : "Journal of the American Dietetic Association", "id" : "ITEM-2", "issue" : "2", "issued" : { "date-parts" : [ [ "2009" ] ] }, "page" : "308-312", "publisher" : "American Dietetic Association", "title" : "Five-year longitudinal and secular shifts in adolescent beverage intake: findings from project EAT (Eating Among Teens)-II.", "type" : "article-journal", "volume" : "109" }, "uris" : [ "http://www.mendeley.com/documents/?uuid=97762d4e-19dc-4d46-aced-6fbf14454127" ] }, { "id" : "ITEM-3", "itemData" : { "DOI" : "10.1016/j.jpeds.2005.11.025", "ISBN" : "0022-3476", "ISSN" : "0022-3476", "PMID" : "16492426", "abstract" : "OBJECTIVES: To examine longitudinal changes in consumption of 6 types of beverages (milk, diet and regular soda, fruit juice, fruit-flavored drinks, and coffee/tea) in girls and determine the relationship between beverage intake, body mass index (BMI), and nutrient intake. STUDY DESIGN: Three-day food diaries were included from black (1210) and white (1161) girls who participated in the National Heart, Lung, and Blood Institute Growth and Health Study. Diaries were recorded during annual visits beginning at ages 9 or 10 years until age 19 years. Mixed models estimated the association of (1) visit and race with average daily consumption of beverages and (2) beverage intake with BMI and average daily intake of total calories, sucrose, fructose, total sugars, and calcium. RESULTS: For girls of both races, milk consumption decreased and soda consumption increased with time. Changes in beverage intake with time varied by race for all beverages except fruit juice. For all beverage categories, consumption was associated with caloric intake. Of all beverages, increasing soda consumption predicted the greatest increase of BMI and the lowest increase in calcium intake. CONCLUSIONS: Public health efforts are needed to help adolescents gain access to and choose healthful beverages and decrease intake of beverages of minimal nutritional value.", "author" : [ { "dropping-particle" : "", "family" : "Striegel-Moore", "given" : "Ruth H", "non-dropping-particle" : "", "parse-names" : false, "suffix" : "" }, { "dropping-particle" : "", "family" : "Thompson", "given" : "Douglas", "non-dropping-particle" : "", "parse-names" : false, "suffix" : "" }, { "dropping-particle" : "", "family" : "Affenito", "given" : "Sandra G", "non-dropping-particle" : "", "parse-names" : false, "suffix" : "" }, { "dropping-particle" : "", "family" : "Franko", "given" : "Debra L", "non-dropping-particle" : "", "parse-names" : false, "suffix" : "" }, { "dropping-particle" : "", "family" : "Obarzanek", "given" : "Eva", "non-dropping-particle" : "", "parse-names" : false, "suffix" : "" }, { "dropping-particle" : "", "family" : "Barton", "given" : "Bruce A", "non-dropping-particle" : "", "parse-names" : false, "suffix" : "" }, { "dropping-particle" : "", "family" : "Schreiber", "given" : "George B", "non-dropping-particle" : "", "parse-names" : false, "suffix" : "" }, { "dropping-particle" : "", "family" : "Daniels", "given" : "Stephen R", "non-dropping-particle" : "", "parse-names" : false, "suffix" : "" }, { "dropping-particle" : "", "family" : "Schmidt", "given" : "Marcia", "non-dropping-particle" : "", "parse-names" : false, "suffix" : "" }, { "dropping-particle" : "", "family" : "Crawford", "given" : "Patricia B", "non-dropping-particle" : "", "parse-names" : false, "suffix" : "" } ], "container-title" : "The Journal Of Pediatrics", "id" : "ITEM-3", "issue" : "2", "issued" : { "date-parts" : [ [ "2006" ] ] }, "page" : "183-7", "title" : "Correlates of beverage intake in adolescent girls: the National Heart, Lung, and Blood Institute Growth and Health Study.", "type" : "article-journal", "volume" : "148" }, "uris" : [ "http://www.mendeley.com/documents/?uuid=6e46ea7a-5e82-48ec-8853-e00dab03078d" ] }, { "id" : "ITEM-4", "itemData" : { "DOI" : "10.1038/sj.ejcn.1601345", "ISSN" : "0954-3007", "PMID" : "12032653", "abstract" : "OBJECTIVE: To investigate the change in food habits in Swedish adolescents between 15 and 21 y of age with reference to age, sex, region and socioeconomic background. DESIGN: A longitudinal study from 1993 to 1999. SETTING: Two different regions in Sweden, the university city of Uppsala and the industrial town of Trollh\u00e4ttan. SUBJECTS: On three different occasions, 1993, 1995 and 1999, 208 adolescents, 96 males and 112 females, were studied. METHODS: A food frequency questionnaire containing 29 different food groups was used. The questionnaire also contained questions about food habits and amounts of some food items and socioeconomic conditions of the participants and their families. RESULTS: At 17 and 21 y of age, the adolescents consumed significantly more often pasta, vegetables, coffee and tea compared to age 15, while the frequency consumption of fat spread, milk, bread, potatoes, carrots and buns and biscuits decreased. The changes between 15 and 17 were smaller than between age 17 and 21. At age 21, the males decreased their intake of fruit, while the females decreased their intake of meat. No-meat consumers among females increased from 2 to 13%. Higher educational level of the mothers of the adolescents was associated with more frequent consumption of vegetables and pasta between ages 17 and 21. Milk consumption decreased significantly in both sexes. Breakfast habits did not change: 90% had breakfast five times/week or more. CONCLUSIONS: Food habits change significantly during adolescence along with lifestyle changes. Therefore, health promotion during adolescence ought to be more supported by the society.", "author" : [ { "dropping-particle" : "", "family" : "Post-Skageg\u00e5rd", "given" : "M", "non-dropping-particle" : "von", "parse-names" : false, "suffix" : "" }, { "dropping-particle" : "", "family" : "Samuelson", "given" : "G", "non-dropping-particle" : "", "parse-names" : false, "suffix" : "" }, { "dropping-particle" : "", "family" : "Karlstr\u00f6m", "given" : "B", "non-dropping-particle" : "", "parse-names" : false, "suffix" : "" }, { "dropping-particle" : "", "family" : "Mohsen", "given" : "R", "non-dropping-particle" : "", "parse-names" : false, "suffix" : "" }, { "dropping-particle" : "", "family" : "Berglund", "given" : "L", "non-dropping-particle" : "", "parse-names" : false, "suffix" : "" }, { "dropping-particle" : "", "family" : "Bratteby", "given" : "L-E", "non-dropping-particle" : "", "parse-names" : false, "suffix" : "" } ], "container-title" : "European journal of clinical nutrition", "id" : "ITEM-4", "issue" : "6", "issued" : { "date-parts" : [ [ "2002" ] ] }, "page" : "532-538", "title" : "Changes in food habits in healthy Swedish adolescents during the transition from adolescence to adulthood.", "type" : "article-journal", "volume" : "56" }, "uris" : [ "http://www.mendeley.com/documents/?uuid=2a3c4ce3-2b4a-4f0e-b1d2-5099f842d3a2" ] } ], "mendeley" : { "formattedCitation" : "&lt;sup&gt;1\u20134&lt;/sup&gt;", "plainTextFormattedCitation" : "1\u20134", "previouslyFormattedCitation" : "[1\u20134]" }, "properties" : { "noteIndex" : 0 }, "schema" : "https://github.com/citation-style-language/schema/raw/master/csl-citation.json" }</w:instrText>
      </w:r>
      <w:r w:rsidR="00E71F03">
        <w:fldChar w:fldCharType="separate"/>
      </w:r>
      <w:r w:rsidRPr="00AB1911">
        <w:rPr>
          <w:noProof/>
          <w:vertAlign w:val="superscript"/>
        </w:rPr>
        <w:t>1–4</w:t>
      </w:r>
      <w:r w:rsidR="00E71F03">
        <w:fldChar w:fldCharType="end"/>
      </w:r>
    </w:p>
    <w:p w14:paraId="29DBB573" w14:textId="3C1B0743" w:rsidR="00E71F03" w:rsidRDefault="00AB1911" w:rsidP="00E71F03">
      <w:r>
        <w:t>Bread</w:t>
      </w:r>
      <w:r w:rsidR="00E71F03">
        <w:fldChar w:fldCharType="begin" w:fldLock="1"/>
      </w:r>
      <w:r>
        <w:instrText>ADDIN CSL_CITATION { "citationItems" : [ { "id" : "ITEM-1", "itemData" : { "DOI" : "10.1111/j.1470-6431.2010.00952.x", "ISSN" : "14706423", "abstract" : "The aim of this study was to investigate the development of food habits in adolescents in Troms\u00f8, whether pupil behaviour regarding food habits had changed in tenth grade com- pared with eighth grade, and whether this was linked to pupils\u2019 Home Economics lessons in ninth grade. A total of 606 adolescents (321 boys and 285 girls) were studied on two different occasions \u2013 2002 and 2005. A food-frequency questionnaire comprising 16 different food and beverage groups was used. The questionnaire also enquired about food habits, the amounts of some food items consumed and the socio-economic conditions of the partici- pants and their families. The frequency of eating breakfast, lunch and dinner decreased from eighth to tenth graders. Tenth graders ate chocolate and snacks more often than eighth graders. Girls reported eating fruits and vegetables more often than boys. This applies to both eighth and tenth graders. Far more pupils from both groups need to eat more fruits and vegetables every day. The conclusion of the study is that food habits change significantly from the eighth to the tenth grade. Further progress must be achieved in addressing the issue of translating the theory of nutritional education into practice. More studies and evidence are required to understand the potential of the Home Economics curricula to change the unhealthy eating trends seen in this and other studies.", "author" : [ { "dropping-particle" : "", "family" : "\u00d8vreb\u00f8", "given" : "Else Marie", "non-dropping-particle" : "", "parse-names" : false, "suffix" : "" } ], "container-title" : "International Journal of Consumer Studies", "id" : "ITEM-1", "issue" : "5", "issued" : { "date-parts" : [ [ "2011" ] ] }, "page" : "520-528", "title" : "Food habits of school pupils in Tromso, Norway, in the transition from 13 to 15 years of age", "type" : "article-journal", "volume" : "35" }, "uris" : [ "http://www.mendeley.com/documents/?uuid=8f5ecad9-0bdf-4eb3-86a1-4156775f227d" ] }, { "id" : "ITEM-2", "itemData" : { "DOI" : "10.1186/1479-5868-6-91", "ISBN" : "1479-5868 (Electronic)\\r1479-5868 (Linking)", "ISSN" : "1479-5868", "PMID" : "20003331", "abstract" : "BACKGROUND: The stability of dietary habits through various life-stages is not well understood. A better understanding of the tracking of diet over time could have implications for health promotion as well as for the planning of nutritional epidemiology studies. We examined the stability of dietary intakes of children and adolescents over six years.\\n\\nMETHODS: As part of the European Youth Heart Study, in 1998-9, a 24-h dietary recall was performed on over one thousand 9- and 15-year-olds in Sweden. In 2004-5, 40% returned to the follow-up study. These 452 subjects (273 15- and 179 21-year-olds) were assigned to age- and gender-specific tertiles of intakes of food groups, energy, selected nutrients and energy density (low, mid and high) at each time point. The agreement between the classification of subjects into tertiles at both time points was examined using Cohen's weighted kappa and other stability coefficients. We included a dropout analysis and considered the effect that energy mis-reporting might have on our results.\\n\\nRESULTS: Fair tracking was seen between childhood and adolescence for the milk, fil and yoghurt food group (kappa = 0.30), and between adolescence and young adulthood for fruit (kappa = 0.24). Slight tracking was observed for most other food groups and fair to slight tracking for all nutrients studied. Only membership of the high milk, fil and yoghurt tertile could be predicted from membership at baseline, in children. Excluding potential energy mis-reporters did not affect the results.\\n\\nCONCLUSIONS: Despite the long time between data collections, and the method of dietary data collection used, evidence for slight tracking was observed for most food groups and nutrients over these six years.", "author" : [ { "dropping-particle" : "", "family" : "Patterson", "given" : "Emma", "non-dropping-particle" : "", "parse-names" : false, "suffix" : "" }, { "dropping-particle" : "", "family" : "W\u00e4rnberg", "given" : "Julia", "non-dropping-particle" : "", "parse-names" : false, "suffix" : "" }, { "dropping-particle" : "", "family" : "Kearney", "given" : "John", "non-dropping-particle" : "", "parse-names" : false, "suffix" : "" }, { "dropping-particle" : "", "family" : "Sj\u00f6str\u00f6m", "given" : "Michael", "non-dropping-particle" : "", "parse-names" : false, "suffix" : "" } ], "container-title" : "The International Journal of Behavioral Nutrition and Physical Activity", "id" : "ITEM-2", "issue" : "91", "issued" : { "date-parts" : [ [ "2009" ] ] }, "title" : "The tracking of dietary intakes of children and adolescents in Sweden over six years: the European Youth Heart Study.", "type" : "article-journal", "volume" : "6" }, "uris" : [ "http://www.mendeley.com/documents/?uuid=5a8f5e65-a05d-4e03-a6cd-4d99569ec7e7" ] }, { "id" : "ITEM-3", "itemData" : { "DOI" : "10.1038/sj.ejcn.1601345", "ISSN" : "0954-3007", "PMID" : "12032653", "abstract" : "OBJECTIVE: To investigate the change in food habits in Swedish adolescents between 15 and 21 y of age with reference to age, sex, region and socioeconomic background. DESIGN: A longitudinal study from 1993 to 1999. SETTING: Two different regions in Sweden, the university city of Uppsala and the industrial town of Trollh\u00e4ttan. SUBJECTS: On three different occasions, 1993, 1995 and 1999, 208 adolescents, 96 males and 112 females, were studied. METHODS: A food frequency questionnaire containing 29 different food groups was used. The questionnaire also contained questions about food habits and amounts of some food items and socioeconomic conditions of the participants and their families. RESULTS: At 17 and 21 y of age, the adolescents consumed significantly more often pasta, vegetables, coffee and tea compared to age 15, while the frequency consumption of fat spread, milk, bread, potatoes, carrots and buns and biscuits decreased. The changes between 15 and 17 were smaller than between age 17 and 21. At age 21, the males decreased their intake of fruit, while the females decreased their intake of meat. No-meat consumers among females increased from 2 to 13%. Higher educational level of the mothers of the adolescents was associated with more frequent consumption of vegetables and pasta between ages 17 and 21. Milk consumption decreased significantly in both sexes. Breakfast habits did not change: 90% had breakfast five times/week or more. CONCLUSIONS: Food habits change significantly during adolescence along with lifestyle changes. Therefore, health promotion during adolescence ought to be more supported by the society.", "author" : [ { "dropping-particle" : "", "family" : "Post-Skageg\u00e5rd", "given" : "M", "non-dropping-particle" : "von", "parse-names" : false, "suffix" : "" }, { "dropping-particle" : "", "family" : "Samuelson", "given" : "G", "non-dropping-particle" : "", "parse-names" : false, "suffix" : "" }, { "dropping-particle" : "", "family" : "Karlstr\u00f6m", "given" : "B", "non-dropping-particle" : "", "parse-names" : false, "suffix" : "" }, { "dropping-particle" : "", "family" : "Mohsen", "given" : "R", "non-dropping-particle" : "", "parse-names" : false, "suffix" : "" }, { "dropping-particle" : "", "family" : "Berglund", "given" : "L", "non-dropping-particle" : "", "parse-names" : false, "suffix" : "" }, { "dropping-particle" : "", "family" : "Bratteby", "given" : "L-E", "non-dropping-particle" : "", "parse-names" : false, "suffix" : "" } ], "container-title" : "European journal of clinical nutrition", "id" : "ITEM-3", "issue" : "6", "issued" : { "date-parts" : [ [ "2002" ] ] }, "page" : "532-538", "title" : "Changes in food habits in healthy Swedish adolescents during the transition from adolescence to adulthood.", "type" : "article-journal", "volume" : "56" }, "uris" : [ "http://www.mendeley.com/documents/?uuid=2a3c4ce3-2b4a-4f0e-b1d2-5099f842d3a2" ] } ], "mendeley" : { "formattedCitation" : "&lt;sup&gt;4\u20136&lt;/sup&gt;", "plainTextFormattedCitation" : "4\u20136", "previouslyFormattedCitation" : "[4\u20136]" }, "properties" : { "noteIndex" : 0 }, "schema" : "https://github.com/citation-style-language/schema/raw/master/csl-citation.json" }</w:instrText>
      </w:r>
      <w:r w:rsidR="00E71F03">
        <w:fldChar w:fldCharType="separate"/>
      </w:r>
      <w:r w:rsidRPr="00AB1911">
        <w:rPr>
          <w:noProof/>
          <w:vertAlign w:val="superscript"/>
        </w:rPr>
        <w:t>4–6</w:t>
      </w:r>
      <w:r w:rsidR="00E71F03">
        <w:fldChar w:fldCharType="end"/>
      </w:r>
    </w:p>
    <w:p w14:paraId="6CCCD198" w14:textId="73F273F9" w:rsidR="00E71F03" w:rsidRDefault="00E71F03" w:rsidP="00E71F03">
      <w:r>
        <w:t>Cakes, biscuits, pastries, puddings</w:t>
      </w:r>
      <w:r>
        <w:fldChar w:fldCharType="begin" w:fldLock="1"/>
      </w:r>
      <w:r w:rsidR="00AB1911">
        <w:instrText>ADDIN CSL_CITATION { "citationItems" : [ { "id" : "ITEM-1", "itemData" : { "DOI" : "10.1186/1479-5868-6-91", "ISBN" : "1479-5868 (Electronic)\\r1479-5868 (Linking)", "ISSN" : "1479-5868", "PMID" : "20003331", "abstract" : "BACKGROUND: The stability of dietary habits through various life-stages is not well understood. A better understanding of the tracking of diet over time could have implications for health promotion as well as for the planning of nutritional epidemiology studies. We examined the stability of dietary intakes of children and adolescents over six years.\\n\\nMETHODS: As part of the European Youth Heart Study, in 1998-9, a 24-h dietary recall was performed on over one thousand 9- and 15-year-olds in Sweden. In 2004-5, 40% returned to the follow-up study. These 452 subjects (273 15- and 179 21-year-olds) were assigned to age- and gender-specific tertiles of intakes of food groups, energy, selected nutrients and energy density (low, mid and high) at each time point. The agreement between the classification of subjects into tertiles at both time points was examined using Cohen's weighted kappa and other stability coefficients. We included a dropout analysis and considered the effect that energy mis-reporting might have on our results.\\n\\nRESULTS: Fair tracking was seen between childhood and adolescence for the milk, fil and yoghurt food group (kappa = 0.30), and between adolescence and young adulthood for fruit (kappa = 0.24). Slight tracking was observed for most other food groups and fair to slight tracking for all nutrients studied. Only membership of the high milk, fil and yoghurt tertile could be predicted from membership at baseline, in children. Excluding potential energy mis-reporters did not affect the results.\\n\\nCONCLUSIONS: Despite the long time between data collections, and the method of dietary data collection used, evidence for slight tracking was observed for most food groups and nutrients over these six years.", "author" : [ { "dropping-particle" : "", "family" : "Patterson", "given" : "Emma", "non-dropping-particle" : "", "parse-names" : false, "suffix" : "" }, { "dropping-particle" : "", "family" : "W\u00e4rnberg", "given" : "Julia", "non-dropping-particle" : "", "parse-names" : false, "suffix" : "" }, { "dropping-particle" : "", "family" : "Kearney", "given" : "John", "non-dropping-particle" : "", "parse-names" : false, "suffix" : "" }, { "dropping-particle" : "", "family" : "Sj\u00f6str\u00f6m", "given" : "Michael", "non-dropping-particle" : "", "parse-names" : false, "suffix" : "" } ], "container-title" : "The International Journal of Behavioral Nutrition and Physical Activity", "id" : "ITEM-1", "issue" : "91", "issued" : { "date-parts" : [ [ "2009" ] ] }, "title" : "The tracking of dietary intakes of children and adolescents in Sweden over six years: the European Youth Heart Study.", "type" : "article-journal", "volume" : "6" }, "uris" : [ "http://www.mendeley.com/documents/?uuid=5a8f5e65-a05d-4e03-a6cd-4d99569ec7e7" ] }, { "id" : "ITEM-2", "itemData" : { "DOI" : "10.1038/sj.ejcn.1601345", "ISSN" : "0954-3007", "PMID" : "12032653", "abstract" : "OBJECTIVE: To investigate the change in food habits in Swedish adolescents between 15 and 21 y of age with reference to age, sex, region and socioeconomic background. DESIGN: A longitudinal study from 1993 to 1999. SETTING: Two different regions in Sweden, the university city of Uppsala and the industrial town of Trollh\u00e4ttan. SUBJECTS: On three different occasions, 1993, 1995 and 1999, 208 adolescents, 96 males and 112 females, were studied. METHODS: A food frequency questionnaire containing 29 different food groups was used. The questionnaire also contained questions about food habits and amounts of some food items and socioeconomic conditions of the participants and their families. RESULTS: At 17 and 21 y of age, the adolescents consumed significantly more often pasta, vegetables, coffee and tea compared to age 15, while the frequency consumption of fat spread, milk, bread, potatoes, carrots and buns and biscuits decreased. The changes between 15 and 17 were smaller than between age 17 and 21. At age 21, the males decreased their intake of fruit, while the females decreased their intake of meat. No-meat consumers among females increased from 2 to 13%. Higher educational level of the mothers of the adolescents was associated with more frequent consumption of vegetables and pasta between ages 17 and 21. Milk consumption decreased significantly in both sexes. Breakfast habits did not change: 90% had breakfast five times/week or more. CONCLUSIONS: Food habits change significantly during adolescence along with lifestyle changes. Therefore, health promotion during adolescence ought to be more supported by the society.", "author" : [ { "dropping-particle" : "", "family" : "Post-Skageg\u00e5rd", "given" : "M", "non-dropping-particle" : "von", "parse-names" : false, "suffix" : "" }, { "dropping-particle" : "", "family" : "Samuelson", "given" : "G", "non-dropping-particle" : "", "parse-names" : false, "suffix" : "" }, { "dropping-particle" : "", "family" : "Karlstr\u00f6m", "given" : "B", "non-dropping-particle" : "", "parse-names" : false, "suffix" : "" }, { "dropping-particle" : "", "family" : "Mohsen", "given" : "R", "non-dropping-particle" : "", "parse-names" : false, "suffix" : "" }, { "dropping-particle" : "", "family" : "Berglund", "given" : "L", "non-dropping-particle" : "", "parse-names" : false, "suffix" : "" }, { "dropping-particle" : "", "family" : "Bratteby", "given" : "L-E", "non-dropping-particle" : "", "parse-names" : false, "suffix" : "" } ], "container-title" : "European journal of clinical nutrition", "id" : "ITEM-2", "issue" : "6", "issued" : { "date-parts" : [ [ "2002" ] ] }, "page" : "532-538", "title" : "Changes in food habits in healthy Swedish adolescents during the transition from adolescence to adulthood.", "type" : "article-journal", "volume" : "56" }, "uris" : [ "http://www.mendeley.com/documents/?uuid=2a3c4ce3-2b4a-4f0e-b1d2-5099f842d3a2" ] }, { "id" : "ITEM-3", "itemData" : { "DOI" : "10.3305/nh.2014.30.5.7833", "ISBN" : "0212-1611", "ISSN" : "1699-5198", "PMID" : "25365020", "abstract" : "BACKGROUND: Changing lifestyle habits is considered the principal measure for the control of blood pressure and obesity. The aim of this study was to characterize the eating habits, anthropometric characteristics, physical fitness and blood pressure of students of health science degrees during the first three academic years and to explore the relation between the aforementioned parameters.\\n\\nMETHODS: This was a longitudinal study conducted over three years on the eating habits and physical fitness of health science students (n=366) and the influence of these factors on blood pressure and obesity.\\n\\nRESULTS: The mean food group intakes of both female and male participants corresponded to a high consumption of lean and fatty meat, sweets and pastries and a low consumption of cereals, fruits, vegetables, olive oil, fish, nuts and vegetables. Blood pressure and obesity-related parameters were within normal ranges and did not change over the study period. Aerobic capacity values increased in men from the beginning to the end of the study, while V02max decreased in women between the first and second years.\\n\\nCONCLUSION: We note that, in both women and men, blood pressure values were lower when diet was high in vegetables, legumes, nuts, fish and olive oil. In both sexes, we found a negative correlation between aerobic capacity and systolic and diastolic blood pressure and a positive correlation between obesity and blood pressure. The pattern of the eating habits and changes therein were different in young women and men, the former being focused on improving their diet and the latter on improving their physical fitness.\\n\\nAbstract available from the publisher.", "author" : [ { "dropping-particle" : "", "family" : "Zarrazquin", "given" : "I", "non-dropping-particle" : "", "parse-names" : false, "suffix" : "" }, { "dropping-particle" : "", "family" : "Torres-Unda", "given" : "J", "non-dropping-particle" : "", "parse-names" : false, "suffix" : "" }, { "dropping-particle" : "", "family" : "Ruiz", "given" : "F", "non-dropping-particle" : "", "parse-names" : false, "suffix" : "" }, { "dropping-particle" : "", "family" : "Irazusta", "given" : "J", "non-dropping-particle" : "", "parse-names" : false, "suffix" : "" }, { "dropping-particle" : "", "family" : "Kortajarena", "given" : "Maider", "non-dropping-particle" : "", "parse-names" : false, "suffix" : "" }, { "dropping-particle" : "", "family" : "Hoyos Cillero", "given" : "I", "non-dropping-particle" : "", "parse-names" : false, "suffix" : "" }, { "dropping-particle" : "", "family" : "Gil", "given" : "J", "non-dropping-particle" : "", "parse-names" : false, "suffix" : "" }, { "dropping-particle" : "", "family" : "Irazusta", "given" : "A", "non-dropping-particle" : "", "parse-names" : false, "suffix" : "" } ], "container-title" : "Nutrici\u00f3n Hospitalaria", "id" : "ITEM-3", "issue" : "5", "issued" : { "date-parts" : [ [ "2014" ] ] }, "page" : "1144-51", "title" : "Longitudinal study: lifestyle and cardiovascular health in health science students.", "type" : "article-journal", "volume" : "30" }, "uris" : [ "http://www.mendeley.com/documents/?uuid=d4e95555-1b27-4353-ba25-e7c0857482ac" ] } ], "mendeley" : { "formattedCitation" : "&lt;sup&gt;4,6,7&lt;/sup&gt;", "plainTextFormattedCitation" : "4,6,7", "previouslyFormattedCitation" : "[4,6,7]" }, "properties" : { "noteIndex" : 0 }, "schema" : "https://github.com/citation-style-language/schema/raw/master/csl-citation.json" }</w:instrText>
      </w:r>
      <w:r>
        <w:fldChar w:fldCharType="separate"/>
      </w:r>
      <w:r w:rsidR="00AB1911" w:rsidRPr="00AB1911">
        <w:rPr>
          <w:noProof/>
          <w:vertAlign w:val="superscript"/>
        </w:rPr>
        <w:t>4,6,7</w:t>
      </w:r>
      <w:r>
        <w:fldChar w:fldCharType="end"/>
      </w:r>
    </w:p>
    <w:p w14:paraId="0891A5BD" w14:textId="462F4725" w:rsidR="00E71F03" w:rsidRDefault="00AB1911" w:rsidP="00E71F03">
      <w:r>
        <w:t>Pasta, rice, potatoes</w:t>
      </w:r>
      <w:r w:rsidR="00E71F03">
        <w:fldChar w:fldCharType="begin" w:fldLock="1"/>
      </w:r>
      <w:r>
        <w:instrText>ADDIN CSL_CITATION { "citationItems" : [ { "id" : "ITEM-1", "itemData" : { "DOI" : "10.1186/1479-5868-6-91", "ISBN" : "1479-5868 (Electronic)\\r1479-5868 (Linking)", "ISSN" : "1479-5868", "PMID" : "20003331", "abstract" : "BACKGROUND: The stability of dietary habits through various life-stages is not well understood. A better understanding of the tracking of diet over time could have implications for health promotion as well as for the planning of nutritional epidemiology studies. We examined the stability of dietary intakes of children and adolescents over six years.\\n\\nMETHODS: As part of the European Youth Heart Study, in 1998-9, a 24-h dietary recall was performed on over one thousand 9- and 15-year-olds in Sweden. In 2004-5, 40% returned to the follow-up study. These 452 subjects (273 15- and 179 21-year-olds) were assigned to age- and gender-specific tertiles of intakes of food groups, energy, selected nutrients and energy density (low, mid and high) at each time point. The agreement between the classification of subjects into tertiles at both time points was examined using Cohen's weighted kappa and other stability coefficients. We included a dropout analysis and considered the effect that energy mis-reporting might have on our results.\\n\\nRESULTS: Fair tracking was seen between childhood and adolescence for the milk, fil and yoghurt food group (kappa = 0.30), and between adolescence and young adulthood for fruit (kappa = 0.24). Slight tracking was observed for most other food groups and fair to slight tracking for all nutrients studied. Only membership of the high milk, fil and yoghurt tertile could be predicted from membership at baseline, in children. Excluding potential energy mis-reporters did not affect the results.\\n\\nCONCLUSIONS: Despite the long time between data collections, and the method of dietary data collection used, evidence for slight tracking was observed for most food groups and nutrients over these six years.", "author" : [ { "dropping-particle" : "", "family" : "Patterson", "given" : "Emma", "non-dropping-particle" : "", "parse-names" : false, "suffix" : "" }, { "dropping-particle" : "", "family" : "W\u00e4rnberg", "given" : "Julia", "non-dropping-particle" : "", "parse-names" : false, "suffix" : "" }, { "dropping-particle" : "", "family" : "Kearney", "given" : "John", "non-dropping-particle" : "", "parse-names" : false, "suffix" : "" }, { "dropping-particle" : "", "family" : "Sj\u00f6str\u00f6m", "given" : "Michael", "non-dropping-particle" : "", "parse-names" : false, "suffix" : "" } ], "container-title" : "The International Journal of Behavioral Nutrition and Physical Activity", "id" : "ITEM-1", "issue" : "91", "issued" : { "date-parts" : [ [ "2009" ] ] }, "title" : "The tracking of dietary intakes of children and adolescents in Sweden over six years: the European Youth Heart Study.", "type" : "article-journal", "volume" : "6" }, "uris" : [ "http://www.mendeley.com/documents/?uuid=5a8f5e65-a05d-4e03-a6cd-4d99569ec7e7" ] }, { "id" : "ITEM-2", "itemData" : { "DOI" : "10.1038/sj.ejcn.1601345", "ISSN" : "0954-3007", "PMID" : "12032653", "abstract" : "OBJECTIVE: To investigate the change in food habits in Swedish adolescents between 15 and 21 y of age with reference to age, sex, region and socioeconomic background. DESIGN: A longitudinal study from 1993 to 1999. SETTING: Two different regions in Sweden, the university city of Uppsala and the industrial town of Trollh\u00e4ttan. SUBJECTS: On three different occasions, 1993, 1995 and 1999, 208 adolescents, 96 males and 112 females, were studied. METHODS: A food frequency questionnaire containing 29 different food groups was used. The questionnaire also contained questions about food habits and amounts of some food items and socioeconomic conditions of the participants and their families. RESULTS: At 17 and 21 y of age, the adolescents consumed significantly more often pasta, vegetables, coffee and tea compared to age 15, while the frequency consumption of fat spread, milk, bread, potatoes, carrots and buns and biscuits decreased. The changes between 15 and 17 were smaller than between age 17 and 21. At age 21, the males decreased their intake of fruit, while the females decreased their intake of meat. No-meat consumers among females increased from 2 to 13%. Higher educational level of the mothers of the adolescents was associated with more frequent consumption of vegetables and pasta between ages 17 and 21. Milk consumption decreased significantly in both sexes. Breakfast habits did not change: 90% had breakfast five times/week or more. CONCLUSIONS: Food habits change significantly during adolescence along with lifestyle changes. Therefore, health promotion during adolescence ought to be more supported by the society.", "author" : [ { "dropping-particle" : "", "family" : "Post-Skageg\u00e5rd", "given" : "M", "non-dropping-particle" : "von", "parse-names" : false, "suffix" : "" }, { "dropping-particle" : "", "family" : "Samuelson", "given" : "G", "non-dropping-particle" : "", "parse-names" : false, "suffix" : "" }, { "dropping-particle" : "", "family" : "Karlstr\u00f6m", "given" : "B", "non-dropping-particle" : "", "parse-names" : false, "suffix" : "" }, { "dropping-particle" : "", "family" : "Mohsen", "given" : "R", "non-dropping-particle" : "", "parse-names" : false, "suffix" : "" }, { "dropping-particle" : "", "family" : "Berglund", "given" : "L", "non-dropping-particle" : "", "parse-names" : false, "suffix" : "" }, { "dropping-particle" : "", "family" : "Bratteby", "given" : "L-E", "non-dropping-particle" : "", "parse-names" : false, "suffix" : "" } ], "container-title" : "European journal of clinical nutrition", "id" : "ITEM-2", "issue" : "6", "issued" : { "date-parts" : [ [ "2002" ] ] }, "page" : "532-538", "title" : "Changes in food habits in healthy Swedish adolescents during the transition from adolescence to adulthood.", "type" : "article-journal", "volume" : "56" }, "uris" : [ "http://www.mendeley.com/documents/?uuid=2a3c4ce3-2b4a-4f0e-b1d2-5099f842d3a2" ] } ], "mendeley" : { "formattedCitation" : "&lt;sup&gt;4,6&lt;/sup&gt;", "plainTextFormattedCitation" : "4,6", "previouslyFormattedCitation" : "[4,6]" }, "properties" : { "noteIndex" : 0 }, "schema" : "https://github.com/citation-style-language/schema/raw/master/csl-citation.json" }</w:instrText>
      </w:r>
      <w:r w:rsidR="00E71F03">
        <w:fldChar w:fldCharType="separate"/>
      </w:r>
      <w:r w:rsidRPr="00AB1911">
        <w:rPr>
          <w:noProof/>
          <w:vertAlign w:val="superscript"/>
        </w:rPr>
        <w:t>4,6</w:t>
      </w:r>
      <w:r w:rsidR="00E71F03">
        <w:fldChar w:fldCharType="end"/>
      </w:r>
    </w:p>
    <w:p w14:paraId="568FFE54" w14:textId="257F40A7" w:rsidR="00E71F03" w:rsidRDefault="00AB1911" w:rsidP="00E71F03">
      <w:r>
        <w:t>Pizza, pies, pancakes</w:t>
      </w:r>
      <w:r w:rsidR="00E71F03">
        <w:fldChar w:fldCharType="begin" w:fldLock="1"/>
      </w:r>
      <w:r>
        <w:instrText>ADDIN CSL_CITATION { "citationItems" : [ { "id" : "ITEM-1", "itemData" : { "DOI" : "10.1111/j.1470-6431.2010.00952.x", "ISSN" : "14706423", "abstract" : "The aim of this study was to investigate the development of food habits in adolescents in Troms\u00f8, whether pupil behaviour regarding food habits had changed in tenth grade com- pared with eighth grade, and whether this was linked to pupils\u2019 Home Economics lessons in ninth grade. A total of 606 adolescents (321 boys and 285 girls) were studied on two different occasions \u2013 2002 and 2005. A food-frequency questionnaire comprising 16 different food and beverage groups was used. The questionnaire also enquired about food habits, the amounts of some food items consumed and the socio-economic conditions of the partici- pants and their families. The frequency of eating breakfast, lunch and dinner decreased from eighth to tenth graders. Tenth graders ate chocolate and snacks more often than eighth graders. Girls reported eating fruits and vegetables more often than boys. This applies to both eighth and tenth graders. Far more pupils from both groups need to eat more fruits and vegetables every day. The conclusion of the study is that food habits change significantly from the eighth to the tenth grade. Further progress must be achieved in addressing the issue of translating the theory of nutritional education into practice. More studies and evidence are required to understand the potential of the Home Economics curricula to change the unhealthy eating trends seen in this and other studies.", "author" : [ { "dropping-particle" : "", "family" : "\u00d8vreb\u00f8", "given" : "Else Marie", "non-dropping-particle" : "", "parse-names" : false, "suffix" : "" } ], "container-title" : "International Journal of Consumer Studies", "id" : "ITEM-1", "issue" : "5", "issued" : { "date-parts" : [ [ "2011" ] ] }, "page" : "520-528", "title" : "Food habits of school pupils in Tromso, Norway, in the transition from 13 to 15 years of age", "type" : "article-journal", "volume" : "35" }, "uris" : [ "http://www.mendeley.com/documents/?uuid=8f5ecad9-0bdf-4eb3-86a1-4156775f227d" ] }, { "id" : "ITEM-2", "itemData" : { "DOI" : "10.1186/1479-5868-6-91", "ISBN" : "1479-5868 (Electronic)\\r1479-5868 (Linking)", "ISSN" : "1479-5868", "PMID" : "20003331", "abstract" : "BACKGROUND: The stability of dietary habits through various life-stages is not well understood. A better understanding of the tracking of diet over time could have implications for health promotion as well as for the planning of nutritional epidemiology studies. We examined the stability of dietary intakes of children and adolescents over six years.\\n\\nMETHODS: As part of the European Youth Heart Study, in 1998-9, a 24-h dietary recall was performed on over one thousand 9- and 15-year-olds in Sweden. In 2004-5, 40% returned to the follow-up study. These 452 subjects (273 15- and 179 21-year-olds) were assigned to age- and gender-specific tertiles of intakes of food groups, energy, selected nutrients and energy density (low, mid and high) at each time point. The agreement between the classification of subjects into tertiles at both time points was examined using Cohen's weighted kappa and other stability coefficients. We included a dropout analysis and considered the effect that energy mis-reporting might have on our results.\\n\\nRESULTS: Fair tracking was seen between childhood and adolescence for the milk, fil and yoghurt food group (kappa = 0.30), and between adolescence and young adulthood for fruit (kappa = 0.24). Slight tracking was observed for most other food groups and fair to slight tracking for all nutrients studied. Only membership of the high milk, fil and yoghurt tertile could be predicted from membership at baseline, in children. Excluding potential energy mis-reporters did not affect the results.\\n\\nCONCLUSIONS: Despite the long time between data collections, and the method of dietary data collection used, evidence for slight tracking was observed for most food groups and nutrients over these six years.", "author" : [ { "dropping-particle" : "", "family" : "Patterson", "given" : "Emma", "non-dropping-particle" : "", "parse-names" : false, "suffix" : "" }, { "dropping-particle" : "", "family" : "W\u00e4rnberg", "given" : "Julia", "non-dropping-particle" : "", "parse-names" : false, "suffix" : "" }, { "dropping-particle" : "", "family" : "Kearney", "given" : "John", "non-dropping-particle" : "", "parse-names" : false, "suffix" : "" }, { "dropping-particle" : "", "family" : "Sj\u00f6str\u00f6m", "given" : "Michael", "non-dropping-particle" : "", "parse-names" : false, "suffix" : "" } ], "container-title" : "The International Journal of Behavioral Nutrition and Physical Activity", "id" : "ITEM-2", "issue" : "91", "issued" : { "date-parts" : [ [ "2009" ] ] }, "title" : "The tracking of dietary intakes of children and adolescents in Sweden over six years: the European Youth Heart Study.", "type" : "article-journal", "volume" : "6" }, "uris" : [ "http://www.mendeley.com/documents/?uuid=5a8f5e65-a05d-4e03-a6cd-4d99569ec7e7" ] } ], "mendeley" : { "formattedCitation" : "&lt;sup&gt;5,6&lt;/sup&gt;", "plainTextFormattedCitation" : "5,6", "previouslyFormattedCitation" : "[5,6]" }, "properties" : { "noteIndex" : 0 }, "schema" : "https://github.com/citation-style-language/schema/raw/master/csl-citation.json" }</w:instrText>
      </w:r>
      <w:r w:rsidR="00E71F03">
        <w:fldChar w:fldCharType="separate"/>
      </w:r>
      <w:r w:rsidRPr="00AB1911">
        <w:rPr>
          <w:noProof/>
          <w:vertAlign w:val="superscript"/>
        </w:rPr>
        <w:t>5,6</w:t>
      </w:r>
      <w:r w:rsidR="00E71F03">
        <w:fldChar w:fldCharType="end"/>
      </w:r>
    </w:p>
    <w:p w14:paraId="6D1CBEF8" w14:textId="1DE00503" w:rsidR="00E71F03" w:rsidRDefault="00E71F03" w:rsidP="00E71F03">
      <w:r>
        <w:t>Total grains</w:t>
      </w:r>
      <w:r>
        <w:fldChar w:fldCharType="begin" w:fldLock="1"/>
      </w:r>
      <w:r w:rsidR="00AB1911">
        <w:instrText>ADDIN CSL_CITATION { "citationItems" : [ { "id" : "ITEM-1", "itemData" : { "DOI" : "10.3945/ajcn.2009.28250", "ISBN" : "0002-9165", "ISSN" : "00029165", "PMID" : "19906803", "abstract" : "BACKGROUND: The replacement of refined grains in the diet with whole grains may help prevent chronic disease and excess weight gain, but intakes in adolescents are often lower than recommended. OBJECTIVES: This study aimed to examine demographic disparities and 5-y longitudinal and secular trends (1999-2004) in whole-grain intake among 2 cohorts of Minnesota adolescents. DESIGN: Whole-grain intake was examined among 996 adolescent males and 1222 adolescent females who were Project EAT (Eating Among Teens) participants in 1999 and 2004. Multinomial logistic regression models were used to examine demographic differences in whole-grain intake. Mixed linear regression models were used to estimate 1) longitudinal trends among 2 cohorts of adolescents during developmental transitions and 2) age-matched secular trends between the cohorts at middle adolescence. RESULTS: In 1999, 11% of adolescent males and 13% of adolescent females reported that they consumed more than one daily serving of whole grains. Whole-grain intake was lowest among youth of the Native American and white races and among youth of high socioeconomic status. During the transition from middle to late adolescence, whole-grain intake increased by a mean of 0.14 daily servings among adolescent males and 0.09 daily servings among adolescent females. No significant changes in whole-grain intake were shown among either sex during the transition from early to middle adolescence. Yeast breads, popcorn, and ready-to-eat breakfast cereals were major sources of whole grains in 1999 and 2004. CONCLUSION: Findings suggest the need to advance efforts that target improvements in the amount of whole-grain foods selected by adolescents.", "author" : [ { "dropping-particle" : "", "family" : "Burgess-Champoux", "given" : "Teri L.", "non-dropping-particle" : "", "parse-names" : false, "suffix" : "" }, { "dropping-particle" : "", "family" : "Larson", "given" : "Nicole I.", "non-dropping-particle" : "", "parse-names" : false, "suffix" : "" }, { "dropping-particle" : "", "family" : "Neumark-Sztainer", "given" : "Dianne R.", "non-dropping-particle" : "", "parse-names" : false, "suffix" : "" }, { "dropping-particle" : "", "family" : "Hannan", "given" : "Peter J.", "non-dropping-particle" : "", "parse-names" : false, "suffix" : "" }, { "dropping-particle" : "", "family" : "Story", "given" : "Mary T.", "non-dropping-particle" : "", "parse-names" : false, "suffix" : "" } ], "container-title" : "American Journal of Clinical Nutrition", "id" : "ITEM-1", "issue" : "1", "issued" : { "date-parts" : [ [ "2010" ] ] }, "page" : "154-159", "title" : "Longitudinal and secular trends in adolescent whole-grain consumption, 1999-2004", "type" : "article-journal", "volume" : "91" }, "uris" : [ "http://www.mendeley.com/documents/?uuid=6a4673c5-2123-445e-9082-68c0006d9ec4" ] } ], "mendeley" : { "formattedCitation" : "&lt;sup&gt;8&lt;/sup&gt;", "plainTextFormattedCitation" : "8", "previouslyFormattedCitation" : "[8]" }, "properties" : { "noteIndex" : 0 }, "schema" : "https://github.com/citation-style-language/schema/raw/master/csl-citation.json" }</w:instrText>
      </w:r>
      <w:r>
        <w:fldChar w:fldCharType="separate"/>
      </w:r>
      <w:r w:rsidR="00AB1911" w:rsidRPr="00AB1911">
        <w:rPr>
          <w:noProof/>
          <w:vertAlign w:val="superscript"/>
        </w:rPr>
        <w:t>8</w:t>
      </w:r>
      <w:r>
        <w:fldChar w:fldCharType="end"/>
      </w:r>
    </w:p>
    <w:p w14:paraId="02D723DD" w14:textId="76DA3F11" w:rsidR="00E71F03" w:rsidRDefault="00AB1911" w:rsidP="00E71F03">
      <w:r>
        <w:t>Whole grains</w:t>
      </w:r>
      <w:r w:rsidR="00E71F03">
        <w:fldChar w:fldCharType="begin" w:fldLock="1"/>
      </w:r>
      <w:r>
        <w:instrText>ADDIN CSL_CITATION { "citationItems" : [ { "id" : "ITEM-1", "itemData" : { "DOI" : "10.3945/ajcn.2009.28250", "ISBN" : "0002-9165", "ISSN" : "00029165", "PMID" : "19906803", "abstract" : "BACKGROUND: The replacement of refined grains in the diet with whole grains may help prevent chronic disease and excess weight gain, but intakes in adolescents are often lower than recommended. OBJECTIVES: This study aimed to examine demographic disparities and 5-y longitudinal and secular trends (1999-2004) in whole-grain intake among 2 cohorts of Minnesota adolescents. DESIGN: Whole-grain intake was examined among 996 adolescent males and 1222 adolescent females who were Project EAT (Eating Among Teens) participants in 1999 and 2004. Multinomial logistic regression models were used to examine demographic differences in whole-grain intake. Mixed linear regression models were used to estimate 1) longitudinal trends among 2 cohorts of adolescents during developmental transitions and 2) age-matched secular trends between the cohorts at middle adolescence. RESULTS: In 1999, 11% of adolescent males and 13% of adolescent females reported that they consumed more than one daily serving of whole grains. Whole-grain intake was lowest among youth of the Native American and white races and among youth of high socioeconomic status. During the transition from middle to late adolescence, whole-grain intake increased by a mean of 0.14 daily servings among adolescent males and 0.09 daily servings among adolescent females. No significant changes in whole-grain intake were shown among either sex during the transition from early to middle adolescence. Yeast breads, popcorn, and ready-to-eat breakfast cereals were major sources of whole grains in 1999 and 2004. CONCLUSION: Findings suggest the need to advance efforts that target improvements in the amount of whole-grain foods selected by adolescents.", "author" : [ { "dropping-particle" : "", "family" : "Burgess-Champoux", "given" : "Teri L.", "non-dropping-particle" : "", "parse-names" : false, "suffix" : "" }, { "dropping-particle" : "", "family" : "Larson", "given" : "Nicole I.", "non-dropping-particle" : "", "parse-names" : false, "suffix" : "" }, { "dropping-particle" : "", "family" : "Neumark-Sztainer", "given" : "Dianne R.", "non-dropping-particle" : "", "parse-names" : false, "suffix" : "" }, { "dropping-particle" : "", "family" : "Hannan", "given" : "Peter J.", "non-dropping-particle" : "", "parse-names" : false, "suffix" : "" }, { "dropping-particle" : "", "family" : "Story", "given" : "Mary T.", "non-dropping-particle" : "", "parse-names" : false, "suffix" : "" } ], "container-title" : "American Journal of Clinical Nutrition", "id" : "ITEM-1", "issue" : "1", "issued" : { "date-parts" : [ [ "2010" ] ] }, "page" : "154-159", "title" : "Longitudinal and secular trends in adolescent whole-grain consumption, 1999-2004", "type" : "article-journal", "volume" : "91" }, "uris" : [ "http://www.mendeley.com/documents/?uuid=6a4673c5-2123-445e-9082-68c0006d9ec4" ] }, { "id" : "ITEM-2", "itemData" : { "DOI" : "10.3945/ajcn.2009.28133.1160", "ISBN" : "0002-9165", "ISSN" : "0002-9165", "PMID" : "19793854", "abstract" : "Background: To date, no studies have assessed the longitudinal changes of dietary intake on metabolic risk factors in Latino youth. Objective: We assessed the relation between changes in dietary intake, specifically sugar and fiber intakes, with changes in adipos- ity and risk factors for type 2 diabetes in a longitudinal analysis of overweight Latino youth. Design: Overweight Latino youth (n = 85; aged 11\u201317 y) underwent the following measures over 2 y [mean (6SD) time difference was 1.5 6 0.5 y]: dietary intake by 2-d diet recalls, body composition by dual-energy X-ray absorptiometry and magnetic resonance imaging, and glucose and insulin indexes by oral- and intravenous-glucose- tolerance tests. Partial correlations and repeated-measures analysis of covariance assessed the relation between changes in dietary intake with changes in adiposity and glucose and insulin indexes, indepen- dent of the following a priori covariates: sex, Tanner stage, time be- tween visits, and baseline dietary and metabolic variables of interest. Results: Increases in total dietary fiber (g/1000 kcal) and insoluble fiber (g/1000 kcal) were associated with decreases in visceral adi- pose tissue (VAT) (r = 20.29, P = 0.02, and r = \u20130.27, P = 0.03, for total dietary and insoluble fiber, respectively), independent of base- line covariates and change in subcutaneous abdominal adipose tissue. Participants who had decreased total dietary fiber (mean decrease of 3 g \ue001 1000 kcal21 \ue001 d21) had significant increases in VAT compared with participants who had increased total dietary fiber (21% compared with 24%; P = 0.02). No other changes in di- etary variables were related to changes in adiposity or metabolic variables. Conclusion: Small reductions in dietary fiber intake over 1\u20132 y can have profound effects on increasing visceral adiposity in a high-risk Latino youth population.", "author" : [ { "dropping-particle" : "", "family" : "Davis", "given" : "J N", "non-dropping-particle" : "", "parse-names" : false, "suffix" : "" }, { "dropping-particle" : "", "family" : "Alexander", "given" : "K E", "non-dropping-particle" : "", "parse-names" : false, "suffix" : "" }, { "dropping-particle" : "", "family" : "Ventura", "given" : "E E", "non-dropping-particle" : "", "parse-names" : false, "suffix" : "" }, { "dropping-particle" : "", "family" : "Toledo-Corral", "given" : "C M", "non-dropping-particle" : "", "parse-names" : false, "suffix" : "" }, { "dropping-particle" : "", "family" : "Goran", "given" : "M I", "non-dropping-particle" : "", "parse-names" : false, "suffix" : "" } ], "container-title" : "American Journal of Clinical Nutrition", "id" : "ITEM-2", "issued" : { "date-parts" : [ [ "2009" ] ] }, "page" : "1160-1166", "title" : "Inverse relation between dietary fiber intake and visceral adiposity in overweight Latino youth", "type" : "article-journal", "volume" : "90" }, "uris" : [ "http://www.mendeley.com/documents/?uuid=7f898307-db6f-4388-bd92-f901580abda5" ] }, { "id" : "ITEM-3", "itemData" : { "DOI" : "10.1186/s12966-015-0298-x", "ISSN" : "1479-5868", "author" : [ { "dropping-particle" : "", "family" : "Lipsky", "given" : "Leah M.", "non-dropping-particle" : "", "parse-names" : false, "suffix" : "" }, { "dropping-particle" : "", "family" : "Haynie", "given" : "Denise L.", "non-dropping-particle" : "", "parse-names" : false, "suffix" : "" }, { "dropping-particle" : "", "family" : "Liu", "given" : "Danping", "non-dropping-particle" : "", "parse-names" : false, "suffix" : "" }, { "dropping-particle" : "", "family" : "Chaurasia", "given" : "Ashok", "non-dropping-particle" : "", "parse-names" : false, "suffix" : "" }, { "dropping-particle" : "", "family" : "Gee", "given" : "Benjamin", "non-dropping-particle" : "", "parse-names" : false, "suffix" : "" }, { "dropping-particle" : "", "family" : "Li", "given" : "Kaigang", "non-dropping-particle" : "", "parse-names" : false, "suffix" : "" }, { "dropping-particle" : "", "family" : "Iannotti", "given" : "Ronald J.", "non-dropping-particle" : "", "parse-names" : false, "suffix" : "" }, { "dropping-particle" : "", "family" : "Simons-Morton", "given" : "Bruce", "non-dropping-particle" : "", "parse-names" : false, "suffix" : "" } ], "container-title" : "International Journal of Behavioral Nutrition and Physical Activity", "id" : "ITEM-3", "issue" : "138", "issued" : { "date-parts" : [ [ "2015" ] ] }, "publisher" : "International Journal of Behavioral Nutrition and Physical Activity", "title" : "Trajectories of eating behaviors in a nationally representative cohort of U.S. adolescents during the transition to young adulthood", "type" : "article-journal", "volume" : "12" }, "uris" : [ "http://www.mendeley.com/documents/?uuid=d05e1d57-1fa5-4e91-ab0e-87fbffbef176" ] }, { "id" : "ITEM-4", "itemData" : { "DOI" : "10.1111/j.1365-2796.2012.02577.x", "ISBN" : "info:doi/10.1111/j.1365-2796.2012.02577.x", "ISSN" : "09546820", "PMID" : "22809371", "abstract" : "OBJECTIVES: To investigate whether adherence to a Mediterranean dietary pattern during adolescence and early adulthood affects arterial stiffness in adulthood, and the extent to which any such association may be attributed to a beneficial impact of this diet on cardiovascular disease risk factors such as blood pressure, central fatness and dyslipidaemia.\\n\\nSETTING: The Amsterdam Growth and Health Longitudinal Study.\\n\\nDESIGN AND SUBJECTS: We compared longitudinal levels of adherence to a Mediterranean dietary pattern (aMED score with range 0-9) during adolescence and adulthood (two to eight repeated measures obtained between the ages of 13 and 36) between individuals with different levels of arterial stiffness in adulthood. The study population included 373 (196 women) apparently healthy adults in whom properties of the carotid, brachial and femoral arteries were assessed using ultrasonography at 36 years of age.\\n\\nRESULTS: After adjustments for potential confounders, individuals with stiffer carotid arteries (defined on the basis of the most adverse tertile of, for instance, the distensibility coefficient) had lower aMED scores (-0.32, 95% CI -0.60; -0.06) and were less likely to have adhered to this dietary pattern (aMED score \u22655, odds ratio 0.69, 95% CI 0.50; -0.94) during the preceding 24 years compared with those with less stiff arteries. Differences in aMED scores were already present in adolescence and were only in part explained by the favourable associations between the Mediterranean dietary pattern and other cardiovascular disease risk factors (up to 26%), particularly mean blood pressure (up to 19%).\\n\\nCONCLUSIONS: Promoting the Mediterranean diet in adolescence and early adulthood may constitute an important means of preventing arterial stiffness in adulthood.", "author" : [ { "dropping-particle" : "", "family" : "Laar", "given" : "R. J J", "non-dropping-particle" : "van de", "parse-names" : false, "suffix" : "" }, { "dropping-particle" : "", "family" : "Stehouwer", "given" : "C. D A", "non-dropping-particle" : "", "parse-names" : false, "suffix" : "" }, { "dropping-particle" : "", "family" : "Bussel", "given" : "B. C T", "non-dropping-particle" : "van", "parse-names" : false, "suffix" : "" }, { "dropping-particle" : "", "family" : "Prins", "given" : "M. H.", "non-dropping-particle" : "", "parse-names" : false, "suffix" : "" }, { "dropping-particle" : "", "family" : "Twisk", "given" : "J. W R", "non-dropping-particle" : "", "parse-names" : false, "suffix" : "" }, { "dropping-particle" : "", "family" : "Ferreira", "given" : "I.", "non-dropping-particle" : "", "parse-names" : false, "suffix" : "" } ], "container-title" : "Journal of Internal Medicine", "id" : "ITEM-4", "issue" : "1", "issued" : { "date-parts" : [ [ "2013" ] ] }, "page" : "79-93", "title" : "Adherence to a Mediterranean dietary pattern in early life is associated with lower arterial stiffness in adulthood: The Amsterdam Growth and Health Longitudinal Study", "type" : "article-journal", "volume" : "273" }, "uris" : [ "http://www.mendeley.com/documents/?uuid=2308ef98-5db8-4a5a-a56e-97c39f826345" ] }, { "id" : "ITEM-5", "itemData" : { "DOI" : "10.3945/ajcn.111.024703.Arterial", "abstract" : "Background: Fiber intake is associated with lower cardiovascular disease risk. Whether arterial stiffness is influenced by lifetime fiber intake is not known. Any such association could explain, at least in part, the cardioprotective effects attributed to fiber intake. Objective: The objective was to investigate whether a lower intake of fiber (and fiber-rich foods) throughout the course of young life (ie, from adolescence to adulthood) is associated with arterial stiff- ness in adulthood. Design: This was a longitudinal cohort study among 373 partici- pants in whom dietary intake was assessed between the ages of 13 to 36 y (2\u20138 repeated measures, median of 5), and arterial stiffness estimates of 3 large arteries (ultrasonography) were ascertained at age 36 y. Results: After adjustment for sex, height, total energy intake, and other lifestyle variables, subjects with stiffer carotid arteries con- sumed less fiber (in g/d) during the 24-y study than did those with less stiff carotid arteries, as defined on the basis of the highest compared with the lowest sex-specific tertiles of the distensibility and compliance coefficients (reversed) and Young\u2019s elastic modu- lus: 21.9 (95% CI: 23.1, 20.7), 22.3 (23.5, 21.1), and 21.3 (22.5, 20.0), respectively. Furthermore, subjects with stiffer ca- rotid arteries were characterized by a lower lifetime consumption of fruit, vegetables, and whole grains\u2014deleterious associations that could be explained, to a great extent, by related low fiber intake. Conclusions: Lower lifetime intake of fiber during the course of young age is associated with carotid artery stiffness in adulthood. Promoting consumption of fiber-rich foods among the youngmay offer a means to prevent accelerated arterial stiffening in adulthood and related cardiovascular sequelae", "author" : [ { "dropping-particle" : "", "family" : "Laar", "given" : "Roel J J", "non-dropping-particle" : "van de", "parse-names" : false, "suffix" : "" }, { "dropping-particle" : "", "family" : "Stehouwer", "given" : "Coen D A", "non-dropping-particle" : "", "parse-names" : false, "suffix" : "" }, { "dropping-particle" : "", "family" : "Bussel", "given" : "Bas C T", "non-dropping-particle" : "van", "parse-names" : false, "suffix" : "" }, { "dropping-particle" : "", "family" : "Velde", "given" : "Saskia J", "non-dropping-particle" : "te", "parse-names" : false, "suffix" : "" }, { "dropping-particle" : "", "family" : "Prins", "given" : "Martin H", "non-dropping-particle" : "", "parse-names" : false, "suffix" : "" }, { "dropping-particle" : "", "family" : "Twisk", "given" : "Jos W R", "non-dropping-particle" : "", "parse-names" : false, "suffix" : "" }, { "dropping-particle" : "", "family" : "Ferreira", "given" : "I", "non-dropping-particle" : "", "parse-names" : false, "suffix" : "" } ], "container-title" : "Am J Clin Nutr", "id" : "ITEM-5", "issued" : { "date-parts" : [ [ "2012" ] ] }, "page" : "14-23", "title" : "Lower lifetime dietary fiber intake is associated with carotid artery stiffness : the Amsterdam Growth and Health Longitudinal Study", "type" : "article-journal", "volume" : "96" }, "uris" : [ "http://www.mendeley.com/documents/?uuid=627c7193-0025-4ce6-8449-66b77bb7e152" ] } ], "mendeley" : { "formattedCitation" : "&lt;sup&gt;8\u201312&lt;/sup&gt;", "plainTextFormattedCitation" : "8\u201312", "previouslyFormattedCitation" : "[8\u201312]" }, "properties" : { "noteIndex" : 0 }, "schema" : "https://github.com/citation-style-language/schema/raw/master/csl-citation.json" }</w:instrText>
      </w:r>
      <w:r w:rsidR="00E71F03">
        <w:fldChar w:fldCharType="separate"/>
      </w:r>
      <w:r w:rsidRPr="00AB1911">
        <w:rPr>
          <w:noProof/>
          <w:vertAlign w:val="superscript"/>
        </w:rPr>
        <w:t>8–12</w:t>
      </w:r>
      <w:r w:rsidR="00E71F03">
        <w:fldChar w:fldCharType="end"/>
      </w:r>
    </w:p>
    <w:p w14:paraId="12877AD4" w14:textId="2DB273BA" w:rsidR="00E71F03" w:rsidRDefault="00E71F03" w:rsidP="00E71F03">
      <w:r>
        <w:t>Cereal</w:t>
      </w:r>
      <w:r>
        <w:fldChar w:fldCharType="begin" w:fldLock="1"/>
      </w:r>
      <w:r w:rsidR="00AB1911">
        <w:instrText>ADDIN CSL_CITATION { "citationItems" : [ { "id" : "ITEM-1", "itemData" : { "DOI" : "10.1016/j.jada.2005.06.003", "ISBN" : "0002-8223", "ISSN" : "00028223", "PMID" : "16129079", "abstract" : "Objective: To describe changes in breakfast and cereal consumption of girls between ages 9 and 19 years, and to examine the association of breakfast and cereal intake with body mass index (BMI) and consumption of nutrients. Design: Data from the National Heart, Lung, and Blood Institute Growth and Health Study, a longitudinal biracial observational cohort study with annual 3-day food records. Subjects/setting: The National Heart, Lung, and Blood Institute Growth and Health Study recruited 2,379 girls (1,166 white and 1,213 black), ages 9 and 10 years at baseline, from locations in the Berkeley, CA; Cincinnati, OH; and Washington, DC, areas. Main outcome measures: Frequency of consumption of breakfast (including cereal vs other foods) and cereal; BMI; and dietary fat, fiber, calcium, cholesterol, iron, folic acid, vitamin C, and zinc. Statistical analyses: Generalized estimating equations methodology was used to examine differences in the frequency of breakfast and cereal eating by age. Generalized estimating equations and mixed models were used to examine whether breakfast and cereal consumption were predictive of BMI and nutrient intakes, adjusting for potentially confounding variables. Results: Frequency of breakfast and cereal consumption decreased with age. Days eating breakfast were associated with higher calcium and fiber intake in all models, regardless of adjustment variables. After adjusting for energy intake, cereal consumption was related to increased intake of fiber, calcium, iron, folic acid, vitamin C, and zinc, and decreased intake of fat and cholesterol. Days eating cereal was predictive of lower BMI. Conclusions: Cereal consumption as part of an overall healthful lifestyle may play a role in maintaining a healthful BMI and adequate nutrient intake among adolescent girls. Copyright ?? 2005 by the American Dietetic Association.", "author" : [ { "dropping-particle" : "", "family" : "Barton", "given" : "Bruce A.", "non-dropping-particle" : "", "parse-names" : false, "suffix" : "" }, { "dropping-particle" : "", "family" : "Eldridge", "given" : "Alison L.", "non-dropping-particle" : "", "parse-names" : false, "suffix" : "" }, { "dropping-particle" : "", "family" : "Thompson", "given" : "Douglas", "non-dropping-particle" : "", "parse-names" : false, "suffix" : "" }, { "dropping-particle" : "", "family" : "Affenito", "given" : "Sandra G.", "non-dropping-particle" : "", "parse-names" : false, "suffix" : "" }, { "dropping-particle" : "", "family" : "Striegel-Moore", "given" : "Ruth H.", "non-dropping-particle" : "", "parse-names" : false, "suffix" : "" }, { "dropping-particle" : "", "family" : "Franko", "given" : "Debra L.", "non-dropping-particle" : "", "parse-names" : false, "suffix" : "" }, { "dropping-particle" : "", "family" : "Albertson", "given" : "Ann M.", "non-dropping-particle" : "", "parse-names" : false, "suffix" : "" }, { "dropping-particle" : "", "family" : "Crockett", "given" : "Susan J.", "non-dropping-particle" : "", "parse-names" : false, "suffix" : "" } ], "container-title" : "Journal of the American Dietetic Association", "id" : "ITEM-1", "issue" : "9", "issued" : { "date-parts" : [ [ "2005" ] ] }, "page" : "1383-1389", "title" : "The relationship of breakfast and cereal consumption to nutrient intake and body mass index: The National Heart, Lung, and Blood Institute Growth and Health Study", "type" : "article-journal", "volume" : "105" }, "uris" : [ "http://www.mendeley.com/documents/?uuid=9621cd5d-6e51-420d-83b2-2d49b95bb3bf" ] }, { "id" : "ITEM-2", "itemData" : { "DOI" : "10.1017/S1368980010002016", "ISBN" : "1368-9800", "ISSN" : "1475-2727", "PMID" : "20637142", "abstract" : "OBJECTIVE: To examine the association between cereal consumption and cardiovascular risk factors including waist, height, total cholesterol, LDL cholesterol and HDL cholesterol in a sample of adolescent girls.\\n\\nDESIGN: Longitudinal study.\\n\\nSETTING: The study was conducted from 1987 to 1997 and data were collected at three study sites (University of California at Berkeley, University of Cincinnati and Westat Inc., Rockville, MD, USA). Mixed models were used to estimate the association between the number of days of eating cereal and these four outcome variables.\\n\\nSUBJECTS: Girls (n 2371) who participated in the 10-year National Heart, Lung, and Blood Growth and Health Study (NGHS) and completed a 3 d food diary in years 1-5 and 7, 8 and 10.\\n\\nRESULTS: Adolescent girls who ate cereal more often had lower waist-to-height ratio (P&lt;0.005), lower total cholesterol (P&lt;0.05) and lower LDL cholesterol (P&lt;0.05), taking into account sociodemographic variables, physical activity levels and total energy intake.\\n\\nCONCLUSIONS: Findings suggest that cereal consumption is associated with markers of cardiovascular risk and that childhood patterns of consumption may influence the development of risk factors later in adolescence.", "author" : [ { "dropping-particle" : "", "family" : "Franko", "given" : "Debra L", "non-dropping-particle" : "", "parse-names" : false, "suffix" : "" }, { "dropping-particle" : "", "family" : "Albertson", "given" : "Ann M", "non-dropping-particle" : "", "parse-names" : false, "suffix" : "" }, { "dropping-particle" : "", "family" : "Thompson", "given" : "Douglas R", "non-dropping-particle" : "", "parse-names" : false, "suffix" : "" }, { "dropping-particle" : "", "family" : "Barton", "given" : "Bruce A", "non-dropping-particle" : "", "parse-names" : false, "suffix" : "" } ], "container-title" : "Public health nutrition", "id" : "ITEM-2", "issue" : "4", "issued" : { "date-parts" : [ [ "2011" ] ] }, "page" : "584-590", "title" : "Cereal consumption and indicators of cardiovascular risk in adolescent girls.", "type" : "article-journal", "volume" : "14" }, "uris" : [ "http://www.mendeley.com/documents/?uuid=7d4cdb64-bbb8-4ca9-a26f-a1044df68ae9" ] }, { "id" : "ITEM-3", "itemData" : { "DOI" : "10.1186/1479-5868-6-91", "ISBN" : "1479-5868 (Electronic)\\r1479-5868 (Linking)", "ISSN" : "1479-5868", "PMID" : "20003331", "abstract" : "BACKGROUND: The stability of dietary habits through various life-stages is not well understood. A better understanding of the tracking of diet over time could have implications for health promotion as well as for the planning of nutritional epidemiology studies. We examined the stability of dietary intakes of children and adolescents over six years.\\n\\nMETHODS: As part of the European Youth Heart Study, in 1998-9, a 24-h dietary recall was performed on over one thousand 9- and 15-year-olds in Sweden. In 2004-5, 40% returned to the follow-up study. These 452 subjects (273 15- and 179 21-year-olds) were assigned to age- and gender-specific tertiles of intakes of food groups, energy, selected nutrients and energy density (low, mid and high) at each time point. The agreement between the classification of subjects into tertiles at both time points was examined using Cohen's weighted kappa and other stability coefficients. We included a dropout analysis and considered the effect that energy mis-reporting might have on our results.\\n\\nRESULTS: Fair tracking was seen between childhood and adolescence for the milk, fil and yoghurt food group (kappa = 0.30), and between adolescence and young adulthood for fruit (kappa = 0.24). Slight tracking was observed for most other food groups and fair to slight tracking for all nutrients studied. Only membership of the high milk, fil and yoghurt tertile could be predicted from membership at baseline, in children. Excluding potential energy mis-reporters did not affect the results.\\n\\nCONCLUSIONS: Despite the long time between data collections, and the method of dietary data collection used, evidence for slight tracking was observed for most food groups and nutrients over these six years.", "author" : [ { "dropping-particle" : "", "family" : "Patterson", "given" : "Emma", "non-dropping-particle" : "", "parse-names" : false, "suffix" : "" }, { "dropping-particle" : "", "family" : "W\u00e4rnberg", "given" : "Julia", "non-dropping-particle" : "", "parse-names" : false, "suffix" : "" }, { "dropping-particle" : "", "family" : "Kearney", "given" : "John", "non-dropping-particle" : "", "parse-names" : false, "suffix" : "" }, { "dropping-particle" : "", "family" : "Sj\u00f6str\u00f6m", "given" : "Michael", "non-dropping-particle" : "", "parse-names" : false, "suffix" : "" } ], "container-title" : "The International Journal of Behavioral Nutrition and Physical Activity", "id" : "ITEM-3", "issue" : "91", "issued" : { "date-parts" : [ [ "2009" ] ] }, "title" : "The tracking of dietary intakes of children and adolescents in Sweden over six years: the European Youth Heart Study.", "type" : "article-journal", "volume" : "6" }, "uris" : [ "http://www.mendeley.com/documents/?uuid=5a8f5e65-a05d-4e03-a6cd-4d99569ec7e7" ] }, { "id" : "ITEM-4", "itemData" : { "DOI" : "10.3305/nh.2014.30.5.7833", "ISBN" : "0212-1611", "ISSN" : "1699-5198", "PMID" : "25365020", "abstract" : "BACKGROUND: Changing lifestyle habits is considered the principal measure for the control of blood pressure and obesity. The aim of this study was to characterize the eating habits, anthropometric characteristics, physical fitness and blood pressure of students of health science degrees during the first three academic years and to explore the relation between the aforementioned parameters.\\n\\nMETHODS: This was a longitudinal study conducted over three years on the eating habits and physical fitness of health science students (n=366) and the influence of these factors on blood pressure and obesity.\\n\\nRESULTS: The mean food group intakes of both female and male participants corresponded to a high consumption of lean and fatty meat, sweets and pastries and a low consumption of cereals, fruits, vegetables, olive oil, fish, nuts and vegetables. Blood pressure and obesity-related parameters were within normal ranges and did not change over the study period. Aerobic capacity values increased in men from the beginning to the end of the study, while V02max decreased in women between the first and second years.\\n\\nCONCLUSION: We note that, in both women and men, blood pressure values were lower when diet was high in vegetables, legumes, nuts, fish and olive oil. In both sexes, we found a negative correlation between aerobic capacity and systolic and diastolic blood pressure and a positive correlation between obesity and blood pressure. The pattern of the eating habits and changes therein were different in young women and men, the former being focused on improving their diet and the latter on improving their physical fitness.\\n\\nAbstract available from the publisher.", "author" : [ { "dropping-particle" : "", "family" : "Zarrazquin", "given" : "I", "non-dropping-particle" : "", "parse-names" : false, "suffix" : "" }, { "dropping-particle" : "", "family" : "Torres-Unda", "given" : "J", "non-dropping-particle" : "", "parse-names" : false, "suffix" : "" }, { "dropping-particle" : "", "family" : "Ruiz", "given" : "F", "non-dropping-particle" : "", "parse-names" : false, "suffix" : "" }, { "dropping-particle" : "", "family" : "Irazusta", "given" : "J", "non-dropping-particle" : "", "parse-names" : false, "suffix" : "" }, { "dropping-particle" : "", "family" : "Kortajarena", "given" : "Maider", "non-dropping-particle" : "", "parse-names" : false, "suffix" : "" }, { "dropping-particle" : "", "family" : "Hoyos Cillero", "given" : "I", "non-dropping-particle" : "", "parse-names" : false, "suffix" : "" }, { "dropping-particle" : "", "family" : "Gil", "given" : "J", "non-dropping-particle" : "", "parse-names" : false, "suffix" : "" }, { "dropping-particle" : "", "family" : "Irazusta", "given" : "A", "non-dropping-particle" : "", "parse-names" : false, "suffix" : "" } ], "container-title" : "Nutrici\u00f3n Hospitalaria", "id" : "ITEM-4", "issue" : "5", "issued" : { "date-parts" : [ [ "2014" ] ] }, "page" : "1144-51", "title" : "Longitudinal study: lifestyle and cardiovascular health in health science students.", "type" : "article-journal", "volume" : "30" }, "uris" : [ "http://www.mendeley.com/documents/?uuid=d4e95555-1b27-4353-ba25-e7c0857482ac" ] } ], "mendeley" : { "formattedCitation" : "&lt;sup&gt;6,7,13,14&lt;/sup&gt;", "plainTextFormattedCitation" : "6,7,13,14", "previouslyFormattedCitation" : "[6,7,13,14]" }, "properties" : { "noteIndex" : 0 }, "schema" : "https://github.com/citation-style-language/schema/raw/master/csl-citation.json" }</w:instrText>
      </w:r>
      <w:r>
        <w:fldChar w:fldCharType="separate"/>
      </w:r>
      <w:r w:rsidR="00AB1911" w:rsidRPr="00AB1911">
        <w:rPr>
          <w:noProof/>
          <w:vertAlign w:val="superscript"/>
        </w:rPr>
        <w:t>6,7,13,14</w:t>
      </w:r>
      <w:r>
        <w:fldChar w:fldCharType="end"/>
      </w:r>
    </w:p>
    <w:p w14:paraId="727FCA91" w14:textId="320E667C" w:rsidR="00E71F03" w:rsidRDefault="00E71F03" w:rsidP="00E71F03">
      <w:r>
        <w:t>Fish</w:t>
      </w:r>
      <w:r>
        <w:fldChar w:fldCharType="begin" w:fldLock="1"/>
      </w:r>
      <w:r w:rsidR="00AB1911">
        <w:instrText>ADDIN CSL_CITATION { "citationItems" : [ { "id" : "ITEM-1", "itemData" : { "DOI" : "10.1111/j.1470-6431.2010.00952.x", "ISSN" : "14706423", "abstract" : "The aim of this study was to investigate the development of food habits in adolescents in Troms\u00f8, whether pupil behaviour regarding food habits had changed in tenth grade com- pared with eighth grade, and whether this was linked to pupils\u2019 Home Economics lessons in ninth grade. A total of 606 adolescents (321 boys and 285 girls) were studied on two different occasions \u2013 2002 and 2005. A food-frequency questionnaire comprising 16 different food and beverage groups was used. The questionnaire also enquired about food habits, the amounts of some food items consumed and the socio-economic conditions of the partici- pants and their families. The frequency of eating breakfast, lunch and dinner decreased from eighth to tenth graders. Tenth graders ate chocolate and snacks more often than eighth graders. Girls reported eating fruits and vegetables more often than boys. This applies to both eighth and tenth graders. Far more pupils from both groups need to eat more fruits and vegetables every day. The conclusion of the study is that food habits change significantly from the eighth to the tenth grade. Further progress must be achieved in addressing the issue of translating the theory of nutritional education into practice. More studies and evidence are required to understand the potential of the Home Economics curricula to change the unhealthy eating trends seen in this and other studies.", "author" : [ { "dropping-particle" : "", "family" : "\u00d8vreb\u00f8", "given" : "Else Marie", "non-dropping-particle" : "", "parse-names" : false, "suffix" : "" } ], "container-title" : "International Journal of Consumer Studies", "id" : "ITEM-1", "issue" : "5", "issued" : { "date-parts" : [ [ "2011" ] ] }, "page" : "520-528", "title" : "Food habits of school pupils in Tromso, Norway, in the transition from 13 to 15 years of age", "type" : "article-journal", "volume" : "35" }, "uris" : [ "http://www.mendeley.com/documents/?uuid=8f5ecad9-0bdf-4eb3-86a1-4156775f227d" ] }, { "id" : "ITEM-2", "itemData" : { "DOI" : "10.1111/j.1365-2796.2012.02577.x", "ISBN" : "info:doi/10.1111/j.1365-2796.2012.02577.x", "ISSN" : "09546820", "PMID" : "22809371", "abstract" : "OBJECTIVES: To investigate whether adherence to a Mediterranean dietary pattern during adolescence and early adulthood affects arterial stiffness in adulthood, and the extent to which any such association may be attributed to a beneficial impact of this diet on cardiovascular disease risk factors such as blood pressure, central fatness and dyslipidaemia.\\n\\nSETTING: The Amsterdam Growth and Health Longitudinal Study.\\n\\nDESIGN AND SUBJECTS: We compared longitudinal levels of adherence to a Mediterranean dietary pattern (aMED score with range 0-9) during adolescence and adulthood (two to eight repeated measures obtained between the ages of 13 and 36) between individuals with different levels of arterial stiffness in adulthood. The study population included 373 (196 women) apparently healthy adults in whom properties of the carotid, brachial and femoral arteries were assessed using ultrasonography at 36 years of age.\\n\\nRESULTS: After adjustments for potential confounders, individuals with stiffer carotid arteries (defined on the basis of the most adverse tertile of, for instance, the distensibility coefficient) had lower aMED scores (-0.32, 95% CI -0.60; -0.06) and were less likely to have adhered to this dietary pattern (aMED score \u22655, odds ratio 0.69, 95% CI 0.50; -0.94) during the preceding 24 years compared with those with less stiff arteries. Differences in aMED scores were already present in adolescence and were only in part explained by the favourable associations between the Mediterranean dietary pattern and other cardiovascular disease risk factors (up to 26%), particularly mean blood pressure (up to 19%).\\n\\nCONCLUSIONS: Promoting the Mediterranean diet in adolescence and early adulthood may constitute an important means of preventing arterial stiffness in adulthood.", "author" : [ { "dropping-particle" : "", "family" : "Laar", "given" : "R. J J", "non-dropping-particle" : "van de", "parse-names" : false, "suffix" : "" }, { "dropping-particle" : "", "family" : "Stehouwer", "given" : "C. D A", "non-dropping-particle" : "", "parse-names" : false, "suffix" : "" }, { "dropping-particle" : "", "family" : "Bussel", "given" : "B. C T", "non-dropping-particle" : "van", "parse-names" : false, "suffix" : "" }, { "dropping-particle" : "", "family" : "Prins", "given" : "M. H.", "non-dropping-particle" : "", "parse-names" : false, "suffix" : "" }, { "dropping-particle" : "", "family" : "Twisk", "given" : "J. W R", "non-dropping-particle" : "", "parse-names" : false, "suffix" : "" }, { "dropping-particle" : "", "family" : "Ferreira", "given" : "I.", "non-dropping-particle" : "", "parse-names" : false, "suffix" : "" } ], "container-title" : "Journal of Internal Medicine", "id" : "ITEM-2", "issue" : "1", "issued" : { "date-parts" : [ [ "2013" ] ] }, "page" : "79-93", "title" : "Adherence to a Mediterranean dietary pattern in early life is associated with lower arterial stiffness in adulthood: The Amsterdam Growth and Health Longitudinal Study", "type" : "article-journal", "volume" : "273" }, "uris" : [ "http://www.mendeley.com/documents/?uuid=2308ef98-5db8-4a5a-a56e-97c39f826345" ] }, { "id" : "ITEM-3", "itemData" : { "DOI" : "10.3305/nh.2014.30.5.7833", "ISBN" : "0212-1611", "ISSN" : "1699-5198", "PMID" : "25365020", "abstract" : "BACKGROUND: Changing lifestyle habits is considered the principal measure for the control of blood pressure and obesity. The aim of this study was to characterize the eating habits, anthropometric characteristics, physical fitness and blood pressure of students of health science degrees during the first three academic years and to explore the relation between the aforementioned parameters.\\n\\nMETHODS: This was a longitudinal study conducted over three years on the eating habits and physical fitness of health science students (n=366) and the influence of these factors on blood pressure and obesity.\\n\\nRESULTS: The mean food group intakes of both female and male participants corresponded to a high consumption of lean and fatty meat, sweets and pastries and a low consumption of cereals, fruits, vegetables, olive oil, fish, nuts and vegetables. Blood pressure and obesity-related parameters were within normal ranges and did not change over the study period. Aerobic capacity values increased in men from the beginning to the end of the study, while V02max decreased in women between the first and second years.\\n\\nCONCLUSION: We note that, in both women and men, blood pressure values were lower when diet was high in vegetables, legumes, nuts, fish and olive oil. In both sexes, we found a negative correlation between aerobic capacity and systolic and diastolic blood pressure and a positive correlation between obesity and blood pressure. The pattern of the eating habits and changes therein were different in young women and men, the former being focused on improving their diet and the latter on improving their physical fitness.\\n\\nAbstract available from the publisher.", "author" : [ { "dropping-particle" : "", "family" : "Zarrazquin", "given" : "I", "non-dropping-particle" : "", "parse-names" : false, "suffix" : "" }, { "dropping-particle" : "", "family" : "Torres-Unda", "given" : "J", "non-dropping-particle" : "", "parse-names" : false, "suffix" : "" }, { "dropping-particle" : "", "family" : "Ruiz", "given" : "F", "non-dropping-particle" : "", "parse-names" : false, "suffix" : "" }, { "dropping-particle" : "", "family" : "Irazusta", "given" : "J", "non-dropping-particle" : "", "parse-names" : false, "suffix" : "" }, { "dropping-particle" : "", "family" : "Kortajarena", "given" : "Maider", "non-dropping-particle" : "", "parse-names" : false, "suffix" : "" }, { "dropping-particle" : "", "family" : "Hoyos Cillero", "given" : "I", "non-dropping-particle" : "", "parse-names" : false, "suffix" : "" }, { "dropping-particle" : "", "family" : "Gil", "given" : "J", "non-dropping-particle" : "", "parse-names" : false, "suffix" : "" }, { "dropping-particle" : "", "family" : "Irazusta", "given" : "A", "non-dropping-particle" : "", "parse-names" : false, "suffix" : "" } ], "container-title" : "Nutrici\u00f3n Hospitalaria", "id" : "ITEM-3", "issue" : "5", "issued" : { "date-parts" : [ [ "2014" ] ] }, "page" : "1144-51", "title" : "Longitudinal study: lifestyle and cardiovascular health in health science students.", "type" : "article-journal", "volume" : "30" }, "uris" : [ "http://www.mendeley.com/documents/?uuid=d4e95555-1b27-4353-ba25-e7c0857482ac" ] } ], "mendeley" : { "formattedCitation" : "&lt;sup&gt;5,7,11&lt;/sup&gt;", "plainTextFormattedCitation" : "5,7,11", "previouslyFormattedCitation" : "[5,7,11]" }, "properties" : { "noteIndex" : 0 }, "schema" : "https://github.com/citation-style-language/schema/raw/master/csl-citation.json" }</w:instrText>
      </w:r>
      <w:r>
        <w:fldChar w:fldCharType="separate"/>
      </w:r>
      <w:r w:rsidR="00AB1911" w:rsidRPr="00AB1911">
        <w:rPr>
          <w:noProof/>
          <w:vertAlign w:val="superscript"/>
        </w:rPr>
        <w:t>5,7,11</w:t>
      </w:r>
      <w:r>
        <w:fldChar w:fldCharType="end"/>
      </w:r>
    </w:p>
    <w:p w14:paraId="2B8B0C52" w14:textId="2830C626" w:rsidR="00E71F03" w:rsidRDefault="00AB1911" w:rsidP="00E71F03">
      <w:r>
        <w:t>Spreads, oils</w:t>
      </w:r>
      <w:r w:rsidR="00E71F03">
        <w:fldChar w:fldCharType="begin" w:fldLock="1"/>
      </w:r>
      <w:r>
        <w:instrText>ADDIN CSL_CITATION { "citationItems" : [ { "id" : "ITEM-1", "itemData" : { "DOI" : "10.1186/1479-5868-6-91", "ISBN" : "1479-5868 (Electronic)\\r1479-5868 (Linking)", "ISSN" : "1479-5868", "PMID" : "20003331", "abstract" : "BACKGROUND: The stability of dietary habits through various life-stages is not well understood. A better understanding of the tracking of diet over time could have implications for health promotion as well as for the planning of nutritional epidemiology studies. We examined the stability of dietary intakes of children and adolescents over six years.\\n\\nMETHODS: As part of the European Youth Heart Study, in 1998-9, a 24-h dietary recall was performed on over one thousand 9- and 15-year-olds in Sweden. In 2004-5, 40% returned to the follow-up study. These 452 subjects (273 15- and 179 21-year-olds) were assigned to age- and gender-specific tertiles of intakes of food groups, energy, selected nutrients and energy density (low, mid and high) at each time point. The agreement between the classification of subjects into tertiles at both time points was examined using Cohen's weighted kappa and other stability coefficients. We included a dropout analysis and considered the effect that energy mis-reporting might have on our results.\\n\\nRESULTS: Fair tracking was seen between childhood and adolescence for the milk, fil and yoghurt food group (kappa = 0.30), and between adolescence and young adulthood for fruit (kappa = 0.24). Slight tracking was observed for most other food groups and fair to slight tracking for all nutrients studied. Only membership of the high milk, fil and yoghurt tertile could be predicted from membership at baseline, in children. Excluding potential energy mis-reporters did not affect the results.\\n\\nCONCLUSIONS: Despite the long time between data collections, and the method of dietary data collection used, evidence for slight tracking was observed for most food groups and nutrients over these six years.", "author" : [ { "dropping-particle" : "", "family" : "Patterson", "given" : "Emma", "non-dropping-particle" : "", "parse-names" : false, "suffix" : "" }, { "dropping-particle" : "", "family" : "W\u00e4rnberg", "given" : "Julia", "non-dropping-particle" : "", "parse-names" : false, "suffix" : "" }, { "dropping-particle" : "", "family" : "Kearney", "given" : "John", "non-dropping-particle" : "", "parse-names" : false, "suffix" : "" }, { "dropping-particle" : "", "family" : "Sj\u00f6str\u00f6m", "given" : "Michael", "non-dropping-particle" : "", "parse-names" : false, "suffix" : "" } ], "container-title" : "The International Journal of Behavioral Nutrition and Physical Activity", "id" : "ITEM-1", "issue" : "91", "issued" : { "date-parts" : [ [ "2009" ] ] }, "title" : "The tracking of dietary intakes of children and adolescents in Sweden over six years: the European Youth Heart Study.", "type" : "article-journal", "volume" : "6" }, "uris" : [ "http://www.mendeley.com/documents/?uuid=5a8f5e65-a05d-4e03-a6cd-4d99569ec7e7" ] }, { "id" : "ITEM-2", "itemData" : { "DOI" : "10.1038/sj.ejcn.1601345", "ISSN" : "0954-3007", "PMID" : "12032653", "abstract" : "OBJECTIVE: To investigate the change in food habits in Swedish adolescents between 15 and 21 y of age with reference to age, sex, region and socioeconomic background. DESIGN: A longitudinal study from 1993 to 1999. SETTING: Two different regions in Sweden, the university city of Uppsala and the industrial town of Trollh\u00e4ttan. SUBJECTS: On three different occasions, 1993, 1995 and 1999, 208 adolescents, 96 males and 112 females, were studied. METHODS: A food frequency questionnaire containing 29 different food groups was used. The questionnaire also contained questions about food habits and amounts of some food items and socioeconomic conditions of the participants and their families. RESULTS: At 17 and 21 y of age, the adolescents consumed significantly more often pasta, vegetables, coffee and tea compared to age 15, while the frequency consumption of fat spread, milk, bread, potatoes, carrots and buns and biscuits decreased. The changes between 15 and 17 were smaller than between age 17 and 21. At age 21, the males decreased their intake of fruit, while the females decreased their intake of meat. No-meat consumers among females increased from 2 to 13%. Higher educational level of the mothers of the adolescents was associated with more frequent consumption of vegetables and pasta between ages 17 and 21. Milk consumption decreased significantly in both sexes. Breakfast habits did not change: 90% had breakfast five times/week or more. CONCLUSIONS: Food habits change significantly during adolescence along with lifestyle changes. Therefore, health promotion during adolescence ought to be more supported by the society.", "author" : [ { "dropping-particle" : "", "family" : "Post-Skageg\u00e5rd", "given" : "M", "non-dropping-particle" : "von", "parse-names" : false, "suffix" : "" }, { "dropping-particle" : "", "family" : "Samuelson", "given" : "G", "non-dropping-particle" : "", "parse-names" : false, "suffix" : "" }, { "dropping-particle" : "", "family" : "Karlstr\u00f6m", "given" : "B", "non-dropping-particle" : "", "parse-names" : false, "suffix" : "" }, { "dropping-particle" : "", "family" : "Mohsen", "given" : "R", "non-dropping-particle" : "", "parse-names" : false, "suffix" : "" }, { "dropping-particle" : "", "family" : "Berglund", "given" : "L", "non-dropping-particle" : "", "parse-names" : false, "suffix" : "" }, { "dropping-particle" : "", "family" : "Bratteby", "given" : "L-E", "non-dropping-particle" : "", "parse-names" : false, "suffix" : "" } ], "container-title" : "European journal of clinical nutrition", "id" : "ITEM-2", "issue" : "6", "issued" : { "date-parts" : [ [ "2002" ] ] }, "page" : "532-538", "title" : "Changes in food habits in healthy Swedish adolescents during the transition from adolescence to adulthood.", "type" : "article-journal", "volume" : "56" }, "uris" : [ "http://www.mendeley.com/documents/?uuid=2a3c4ce3-2b4a-4f0e-b1d2-5099f842d3a2" ] }, { "id" : "ITEM-3", "itemData" : { "DOI" : "10.3305/nh.2014.30.5.7833", "ISBN" : "0212-1611", "ISSN" : "1699-5198", "PMID" : "25365020", "abstract" : "BACKGROUND: Changing lifestyle habits is considered the principal measure for the control of blood pressure and obesity. The aim of this study was to characterize the eating habits, anthropometric characteristics, physical fitness and blood pressure of students of health science degrees during the first three academic years and to explore the relation between the aforementioned parameters.\\n\\nMETHODS: This was a longitudinal study conducted over three years on the eating habits and physical fitness of health science students (n=366) and the influence of these factors on blood pressure and obesity.\\n\\nRESULTS: The mean food group intakes of both female and male participants corresponded to a high consumption of lean and fatty meat, sweets and pastries and a low consumption of cereals, fruits, vegetables, olive oil, fish, nuts and vegetables. Blood pressure and obesity-related parameters were within normal ranges and did not change over the study period. Aerobic capacity values increased in men from the beginning to the end of the study, while V02max decreased in women between the first and second years.\\n\\nCONCLUSION: We note that, in both women and men, blood pressure values were lower when diet was high in vegetables, legumes, nuts, fish and olive oil. In both sexes, we found a negative correlation between aerobic capacity and systolic and diastolic blood pressure and a positive correlation between obesity and blood pressure. The pattern of the eating habits and changes therein were different in young women and men, the former being focused on improving their diet and the latter on improving their physical fitness.\\n\\nAbstract available from the publisher.", "author" : [ { "dropping-particle" : "", "family" : "Zarrazquin", "given" : "I", "non-dropping-particle" : "", "parse-names" : false, "suffix" : "" }, { "dropping-particle" : "", "family" : "Torres-Unda", "given" : "J", "non-dropping-particle" : "", "parse-names" : false, "suffix" : "" }, { "dropping-particle" : "", "family" : "Ruiz", "given" : "F", "non-dropping-particle" : "", "parse-names" : false, "suffix" : "" }, { "dropping-particle" : "", "family" : "Irazusta", "given" : "J", "non-dropping-particle" : "", "parse-names" : false, "suffix" : "" }, { "dropping-particle" : "", "family" : "Kortajarena", "given" : "Maider", "non-dropping-particle" : "", "parse-names" : false, "suffix" : "" }, { "dropping-particle" : "", "family" : "Hoyos Cillero", "given" : "I", "non-dropping-particle" : "", "parse-names" : false, "suffix" : "" }, { "dropping-particle" : "", "family" : "Gil", "given" : "J", "non-dropping-particle" : "", "parse-names" : false, "suffix" : "" }, { "dropping-particle" : "", "family" : "Irazusta", "given" : "A", "non-dropping-particle" : "", "parse-names" : false, "suffix" : "" } ], "container-title" : "Nutrici\u00f3n Hospitalaria", "id" : "ITEM-3", "issue" : "5", "issued" : { "date-parts" : [ [ "2014" ] ] }, "page" : "1144-51", "title" : "Longitudinal study: lifestyle and cardiovascular health in health science students.", "type" : "article-journal", "volume" : "30" }, "uris" : [ "http://www.mendeley.com/documents/?uuid=d4e95555-1b27-4353-ba25-e7c0857482ac" ] } ], "mendeley" : { "formattedCitation" : "&lt;sup&gt;4,6,7&lt;/sup&gt;", "plainTextFormattedCitation" : "4,6,7", "previouslyFormattedCitation" : "[4,6,7]" }, "properties" : { "noteIndex" : 0 }, "schema" : "https://github.com/citation-style-language/schema/raw/master/csl-citation.json" }</w:instrText>
      </w:r>
      <w:r w:rsidR="00E71F03">
        <w:fldChar w:fldCharType="separate"/>
      </w:r>
      <w:r w:rsidRPr="00AB1911">
        <w:rPr>
          <w:noProof/>
          <w:vertAlign w:val="superscript"/>
        </w:rPr>
        <w:t>4,6,7</w:t>
      </w:r>
      <w:r w:rsidR="00E71F03">
        <w:fldChar w:fldCharType="end"/>
      </w:r>
    </w:p>
    <w:p w14:paraId="10647225" w14:textId="78152D9E" w:rsidR="00E71F03" w:rsidRDefault="00AB1911" w:rsidP="00E71F03">
      <w:r>
        <w:t>Fried foods</w:t>
      </w:r>
      <w:r w:rsidR="00E71F03">
        <w:fldChar w:fldCharType="begin" w:fldLock="1"/>
      </w:r>
      <w:r>
        <w:instrText>ADDIN CSL_CITATION { "citationItems" : [ { "id" : "ITEM-1", "itemData" : { "DOI" : "10.1016/j.amepre.2006.10.011", "ISSN" : "07493797", "author" : [ { "dropping-particle" : "", "family" : "Larson", "given" : "Nicole I.", "non-dropping-particle" : "", "parse-names" : false, "suffix" : "" }, { "dropping-particle" : "", "family" : "Neumark-Sztainer", "given" : "Dianne", "non-dropping-particle" : "", "parse-names" : false, "suffix" : "" }, { "dropping-particle" : "", "family" : "Hannan", "given" : "Peter J.", "non-dropping-particle" : "", "parse-names" : false, "suffix" : "" }, { "dropping-particle" : "", "family" : "Story", "given" : "Mary", "non-dropping-particle" : "", "parse-names" : false, "suffix" : "" } ], "container-title" : "American Journal of Preventive Medicine", "id" : "ITEM-1", "issue" : "2", "issued" : { "date-parts" : [ [ "2007" ] ] }, "page" : "147-150", "title" : "Trends in Adolescent Fruit and Vegetable Consumption, 1999\u20132004", "type" : "article-journal", "volume" : "32" }, "uris" : [ "http://www.mendeley.com/documents/?uuid=4ce82467-c77b-4518-b65a-4ffb7475615c" ] }, { "id" : "ITEM-2", "itemData" : { "DOI" : "10.1111/j.1470-6431.2010.00952.x", "ISSN" : "14706423", "abstract" : "The aim of this study was to investigate the development of food habits in adolescents in Troms\u00f8, whether pupil behaviour regarding food habits had changed in tenth grade com- pared with eighth grade, and whether this was linked to pupils\u2019 Home Economics lessons in ninth grade. A total of 606 adolescents (321 boys and 285 girls) were studied on two different occasions \u2013 2002 and 2005. A food-frequency questionnaire comprising 16 different food and beverage groups was used. The questionnaire also enquired about food habits, the amounts of some food items consumed and the socio-economic conditions of the partici- pants and their families. The frequency of eating breakfast, lunch and dinner decreased from eighth to tenth graders. Tenth graders ate chocolate and snacks more often than eighth graders. Girls reported eating fruits and vegetables more often than boys. This applies to both eighth and tenth graders. Far more pupils from both groups need to eat more fruits and vegetables every day. The conclusion of the study is that food habits change significantly from the eighth to the tenth grade. Further progress must be achieved in addressing the issue of translating the theory of nutritional education into practice. More studies and evidence are required to understand the potential of the Home Economics curricula to change the unhealthy eating trends seen in this and other studies.", "author" : [ { "dropping-particle" : "", "family" : "\u00d8vreb\u00f8", "given" : "Else Marie", "non-dropping-particle" : "", "parse-names" : false, "suffix" : "" } ], "container-title" : "International Journal of Consumer Studies", "id" : "ITEM-2", "issue" : "5", "issued" : { "date-parts" : [ [ "2011" ] ] }, "page" : "520-528", "title" : "Food habits of school pupils in Tromso, Norway, in the transition from 13 to 15 years of age", "type" : "article-journal", "volume" : "35" }, "uris" : [ "http://www.mendeley.com/documents/?uuid=8f5ecad9-0bdf-4eb3-86a1-4156775f227d" ] }, { "id" : "ITEM-3", "itemData" : { "DOI" : "10.3200/JACH.53.6.245-251", "ISBN" : "0744-8481 (Print)\\r0744-8481", "ISSN" : "0744-8481", "PMID" : "15900988", "abstract" : "Weight gain and behavioral patterns during college may contribute to overweight and obesity in adulthood. The aims of this study were to assess weight, exercise, and dietary patterns of 764 college students (53% women, 47% men) during freshman and sophomore years. Students had their weight and height measured and completed questionnaires about their recent exercise and dietary patterns. At the beginning of freshman year, 29% of students reported not exercising, 70% ate fewer than 5 fruits and vegetables daily, and more than 50% ate fried or high-fat fast foods at least 3 times during the previous week. By the end of their sophomore year, 70% of the 290 students who were reassessed had gained weight (4.1+/-3.6 kg, p &lt; .001), but there was no apparent association with exercise or dietary patterns. Future research is needed to assess the contributions of fat, muscle, and bone mass to observed weight gain and to determine the health implications of these findings.", "author" : [ { "dropping-particle" : "", "family" : "Racette", "given" : "S B", "non-dropping-particle" : "", "parse-names" : false, "suffix" : "" }, { "dropping-particle" : "", "family" : "Deusinger", "given" : "S S", "non-dropping-particle" : "", "parse-names" : false, "suffix" : "" }, { "dropping-particle" : "", "family" : "Strube", "given" : "Mi J", "non-dropping-particle" : "", "parse-names" : false, "suffix" : "" }, { "dropping-particle" : "", "family" : "Highstein", "given" : "G R", "non-dropping-particle" : "", "parse-names" : false, "suffix" : "" }, { "dropping-particle" : "", "family" : "Deusinger", "given" : "R H", "non-dropping-particle" : "", "parse-names" : false, "suffix" : "" } ], "container-title" : "Journal of American College Health", "id" : "ITEM-3", "issue" : "November", "issued" : { "date-parts" : [ [ "2005" ] ] }, "page" : "245-251", "title" : "Weight changes, exercise, and dietary patterns during freshman and sophomore years of college", "type" : "article-journal", "volume" : "53" }, "uris" : [ "http://www.mendeley.com/documents/?uuid=51a62da0-dba8-4141-9e39-94fdb81794f8" ] } ], "mendeley" : { "formattedCitation" : "&lt;sup&gt;5,15,16&lt;/sup&gt;", "plainTextFormattedCitation" : "5,15,16", "previouslyFormattedCitation" : "[5,15,16]" }, "properties" : { "noteIndex" : 0 }, "schema" : "https://github.com/citation-style-language/schema/raw/master/csl-citation.json" }</w:instrText>
      </w:r>
      <w:r w:rsidR="00E71F03">
        <w:fldChar w:fldCharType="separate"/>
      </w:r>
      <w:r w:rsidRPr="00AB1911">
        <w:rPr>
          <w:noProof/>
          <w:vertAlign w:val="superscript"/>
        </w:rPr>
        <w:t>5,15,16</w:t>
      </w:r>
      <w:r w:rsidR="00E71F03">
        <w:fldChar w:fldCharType="end"/>
      </w:r>
    </w:p>
    <w:p w14:paraId="787BAC70" w14:textId="63663D13" w:rsidR="00E71F03" w:rsidRDefault="00AB1911" w:rsidP="00E71F03">
      <w:r>
        <w:t>Nuts and legumes</w:t>
      </w:r>
      <w:r w:rsidR="00E71F03">
        <w:fldChar w:fldCharType="begin" w:fldLock="1"/>
      </w:r>
      <w:r>
        <w:instrText>ADDIN CSL_CITATION { "citationItems" : [ { "id" : "ITEM-1", "itemData" : { "DOI" : "10.1111/j.1365-2796.2012.02577.x", "ISBN" : "info:doi/10.1111/j.1365-2796.2012.02577.x", "ISSN" : "09546820", "PMID" : "22809371", "abstract" : "OBJECTIVES: To investigate whether adherence to a Mediterranean dietary pattern during adolescence and early adulthood affects arterial stiffness in adulthood, and the extent to which any such association may be attributed to a beneficial impact of this diet on cardiovascular disease risk factors such as blood pressure, central fatness and dyslipidaemia.\\n\\nSETTING: The Amsterdam Growth and Health Longitudinal Study.\\n\\nDESIGN AND SUBJECTS: We compared longitudinal levels of adherence to a Mediterranean dietary pattern (aMED score with range 0-9) during adolescence and adulthood (two to eight repeated measures obtained between the ages of 13 and 36) between individuals with different levels of arterial stiffness in adulthood. The study population included 373 (196 women) apparently healthy adults in whom properties of the carotid, brachial and femoral arteries were assessed using ultrasonography at 36 years of age.\\n\\nRESULTS: After adjustments for potential confounders, individuals with stiffer carotid arteries (defined on the basis of the most adverse tertile of, for instance, the distensibility coefficient) had lower aMED scores (-0.32, 95% CI -0.60; -0.06) and were less likely to have adhered to this dietary pattern (aMED score \u22655, odds ratio 0.69, 95% CI 0.50; -0.94) during the preceding 24 years compared with those with less stiff arteries. Differences in aMED scores were already present in adolescence and were only in part explained by the favourable associations between the Mediterranean dietary pattern and other cardiovascular disease risk factors (up to 26%), particularly mean blood pressure (up to 19%).\\n\\nCONCLUSIONS: Promoting the Mediterranean diet in adolescence and early adulthood may constitute an important means of preventing arterial stiffness in adulthood.", "author" : [ { "dropping-particle" : "", "family" : "Laar", "given" : "R. J J", "non-dropping-particle" : "van de", "parse-names" : false, "suffix" : "" }, { "dropping-particle" : "", "family" : "Stehouwer", "given" : "C. D A", "non-dropping-particle" : "", "parse-names" : false, "suffix" : "" }, { "dropping-particle" : "", "family" : "Bussel", "given" : "B. C T", "non-dropping-particle" : "van", "parse-names" : false, "suffix" : "" }, { "dropping-particle" : "", "family" : "Prins", "given" : "M. H.", "non-dropping-particle" : "", "parse-names" : false, "suffix" : "" }, { "dropping-particle" : "", "family" : "Twisk", "given" : "J. W R", "non-dropping-particle" : "", "parse-names" : false, "suffix" : "" }, { "dropping-particle" : "", "family" : "Ferreira", "given" : "I.", "non-dropping-particle" : "", "parse-names" : false, "suffix" : "" } ], "container-title" : "Journal of Internal Medicine", "id" : "ITEM-1", "issue" : "1", "issued" : { "date-parts" : [ [ "2013" ] ] }, "page" : "79-93", "title" : "Adherence to a Mediterranean dietary pattern in early life is associated with lower arterial stiffness in adulthood: The Amsterdam Growth and Health Longitudinal Study", "type" : "article-journal", "volume" : "273" }, "uris" : [ "http://www.mendeley.com/documents/?uuid=2308ef98-5db8-4a5a-a56e-97c39f826345" ] }, { "id" : "ITEM-2", "itemData" : { "DOI" : "10.3305/nh.2014.30.5.7833", "ISBN" : "0212-1611", "ISSN" : "1699-5198", "PMID" : "25365020", "abstract" : "BACKGROUND: Changing lifestyle habits is considered the principal measure for the control of blood pressure and obesity. The aim of this study was to characterize the eating habits, anthropometric characteristics, physical fitness and blood pressure of students of health science degrees during the first three academic years and to explore the relation between the aforementioned parameters.\\n\\nMETHODS: This was a longitudinal study conducted over three years on the eating habits and physical fitness of health science students (n=366) and the influence of these factors on blood pressure and obesity.\\n\\nRESULTS: The mean food group intakes of both female and male participants corresponded to a high consumption of lean and fatty meat, sweets and pastries and a low consumption of cereals, fruits, vegetables, olive oil, fish, nuts and vegetables. Blood pressure and obesity-related parameters were within normal ranges and did not change over the study period. Aerobic capacity values increased in men from the beginning to the end of the study, while V02max decreased in women between the first and second years.\\n\\nCONCLUSION: We note that, in both women and men, blood pressure values were lower when diet was high in vegetables, legumes, nuts, fish and olive oil. In both sexes, we found a negative correlation between aerobic capacity and systolic and diastolic blood pressure and a positive correlation between obesity and blood pressure. The pattern of the eating habits and changes therein were different in young women and men, the former being focused on improving their diet and the latter on improving their physical fitness.\\n\\nAbstract available from the publisher.", "author" : [ { "dropping-particle" : "", "family" : "Zarrazquin", "given" : "I", "non-dropping-particle" : "", "parse-names" : false, "suffix" : "" }, { "dropping-particle" : "", "family" : "Torres-Unda", "given" : "J", "non-dropping-particle" : "", "parse-names" : false, "suffix" : "" }, { "dropping-particle" : "", "family" : "Ruiz", "given" : "F", "non-dropping-particle" : "", "parse-names" : false, "suffix" : "" }, { "dropping-particle" : "", "family" : "Irazusta", "given" : "J", "non-dropping-particle" : "", "parse-names" : false, "suffix" : "" }, { "dropping-particle" : "", "family" : "Kortajarena", "given" : "Maider", "non-dropping-particle" : "", "parse-names" : false, "suffix" : "" }, { "dropping-particle" : "", "family" : "Hoyos Cillero", "given" : "I", "non-dropping-particle" : "", "parse-names" : false, "suffix" : "" }, { "dropping-particle" : "", "family" : "Gil", "given" : "J", "non-dropping-particle" : "", "parse-names" : false, "suffix" : "" }, { "dropping-particle" : "", "family" : "Irazusta", "given" : "A", "non-dropping-particle" : "", "parse-names" : false, "suffix" : "" } ], "container-title" : "Nutrici\u00f3n Hospitalaria", "id" : "ITEM-2", "issue" : "5", "issued" : { "date-parts" : [ [ "2014" ] ] }, "page" : "1144-51", "title" : "Longitudinal study: lifestyle and cardiovascular health in health science students.", "type" : "article-journal", "volume" : "30" }, "uris" : [ "http://www.mendeley.com/documents/?uuid=d4e95555-1b27-4353-ba25-e7c0857482ac" ] } ], "mendeley" : { "formattedCitation" : "&lt;sup&gt;7,11&lt;/sup&gt;", "plainTextFormattedCitation" : "7,11", "previouslyFormattedCitation" : "[7,11]" }, "properties" : { "noteIndex" : 0 }, "schema" : "https://github.com/citation-style-language/schema/raw/master/csl-citation.json" }</w:instrText>
      </w:r>
      <w:r w:rsidR="00E71F03">
        <w:fldChar w:fldCharType="separate"/>
      </w:r>
      <w:r w:rsidRPr="00AB1911">
        <w:rPr>
          <w:noProof/>
          <w:vertAlign w:val="superscript"/>
        </w:rPr>
        <w:t>7,11</w:t>
      </w:r>
      <w:r w:rsidR="00E71F03">
        <w:fldChar w:fldCharType="end"/>
      </w:r>
    </w:p>
    <w:p w14:paraId="3B932AF7" w14:textId="50B9D59D" w:rsidR="00E71F03" w:rsidRDefault="00AB1911" w:rsidP="00E71F03">
      <w:r>
        <w:t>Grains</w:t>
      </w:r>
      <w:r w:rsidR="00E71F03">
        <w:fldChar w:fldCharType="begin" w:fldLock="1"/>
      </w:r>
      <w:r>
        <w:instrText>ADDIN CSL_CITATION { "citationItems" : [ { "id" : "ITEM-1", "itemData" : { "DOI" : "10.3390/nu4111692", "ISBN" : "2072-6643", "ISSN" : "20726643", "PMID" : "23201841", "abstract" : "This study explores the contribution of food group intakes to micronutrient adequacy among 2379 girls in the National Growth and Health Study during three age periods (9\u201313, 14\u201318, and 19\u201320 years). Data on food and nutrient intakes from 3-day diet records over 10 years were used to estimate mean intakes and percent meeting Dietary Guidelines (DGA) recommendations for food intakes and Institute of Medicine\u2019s recommendations for vitamins and minerals. More than 90% of girls failed to consume the recommended amounts of fruit, vegetables and dairy; 75% consumed less than the recommended amounts in the \u201cmeat\u201d group. The vast majority of girls of all ages had inadequate intakes of calcium, magnesium, potassium, and vitamins D and E. In contrast, they consumed &gt;750 kcal/day (~40% of total energy) from the DGA category of solid fat and added sugars, about five times the recommended maximum intakes. This study shows the importance of consuming a variety of foods in all five food groups, including those that are more energy dense such as dairy and meats, in order to meet a broad range of nutrient guidelines. Diet patterns that combined intakes across food groups led to greater improvements in overall nutritional adequacy.", "author" : [ { "dropping-particle" : "", "family" : "Moore", "given" : "Lynn L.", "non-dropping-particle" : "", "parse-names" : false, "suffix" : "" }, { "dropping-particle" : "", "family" : "Singer", "given" : "Martha R.", "non-dropping-particle" : "", "parse-names" : false, "suffix" : "" }, { "dropping-particle" : "", "family" : "Qureshi", "given" : "M M", "non-dropping-particle" : "", "parse-names" : false, "suffix" : "" }, { "dropping-particle" : "", "family" : "Bradlee", "given" : "M L", "non-dropping-particle" : "", "parse-names" : false, "suffix" : "" }, { "dropping-particle" : "", "family" : "Daniels", "given" : "Stephen R.", "non-dropping-particle" : "", "parse-names" : false, "suffix" : "" } ], "container-title" : "Nutrients", "id" : "ITEM-1", "issue" : "11", "issued" : { "date-parts" : [ [ "2012" ] ] }, "page" : "1692-1708", "title" : "Food group intake and micronutrient adequacy in adolescent girls", "type" : "article-journal", "volume" : "4" }, "uris" : [ "http://www.mendeley.com/documents/?uuid=2a2c9c36-2001-4f6e-8801-27c78058f3db" ] } ], "mendeley" : { "formattedCitation" : "&lt;sup&gt;17&lt;/sup&gt;", "plainTextFormattedCitation" : "17", "previouslyFormattedCitation" : "[17]" }, "properties" : { "noteIndex" : 0 }, "schema" : "https://github.com/citation-style-language/schema/raw/master/csl-citation.json" }</w:instrText>
      </w:r>
      <w:r w:rsidR="00E71F03">
        <w:fldChar w:fldCharType="separate"/>
      </w:r>
      <w:r w:rsidRPr="00AB1911">
        <w:rPr>
          <w:noProof/>
          <w:vertAlign w:val="superscript"/>
        </w:rPr>
        <w:t>17</w:t>
      </w:r>
      <w:r w:rsidR="00E71F03">
        <w:fldChar w:fldCharType="end"/>
      </w:r>
    </w:p>
    <w:p w14:paraId="17E41D53" w14:textId="5CE85EE2" w:rsidR="00E71F03" w:rsidRDefault="00AB1911" w:rsidP="00E71F03">
      <w:r>
        <w:t>Refined grains</w:t>
      </w:r>
      <w:r w:rsidR="00E71F03">
        <w:fldChar w:fldCharType="begin" w:fldLock="1"/>
      </w:r>
      <w:r>
        <w:instrText>ADDIN CSL_CITATION { "citationItems" : [ { "id" : "ITEM-1", "itemData" : { "DOI" : "10.3945/ajcn.2009.28133.1160", "ISBN" : "0002-9165", "ISSN" : "0002-9165", "PMID" : "19793854", "abstract" : "Background: To date, no studies have assessed the longitudinal changes of dietary intake on metabolic risk factors in Latino youth. Objective: We assessed the relation between changes in dietary intake, specifically sugar and fiber intakes, with changes in adipos- ity and risk factors for type 2 diabetes in a longitudinal analysis of overweight Latino youth. Design: Overweight Latino youth (n = 85; aged 11\u201317 y) underwent the following measures over 2 y [mean (6SD) time difference was 1.5 6 0.5 y]: dietary intake by 2-d diet recalls, body composition by dual-energy X-ray absorptiometry and magnetic resonance imaging, and glucose and insulin indexes by oral- and intravenous-glucose- tolerance tests. Partial correlations and repeated-measures analysis of covariance assessed the relation between changes in dietary intake with changes in adiposity and glucose and insulin indexes, indepen- dent of the following a priori covariates: sex, Tanner stage, time be- tween visits, and baseline dietary and metabolic variables of interest. Results: Increases in total dietary fiber (g/1000 kcal) and insoluble fiber (g/1000 kcal) were associated with decreases in visceral adi- pose tissue (VAT) (r = 20.29, P = 0.02, and r = \u20130.27, P = 0.03, for total dietary and insoluble fiber, respectively), independent of base- line covariates and change in subcutaneous abdominal adipose tissue. Participants who had decreased total dietary fiber (mean decrease of 3 g \ue001 1000 kcal21 \ue001 d21) had significant increases in VAT compared with participants who had increased total dietary fiber (21% compared with 24%; P = 0.02). No other changes in di- etary variables were related to changes in adiposity or metabolic variables. Conclusion: Small reductions in dietary fiber intake over 1\u20132 y can have profound effects on increasing visceral adiposity in a high-risk Latino youth population.", "author" : [ { "dropping-particle" : "", "family" : "Davis", "given" : "J N", "non-dropping-particle" : "", "parse-names" : false, "suffix" : "" }, { "dropping-particle" : "", "family" : "Alexander", "given" : "K E", "non-dropping-particle" : "", "parse-names" : false, "suffix" : "" }, { "dropping-particle" : "", "family" : "Ventura", "given" : "E E", "non-dropping-particle" : "", "parse-names" : false, "suffix" : "" }, { "dropping-particle" : "", "family" : "Toledo-Corral", "given" : "C M", "non-dropping-particle" : "", "parse-names" : false, "suffix" : "" }, { "dropping-particle" : "", "family" : "Goran", "given" : "M I", "non-dropping-particle" : "", "parse-names" : false, "suffix" : "" } ], "container-title" : "American Journal of Clinical Nutrition", "id" : "ITEM-1", "issued" : { "date-parts" : [ [ "2009" ] ] }, "page" : "1160-1166", "title" : "Inverse relation between dietary fiber intake and visceral adiposity in overweight Latino youth", "type" : "article-journal", "volume" : "90" }, "uris" : [ "http://www.mendeley.com/documents/?uuid=7f898307-db6f-4388-bd92-f901580abda5" ] } ], "mendeley" : { "formattedCitation" : "&lt;sup&gt;9&lt;/sup&gt;", "plainTextFormattedCitation" : "9", "previouslyFormattedCitation" : "[9]" }, "properties" : { "noteIndex" : 0 }, "schema" : "https://github.com/citation-style-language/schema/raw/master/csl-citation.json" }</w:instrText>
      </w:r>
      <w:r w:rsidR="00E71F03">
        <w:fldChar w:fldCharType="separate"/>
      </w:r>
      <w:r w:rsidRPr="00AB1911">
        <w:rPr>
          <w:noProof/>
          <w:vertAlign w:val="superscript"/>
        </w:rPr>
        <w:t>9</w:t>
      </w:r>
      <w:r w:rsidR="00E71F03">
        <w:fldChar w:fldCharType="end"/>
      </w:r>
    </w:p>
    <w:p w14:paraId="2545B998" w14:textId="598CDEC3" w:rsidR="00E71F03" w:rsidRDefault="00E71F03" w:rsidP="00E71F03">
      <w:r>
        <w:t>Cod-liver oil</w:t>
      </w:r>
      <w:r>
        <w:fldChar w:fldCharType="begin" w:fldLock="1"/>
      </w:r>
      <w:r w:rsidR="00AB1911">
        <w:instrText>ADDIN CSL_CITATION { "citationItems" : [ { "id" : "ITEM-1", "itemData" : { "DOI" : "10.1111/j.1470-6431.2010.00952.x", "ISSN" : "14706423", "abstract" : "The aim of this study was to investigate the development of food habits in adolescents in Troms\u00f8, whether pupil behaviour regarding food habits had changed in tenth grade com- pared with eighth grade, and whether this was linked to pupils\u2019 Home Economics lessons in ninth grade. A total of 606 adolescents (321 boys and 285 girls) were studied on two different occasions \u2013 2002 and 2005. A food-frequency questionnaire comprising 16 different food and beverage groups was used. The questionnaire also enquired about food habits, the amounts of some food items consumed and the socio-economic conditions of the partici- pants and their families. The frequency of eating breakfast, lunch and dinner decreased from eighth to tenth graders. Tenth graders ate chocolate and snacks more often than eighth graders. Girls reported eating fruits and vegetables more often than boys. This applies to both eighth and tenth graders. Far more pupils from both groups need to eat more fruits and vegetables every day. The conclusion of the study is that food habits change significantly from the eighth to the tenth grade. Further progress must be achieved in addressing the issue of translating the theory of nutritional education into practice. More studies and evidence are required to understand the potential of the Home Economics curricula to change the unhealthy eating trends seen in this and other studies.", "author" : [ { "dropping-particle" : "", "family" : "\u00d8vreb\u00f8", "given" : "Else Marie", "non-dropping-particle" : "", "parse-names" : false, "suffix" : "" } ], "container-title" : "International Journal of Consumer Studies", "id" : "ITEM-1", "issue" : "5", "issued" : { "date-parts" : [ [ "2011" ] ] }, "page" : "520-528", "title" : "Food habits of school pupils in Tromso, Norway, in the transition from 13 to 15 years of age", "type" : "article-journal", "volume" : "35" }, "uris" : [ "http://www.mendeley.com/documents/?uuid=8f5ecad9-0bdf-4eb3-86a1-4156775f227d" ] } ], "mendeley" : { "formattedCitation" : "&lt;sup&gt;5&lt;/sup&gt;", "plainTextFormattedCitation" : "5", "previouslyFormattedCitation" : "[5]" }, "properties" : { "noteIndex" : 0 }, "schema" : "https://github.com/citation-style-language/schema/raw/master/csl-citation.json" }</w:instrText>
      </w:r>
      <w:r>
        <w:fldChar w:fldCharType="separate"/>
      </w:r>
      <w:r w:rsidR="00AB1911" w:rsidRPr="00AB1911">
        <w:rPr>
          <w:noProof/>
          <w:vertAlign w:val="superscript"/>
        </w:rPr>
        <w:t>5</w:t>
      </w:r>
      <w:r>
        <w:fldChar w:fldCharType="end"/>
      </w:r>
    </w:p>
    <w:p w14:paraId="7EEDB7C9" w14:textId="013C4B8B" w:rsidR="00E71F03" w:rsidRPr="003118BE" w:rsidRDefault="00AB1911" w:rsidP="00E71F03">
      <w:r>
        <w:t>Vitamins and minerals</w:t>
      </w:r>
      <w:r w:rsidR="00E71F03">
        <w:fldChar w:fldCharType="begin" w:fldLock="1"/>
      </w:r>
      <w:r>
        <w:instrText>ADDIN CSL_CITATION { "citationItems" : [ { "id" : "ITEM-1", "itemData" : { "author" : [ { "dropping-particle" : "", "family" : "Adeyanju", "given" : "Matthew", "non-dropping-particle" : "", "parse-names" : false, "suffix" : "" } ], "container-title" : "Adolescence", "id" : "ITEM-1", "issue" : "97", "issued" : { "date-parts" : [ [ "1990" ] ] }, "page" : "155-169", "title" : "Adolescent health status, behaviors and cardiovascular disease", "type" : "article-journal", "volume" : "25" }, "uris" : [ "http://www.mendeley.com/documents/?uuid=47f2df3e-5784-412a-8ba2-1cdb1d9d031e" ] }, { "id" : "ITEM-2", "itemData" : { "ISBN" : "0022-4391 (Print)\\r0022-4391", "ISSN" : "00224391", "PMID" : "3695417", "abstract" : "This study monitored trends in health behavior and attitudes of 93 adolescents who, according to clinical measures, were classified \"at risk\" for cardiovascular disease and determined the relationship among their health status, behavior, and attitude over a four-year period. Data collected included biomedical measures and self-reported health behaviors and attitudes. A greater proportion of \"at risk\" students reported negative health behavior changes in smoking, diet, alcohol, and stress. However, a positive health behavior trend was noted with respect to smokeless tobacco use declining from a high of 14% as freshmen to 8% as seniors. Also, students appeared sensitive to the potentially harmful effects of smoking. In general, a positive relationship existed among health status, health attitudes, and behavior. The findings justify screening to identify students \"at risk\" and beginning early intervention to prevent chronic disease in later life.", "author" : [ { "dropping-particle" : "", "family" : "Adeyanju", "given" : "M", "non-dropping-particle" : "", "parse-names" : false, "suffix" : "" }, { "dropping-particle" : "", "family" : "Creswell", "given" : "W H", "non-dropping-particle" : "", "parse-names" : false, "suffix" : "" } ], "container-title" : "J Sch Health", "id" : "ITEM-2", "issue" : "8", "issued" : { "date-parts" : [ [ "1987" ] ] }, "page" : "326-331", "title" : "The relationship among attitudes, behaviors, and biomedical measures of adolescents \"at risk\" for cardiovascular disease", "type" : "article-journal", "volume" : "57" }, "uris" : [ "http://www.mendeley.com/documents/?uuid=7e492427-f01a-4ed2-8512-347fc56c81eb" ] }, { "id" : "ITEM-3", "itemData" : { "DOI" : "10.1016/j.jada.2005.03.003", "ISBN" : "0002-8223", "ISSN" : "00028223", "PMID" : "15942545", "abstract" : "Objective: To describe age- and race-related differences in breakfast consumption and to examine the association of breakfast intake with dietary calcium and fiber and body mass index (BMI). Design: Data from the National Heart, Lung, and Blood Institute Growth and Health Study, a 9-year, longitudinal biracial cohort study with annual 3-day food records. Subjects/setting: The National Heart, Lung, and Blood Institute Growth and Health Study recruited 2,379 girls (1,166 white and 1,213 African American), aged 9 or 10 years at baseline for an observational study. Retention rates were very high at visits two through four (96%, 94%, and 91%), but declined to a low of 82% at visit seven, and increased to 89% at visit 10. Main outcome measures: Frequency of breakfast consumption, dietary calcium and fiber, and BMI. Statistical analyses: Generalized estimation equations methodology was used to examine differences in the frequency of breakfast eating by age and race. Generalized estimation equations analyses were also conducted to test whether breakfast consumption was predictive of intake of dietary calcium and fiber, and BMI, adjusting for potentially confounding effects of site, age, race, parental education, physical activity, and total energy intake. Results: Frequency of breakfast eating declined with age, white girls reported more frequent breakfast consumption than African-American girls, and the racial difference decreased with increasing age. Days eating breakfast were associated with higher calcium and fiber intake in all models, regardless of adjustment variables. Days eating breakfast were predictive of lower BMI in models that adjusted for basic demographics (ie, site, age, and race), but the independent effect of breakfast was no longer significant after parental education, energy intake, and physical activity were added to the model. Conclusions: Dietetics professionals need to promote the importance of consuming breakfast to all children and adolescents, especially African-American girls. Copyright ?? 2005 by the American Dietetic Association.", "author" : [ { "dropping-particle" : "", "family" : "Affenito", "given" : "Sandra G", "non-dropping-particle" : "", "parse-names" : false, "suffix" : "" }, { "dropping-particle" : "", "family" : "Thompson", "given" : "Douglas R", "non-dropping-particle" : "", "parse-names" : false, "suffix" : "" }, { "dropping-particle" : "", "family" : "Barton", "given" : "Bruce A", "non-dropping-particle" : "", "parse-names" : false, "suffix" : "" }, { "dropping-particle" : "", "family" : "Franko", "given" : "Debra L", "non-dropping-particle" : "", "parse-names" : false, "suffix" : "" }, { "dropping-particle" : "", "family" : "Daniels", "given" : "Stephen R", "non-dropping-particle" : "", "parse-names" : false, "suffix" : "" }, { "dropping-particle" : "", "family" : "Obarzanek", "given" : "Eva", "non-dropping-particle" : "", "parse-names" : false, "suffix" : "" }, { "dropping-particle" : "", "family" : "Schreiber", "given" : "George B", "non-dropping-particle" : "", "parse-names" : false, "suffix" : "" }, { "dropping-particle" : "", "family" : "Striegel-Moore", "given" : "Ruth H", "non-dropping-particle" : "", "parse-names" : false, "suffix" : "" } ], "container-title" : "Journal of the American Dietetic Association", "id" : "ITEM-3", "issue" : "6", "issued" : { "date-parts" : [ [ "2005" ] ] }, "page" : "938-945", "title" : "Breakfast consumption by African-American and white adolescent girls correlates positively with calcium and fiber intake and negatively with body mass index", "type" : "article-journal", "volume" : "105" }, "uris" : [ "http://www.mendeley.com/documents/?uuid=f8498c4e-d3c5-4574-9566-da2450e48399" ] }, { "id" : "ITEM-4", "itemData" : { "DOI" : "10.1016/j.jada.2007.04.014", "ISSN" : "00028223", "PMID" : "17604740", "abstract" : "Objective: Low intakes of micronutrients among adolescents may be linked to long-term health risks, especially in African-American girls. This report describes intake of key micronutrients relative to the Dietary Reference Intakes in a sample of African-American and white girls. Design: Longitudinal analyses used data from 3-day food records collected in the National Heart, Lung, and Blood Institute Growth and Health Study. Subjects/setting: Subjects included 1,166 white and 1,213 African-American girls (aged 9 to 18 years). Main outcome measures: Estimated usual daily intakes of vitamins A, E, C, D, B-6, B-12, magnesium, folate, calcium, and zinc were compared to the Adequate Intake (for vitamin D and calcium) or the Estimated Average Requirement (EAR) (all other micronutrients). Statistical analyses performed: Usual daily intake of each micronutrient was estimated. For nutrients with an EAR, the EAR cut-point method was used to assess the prevalence of low nutrient intakes. Mixed models were used to identify age and racial differences in usual daily intake of each nutrient. Results: African-American girls consumed less vitamin A and D, calcium, and magnesium compared to white girls. Regardless of race, a substantial percentage of girls had intakes below the EAR: vitamin E (81.2% to 99.0%), magnesium (24.0% to 94.5%), folate (46.0% to 87.3%). Intakes of vitamins A, D, and C; calcium; and magnesium decreased across years. As girls aged, there was an increasing proportion with intakes below the EAR for vitamins A, C, B-6, and B-12. Conclusions: Food and nutrition professionals should continue to educate adolescent girls, especially those who are African American, about the importance of a nutrient-dense diet for optimum health. \u00a9 2007 American Dietetic Association.", "author" : [ { "dropping-particle" : "", "family" : "Affenito", "given" : "Sandra G", "non-dropping-particle" : "", "parse-names" : false, "suffix" : "" }, { "dropping-particle" : "", "family" : "Thompson", "given" : "Douglas R", "non-dropping-particle" : "", "parse-names" : false, "suffix" : "" }, { "dropping-particle" : "", "family" : "Franko", "given" : "Debra L", "non-dropping-particle" : "", "parse-names" : false, "suffix" : "" }, { "dropping-particle" : "", "family" : "Striegel-Moore", "given" : "Ruth H", "non-dropping-particle" : "", "parse-names" : false, "suffix" : "" }, { "dropping-particle" : "", "family" : "Daniels", "given" : "Stephen R", "non-dropping-particle" : "", "parse-names" : false, "suffix" : "" }, { "dropping-particle" : "", "family" : "Barton", "given" : "Bruce A", "non-dropping-particle" : "", "parse-names" : false, "suffix" : "" }, { "dropping-particle" : "", "family" : "Schreiber", "given" : "George B", "non-dropping-particle" : "", "parse-names" : false, "suffix" : "" }, { "dropping-particle" : "", "family" : "Schmidt", "given" : "Marcia", "non-dropping-particle" : "", "parse-names" : false, "suffix" : "" }, { "dropping-particle" : "", "family" : "Crawford", "given" : "Patricia B", "non-dropping-particle" : "", "parse-names" : false, "suffix" : "" } ], "container-title" : "Journal of the American Dietetic Association", "id" : "ITEM-4", "issue" : "7", "issued" : { "date-parts" : [ [ "2007" ] ] }, "page" : "1113-1123", "title" : "Longitudinal Assessment of Micronutrient Intake among African-American and White Girls: The National Heart, Lung, and Blood Institute Growth and Health Study", "type" : "article-journal", "volume" : "107" }, "uris" : [ "http://www.mendeley.com/documents/?uuid=eceadbff-26f2-4fa7-8045-2e9edc0430cc" ] }, { "id" : "ITEM-5", "itemData" : { "DOI" : "10.1017/S1368980014002432", "ISBN" : "1368-9800", "ISSN" : "1475-2727", "PMID" : "25373528", "abstract" : "OBJECTIVE: Adequate Zn and Mg intakes may be beneficial for the prevention and treatment of mental health problems, such as depression, anxiety and attention-deficit hyperactivity disorder. We aimed to investigate the prospective association between dietary intakes of Zn and Mg and internalising and externalising behaviour problems in a population-based cohort of adolescents., DESIGN: Prospective analysis (general linear mixed models) of dietary intakes of Zn and Mg assessed using a validated FFQ and mental health symptoms assessed using the Youth Self-Report (YSR), adjusting for sex, physical activity, family income, supplement status, dietary misreporting, BMI, family functioning and energy intake., SETTING: Western Australian Pregnancy Cohort (Raine) Study., SUBJECTS: Adolescents (n 684) at the 14- and 17-year follow-ups., RESULTS: Higher dietary intake of Mg (per sd increase) was significantly associated with reduced externalising behaviours (beta=-145; 95 % CI -240, -050; P=0003). There was a trend towards reduced externalising behaviours with higher Zn intake (per sd increase; beta=-073; 95 % CI -157, 010; P=0085)., CONCLUSIONS: The study shows an association between higher dietary Mg intake and reduced externalising behaviour problems in adolescents. We observed a similar trend, although not statistically significant, for Zn intake. Randomised controlled trials are necessary to determine any benefit of micronutrient supplementation in the prevention and treatment of mental health problems in adolescents.", "author" : [ { "dropping-particle" : "", "family" : "Black", "given" : "Lucinda J", "non-dropping-particle" : "", "parse-names" : false, "suffix" : "" }, { "dropping-particle" : "", "family" : "Allen", "given" : "Karina L", "non-dropping-particle" : "", "parse-names" : false, "suffix" : "" }, { "dropping-particle" : "", "family" : "Jacoby", "given" : "Peter", "non-dropping-particle" : "", "parse-names" : false, "suffix" : "" }, { "dropping-particle" : "", "family" : "Trapp", "given" : "Gina S", "non-dropping-particle" : "", "parse-names" : false, "suffix" : "" }, { "dropping-particle" : "", "family" : "Gallagher", "given" : "Caroline M", "non-dropping-particle" : "", "parse-names" : false, "suffix" : "" }, { "dropping-particle" : "", "family" : "Byrne", "given" : "Susan M", "non-dropping-particle" : "", "parse-names" : false, "suffix" : "" }, { "dropping-particle" : "", "family" : "Oddy", "given" : "Wendy H", "non-dropping-particle" : "", "parse-names" : false, "suffix" : "" } ], "container-title" : "Public health nutrition", "id" : "ITEM-5", "issue" : "10", "issued" : { "date-parts" : [ [ "2015" ] ] }, "page" : "1824-1830", "title" : "Low dietary intake of magnesium is associated with increased externalising behaviours in adolescents.", "type" : "article-journal", "volume" : "18" }, "uris" : [ "http://www.mendeley.com/documents/?uuid=bd0f31b3-a354-4a0d-bc02-100abf97b317" ] }, { "id" : "ITEM-6", "itemData" : { "DOI" : "10.1017/S000711451400186X", "ISBN" : "0007-1145", "ISSN" : "0007-1145", "abstract" : "Despite the importance of skeletal growth during adolescence, there is limited research reporting vitamin D status and its predictors in adolescents. Using prospective data from the Western Australian Pregnancy Cohort (Raine) Study, we investigated vitamin D status and predictors of serum 25-hydroxyvitamin D (25(OH)D) concentrations in adolescents. Serum 25(OH)D concentrations were measured in the same participants at 14 and 17 years (n 1045 at both time points). The percentage of adolescents with serum 25(OH)D concentrations &lt;50, 50-74.9 and &gt;75 nmol/l was reported year-round and by month of blood collection. We examined the predictors of serum 25(OH)D concentrations, including sex, race, month of blood collection, physical activity, BMI, family income, and Ca and vitamin D intakes (n 919 at 14 years; n 570 at 17 years), using a general linear mixed model. At 14 years, 31 % of adolescents had serum 25(OH)D concentrations between 50 and 74.9 nmol/l and a further 4 % had concentrations &lt;50 nmol/l. At 17 years, 40 % of adolescents had serum 25(OH)D concentrations between 50 and 74.9 nmol/l and 12 % had concentrations &lt;50 nmol/l. Caucasian ethnicity, being sampled at the end of summer, exercising more, having a lower BMI, a higher Ca intake and a higher family income were significantly associated with higher serum 25(OH)D concentrations. The proportion of adolescents with serum 25(OH)D concentrations &lt; 50 nmol/l was low in this Western Australian cohort. There is a need for international consensus on defining adequate vitamin D status in order to determine whether strategies to increase vitamin D status in adolescents are warranted.", "author" : [ { "dropping-particle" : "", "family" : "Black", "given" : "L J", "non-dropping-particle" : "", "parse-names" : false, "suffix" : "" }, { "dropping-particle" : "", "family" : "Burrows", "given" : "S A", "non-dropping-particle" : "", "parse-names" : false, "suffix" : "" }, { "dropping-particle" : "", "family" : "Jacoby", "given" : "P", "non-dropping-particle" : "", "parse-names" : false, "suffix" : "" }, { "dropping-particle" : "", "family" : "Oddy", "given" : "W H", "non-dropping-particle" : "", "parse-names" : false, "suffix" : "" }, { "dropping-particle" : "", "family" : "Beilin", "given" : "L J", "non-dropping-particle" : "", "parse-names" : false, "suffix" : "" }, { "dropping-particle" : "", "family" : "Ping-Delfos", "given" : "W C S", "non-dropping-particle" : "", "parse-names" : false, "suffix" : "" }, { "dropping-particle" : "", "family" : "Marshall", "given" : "C E", "non-dropping-particle" : "", "parse-names" : false, "suffix" : "" }, { "dropping-particle" : "", "family" : "Holt", "given" : "P G", "non-dropping-particle" : "", "parse-names" : false, "suffix" : "" }, { "dropping-particle" : "", "family" : "Hart", "given" : "P H", "non-dropping-particle" : "", "parse-names" : false, "suffix" : "" }, { "dropping-particle" : "", "family" : "Mori", "given" : "T A", "non-dropping-particle" : "", "parse-names" : false, "suffix" : "" } ], "container-title" : "British Journal of Nutrition", "id" : "ITEM-6", "issue" : "7", "issued" : { "date-parts" : [ [ "2014" ] ] }, "page" : "1154-1162", "title" : "Vitamin D status and predictors of serum 25-hydroxyvitamin D concentrations in Western Australian adolescents", "type" : "article-journal", "volume" : "112" }, "uris" : [ "http://www.mendeley.com/documents/?uuid=cb1aa97d-2ab0-4fb6-9d2d-2176c8065562" ] }, { "id" : "ITEM-7", "itemData" : { "DOI" : "10.1093/aje/kwi161", "ISSN" : "00029262", "PMID" : "15961583", "abstract" : "To investigate whether dietary calcium intake is related to body mass index and the sum of four skinfolds among subjects in the Amsterdam Growth and Health Longitudinal Study (the Netherlands), the authors followed a cohort of men and women from age 13 years in 1977 to age 36 years in 2000. Longitudinal linear regression analyses were performed with generalized estimating equations in continuous and categorical models, with adjustment for possible confounders. Results showed that calcium intake during adolescence is a weak predictor of calcium intake in adulthood. In this population, only a slight indication was found of a weak inverse relation of calcium intake with body composition. No differences were observed between the middle (800-1,200 mg/day) and high (&gt;1,200 mg/day) groups of calcium intake, suggesting a threshold of approximately 800 mg/day above which calcium intake has no additional beneficial effect on body composition.", "author" : [ { "dropping-particle" : "", "family" : "Boon", "given" : "N", "non-dropping-particle" : "", "parse-names" : false, "suffix" : "" }, { "dropping-particle" : "", "family" : "Koppes", "given" : "L L J", "non-dropping-particle" : "", "parse-names" : false, "suffix" : "" }, { "dropping-particle" : "", "family" : "Saris", "given" : "W H M", "non-dropping-particle" : "", "parse-names" : false, "suffix" : "" }, { "dropping-particle" : "", "family" : "Mechelen", "given" : "W", "non-dropping-particle" : "Van", "parse-names" : false, "suffix" : "" } ], "container-title" : "American Journal of Epidemiology", "id" : "ITEM-7", "issue" : "1", "issued" : { "date-parts" : [ [ "2005" ] ] }, "page" : "27-32", "title" : "The relation between calcium intake and body composition in a Dutch population: The Amsterdam Growth and Health Longitudinal Study", "type" : "article-journal", "volume" : "162" }, "uris" : [ "http://www.mendeley.com/documents/?uuid=d6c605f6-f3e7-4976-af3a-53c946947a2e" ] }, { "id" : "ITEM-8", "itemData" : { "DOI" : "10.1186/s12966-015-0173-9", "ISBN" : "10.1186/s12966-015-0173-9", "ISSN" : "1479-5868", "PMID" : "25881147", "abstract" : "BACKGROUND: The transition to higher education involves a significant life change and might be accompanied with less healthy behaviours. However, the only longitudinal study that spanned the period from high school to college/university was limited to self-reported weight. Other studies assessed objective weight, but only at the start of the first semester at college/university and used retrospective questionnaires to asses health behaviours in high school. This study investigated changes in objectively assessed weight and prospective health behaviours during the transition from high school to college/university in Belgian students and examined which health behaviour changes were related to weight change.\\n\\nMETHODS: A sample of 291 students was followed from the final year of high school until the second year of college/university. Body mass index (BMI) and waist circumference were measured objectively. Physical activity, sedentary behaviours and dietary intake were estimated using validated questionnaires. In order to study changes in BMI and health behaviours, 2 \u00d7 2 (time \u00d7 gender) Repeated Measures ANOVA analyses were conducted. A stepwise multiple regression analysis was executed to investigate the association between changes in health behaviours and BMI changes, and the moderating effect of gender.\\n\\nRESULTS: On average students gained 2.7\u00a0kg with a greater increase in boys (boys: 4.2\u00a0kg, girls: 1.9\u00a0kg). Active transportation and sport participation decreased. Some sedentary behaviours (watching TV/DVD, playing computer games) decreased, while others (internet use, studying) increased. Consumption of different foods decreased, while alcohol consumption increased. A higher decrease in sport participation, a higher increase in internet use and a lower increase in studying were related to a greater increase in BMI. An increase in alcohol consumption only contributed to weight gain in boys, whereas a decrease in fruit/vegetable intake only contributed to weight gain in girls.\\n\\nCONCLUSION: We can conclude that the transition to higher education is an at risk period for weight gain and unfavourable changes in health behaviours. Interventions to prevent weight gain in college/university students should therefore already start in high school with a somewhat different focus in boys versus girls.", "author" : [ { "dropping-particle" : "", "family" : "Deforche", "given" : "Benedicte", "non-dropping-particle" : "", "parse-names" : false, "suffix" : "" }, { "dropping-particle" : "", "family" : "Dyck", "given" : "Delfien", "non-dropping-particle" : "Van", "parse-names" : false, "suffix" : "" }, { "dropping-particle" : "", "family" : "Deliens", "given" : "Tom", "non-dropping-particle" : "", "parse-names" : false, "suffix" : "" }, { "dropping-particle" : "", "family" : "Bourdeaudhuij", "given" : "Ilse", "non-dropping-particle" : "De", "parse-names" : false, "suffix" : "" } ], "container-title" : "The international journal of behavioral nutrition and physical activity", "id" : "ITEM-8", "issue" : "1", "issued" : { "date-parts" : [ [ "2015" ] ] }, "page" : "16", "title" : "Changes in weight, physical activity, sedentary behaviour and dietary intake during the transition to higher education: a prospective study.", "type" : "article-journal", "volume" : "12" }, "uris" : [ "http://www.mendeley.com/documents/?uuid=ca3357ed-a7b0-41f6-a802-11dd11673d08" ] }, { "id" : "ITEM-9", "itemData" : { "ISBN" : "0952-3871", "ISSN" : "0952-3871", "PMID" : "12460151", "abstract" : "OBJECTIVES: To assess nutritional intake, growth parameters, physical activity and television viewing in French adolescents.\\n\\nMETHOD: A longitudinal study of dietary intake and anthropometric data recorded in the same children (n = 94) from 10 to 16 years of age is presented here.\\n\\nRESULTS: Energy intake increased from age 10-16 years in boys, whereas it decreased in girls from the age of 14. Height and weight increased in both males and females over the same period of time. Energy intake was positively associated with age at menarche. Nutritional intake, such as fat and calcium, did not meet recommendations for French adolescents. Height was higher than reference values, but the difference was not significant for girls between 14 and 16 years. Overweight (BMI &gt; 97th percentile of the French reference) was found to be 13-14% between age 10 and 16 years. Time watching TV/computer increased with age from 1.4 to 2.2 h day-1 from 10 to 16 years. Active children had nutritional intake closer to recommendations.\\n\\nCONCLUSION: In conclusion, this study shows that during adolescence, some nutritional variations can be explained by normal individual growth processes. Low intake of calcium in girls and sedentary lifestyle are of particular concern.", "author" : [ { "dropping-particle" : "", "family" : "Deheeger", "given" : "M", "non-dropping-particle" : "", "parse-names" : false, "suffix" : "" }, { "dropping-particle" : "", "family" : "Bellisle", "given" : "F", "non-dropping-particle" : "", "parse-names" : false, "suffix" : "" }, { "dropping-particle" : "", "family" : "Rolland-Cachera", "given" : "M F", "non-dropping-particle" : "", "parse-names" : false, "suffix" : "" } ], "container-title" : "Journal of human nutrition and dietetics : the official journal of the British Dietetic Association", "id" : "ITEM-9", "issue" : "6", "issued" : { "date-parts" : [ [ "2002" ] ] }, "page" : "429-38", "title" : "The French longitudinal study of growth and nutrition: data in adolescent males and females.", "type" : "article-journal", "volume" : "15" }, "uris" : [ "http://www.mendeley.com/documents/?uuid=6fefc67f-b38a-48d8-b5a6-edf3d9e244c7" ] }, { "id" : "ITEM-10", "itemData" : { "DOI" : "10.1017/PHN2006969", "ISBN" : "1368-9800 (Print)\\r1368-9800 (Linking)", "ISSN" : "1368-9800", "PMID" : "17125567", "abstract" : "OBJECTIVE: To assess tracking of energy and nutrient intakes between adolescence and young adulthood. DESIGN: Longitudinal study of a random sample of adolescents (aged 15 years at baseline). The extent of tracking of dietary intakes (assessed by diet history) was investigated using weighted kappa statistics (kappa). SETTING: Northern Ireland population survey. SUBJECTS: Adolescents who participated in the Young Hearts Project, Northern Ireland at age 15 years, and subsequently at young adulthood aged between 20 and 25 years (n=245 males, n=231 females). RESULTS: Despite overall increases in height and weight (both P&lt;0.001), increases in body mass index in males (P&lt;0.001) and body fatness in females (P&lt;0.001), median reported intakes of energy (kJ kg(-1) day(-1)), carbohydrate (g day(-1)) and fat (g day(-1)) decreased (all P&lt;0.001) over time. Expressed as nutrient densities (per MJ), diets at young adulthood were overall richer in thiamin, vitamin B6, total folate (all P&lt;0.001), vitamin C (P&lt;0.01) and vitamin D (P&lt;0.05). Whereas the nutrient density of the males' diets decreased over time for calcium (P&lt;0.05) and vitamin A (P&lt;0.001), iron and riboflavin densities increased in the females' diet (P&lt;0.001). Tracking of energy (MJ day(-1)) and nutrient intakes (expressed per MJ day(-1)) at the individual level was only poor to fair (all kappa&lt;0.25), indicating substantial drift of subjects between the low, medium and high classes of intake with increasing age. CONCLUSIONS: These data suggest that individual dietary patterns exhibited at 15 years of age are unlikely to be predictive of dietary intakes at young adulthood.", "author" : [ { "dropping-particle" : "", "family" : "Gallagher", "given" : "A M", "non-dropping-particle" : "", "parse-names" : false, "suffix" : "" }, { "dropping-particle" : "", "family" : "Robson", "given" : "P J", "non-dropping-particle" : "", "parse-names" : false, "suffix" : "" }, { "dropping-particle" : "", "family" : "Livingstone", "given" : "M B E", "non-dropping-particle" : "", "parse-names" : false, "suffix" : "" }, { "dropping-particle" : "", "family" : "Cran", "given" : "G W", "non-dropping-particle" : "", "parse-names" : false, "suffix" : "" }, { "dropping-particle" : "", "family" : "Strain", "given" : "J J", "non-dropping-particle" : "", "parse-names" : false, "suffix" : "" }, { "dropping-particle" : "", "family" : "Murray", "given" : "L J", "non-dropping-particle" : "", "parse-names" : false, "suffix" : "" }, { "dropping-particle" : "", "family" : "Savage", "given" : "J M", "non-dropping-particle" : "", "parse-names" : false, "suffix" : "" }, { "dropping-particle" : "", "family" : "Boreham", "given" : "C A G", "non-dropping-particle" : "", "parse-names" : false, "suffix" : "" } ], "container-title" : "Public health nutrition", "id" : "ITEM-10", "issue" : "8", "issued" : { "date-parts" : [ [ "2006" ] ] }, "page" : "1027-1034", "title" : "Tracking of energy and nutrient intakes from adolescence to young adulthood: the experiences of the Young Hearts Project, Northern Ireland.", "type" : "article-journal", "volume" : "9" }, "uris" : [ "http://www.mendeley.com/documents/?uuid=7e20ed65-bfce-4245-abff-d071d6b95d1e" ] }, { "id" : "ITEM-11", "itemData" : { "author" : [ { "dropping-particle" : "", "family" : "Kemper", "given" : "H. C. G.", "non-dropping-particle" : "", "parse-names" : false, "suffix" : "" }, { "dropping-particle" : "", "family" : "Post", "given" : "G. B.", "non-dropping-particle" : "", "parse-names" : false, "suffix" : "" }, { "dropping-particle" : "", "family" : "Welten", "given" : "D C", "non-dropping-particle" : "", "parse-names" : false, "suffix" : "" }, { "dropping-particle" : "", "family" : "Mechelen", "given" : "W.", "non-dropping-particle" : "van", "parse-names" : false, "suffix" : "" }, { "dropping-particle" : "", "family" : "Twisk", "given" : "J W R", "non-dropping-particle" : "", "parse-names" : false, "suffix" : "" } ], "container-title" : "Acta Kinesiologiae Universitatis Tartuensis", "id" : "ITEM-11", "issued" : { "date-parts" : [ [ "2001" ] ] }, "page" : "57-74", "title" : "What are the effects of calcium intake on bone health in young males and females - analysis of data from the Amsterdam Growth and Health Longitudinal Study", "type" : "article-journal", "volume" : "6" }, "uris" : [ "http://www.mendeley.com/documents/?uuid=b76038cd-9b41-45ec-9cca-15801fc3a3b5" ] }, { "id" : "ITEM-12", "itemData" : { "DOI" : "10.1016/j.jneb.2008.05.001", "ISBN" : "1879-1972 (Electronic)\\r1054-139X (Linking)", "ISSN" : "14994046", "PMID" : "18565441", "abstract" : "Objective: To describe changes in calcium and dairy intake during the transition from middle adolescence to young adulthood and to identify baseline correlates of calcium intake in young adulthood. Design: Population-based, 5-year follow-up study (Project EAT: Eating Among Teens). Setting: Baseline surveys were completed in Minneapolis/St. Paul, MN schools and by mail at follow-up. Participants: Males and females (N = 1521) attending high school at baseline (mean age = 15.9 years) and with a mean age of 20.5 years at follow-up. Main Outcome Measures: Calcium intake. Analysis: Mixed and linear regression methods were used to respectively examine trends and correlates of intake. Results: During the transition to young adulthood, mean daily calcium intakes of females and males decreased by an average of 153 mg and 194 mg respectively. Mealtime milk availability, health/nutrition attitudes, taste preference for milk, healthful weight control behaviors, and peer support for healthful eating at baseline were associated with better follow-up calcium intake. Time spent watching television and lactose intolerance were associated with lower intake at follow-up. Conclusions and Implications: Nutrition interventions are needed to counter longitudinal decreases in calcium intake. Interventions targeted to adolescents should address the availability of milk at meals and other identified supports for healthful eating. ?? 2009 Society for Nutrition Education.", "author" : [ { "dropping-particle" : "", "family" : "Larson", "given" : "Nicole I.", "non-dropping-particle" : "", "parse-names" : false, "suffix" : "" }, { "dropping-particle" : "", "family" : "Neumark-Sztainer", "given" : "Dianne", "non-dropping-particle" : "", "parse-names" : false, "suffix" : "" }, { "dropping-particle" : "", "family" : "Harnack", "given" : "Lisa", "non-dropping-particle" : "", "parse-names" : false, "suffix" : "" }, { "dropping-particle" : "", "family" : "Wall", "given" : "Melanie", "non-dropping-particle" : "", "parse-names" : false, "suffix" : "" }, { "dropping-particle" : "", "family" : "Story", "given" : "Mary", "non-dropping-particle" : "", "parse-names" : false, "suffix" : "" }, { "dropping-particle" : "", "family" : "Eisenberg", "given" : "Marla E.", "non-dropping-particle" : "", "parse-names" : false, "suffix" : "" } ], "container-title" : "Journal of Nutrition Education and Behavior", "id" : "ITEM-12", "issue" : "4", "issued" : { "date-parts" : [ [ "2009" ] ] }, "page" : "254-260", "publisher" : "Elsevier Inc.", "title" : "Calcium and Dairy Intake: Longitudinal Trends during the Transition to Young Adulthood and Correlates of Calcium Intake", "type" : "article-journal", "volume" : "41" }, "uris" : [ "http://www.mendeley.com/documents/?uuid=d9b7c614-d931-4310-a03f-af208c1cf5e2" ] }, { "id" : "ITEM-13", "itemData" : { "DOI" : "10.1017/S0007114508894469", "ISBN" : "0007114508", "ISSN" : "0007-1145", "PMID" : "18275625", "abstract" : "Vitamin D insufficiency is common particularly during winter time. After the recommendation by the Ministry of Social Affairs and Health, Finnish fluid milks and margarines have been fortified with vitamin D since February 2003. The aims of the present study were to examine the impact of vitamin D fortification of food supplies on serum 25-hydroxyvitamin D (S-25(OH)D) concentrations and on daily dietary vitamin D intake among adolescent females. One hundred and forty-two girls of Caucasian ethnicity aged 12-18 years completed semi-quantitative FFQ from which the dietary vitamin D and Ca intakes were calculated. S-25(OH)D was measured by radioimmunoassay. The study was performed from February-March 2000 to February-March 2004, one year after the initiation of fortification. The mean dietary intake of vitamin D was &lt; 7.5 microg in 91.5 % of the adolescent girls in 2000 and 83.8 % in 2004. The midwinter mean S-25(OH)D concentration did not change significantly during the follow-up period (48.3 v. 48.1 nmol/l, NS). The proportion of participants who had S-25(OH)D concentration &lt; 50 nmol/l was 60.6 % in 2000 and 65.5 % in 2004. Only 7.0 % of the participants had an adequate S-25(OH)D ( &gt;or= 75 nmol/l) level in 2000 or 4 years later. The vitamin D fortification of fluid milks and margarines was inadequate to prevent vitamin D insufficiency. There are numerous adolescent girls and women who are not reached by the current fortification policy. Therefore new innovative and feasible ways of improving vitamin D nutrition are urged.", "author" : [ { "dropping-particle" : "", "family" : "Lehtonen-Veromaa", "given" : "Marjo", "non-dropping-particle" : "", "parse-names" : false, "suffix" : "" }, { "dropping-particle" : "", "family" : "M\u00f6tt\u00f6nen", "given" : "Timo", "non-dropping-particle" : "", "parse-names" : false, "suffix" : "" }, { "dropping-particle" : "", "family" : "Leino", "given" : "Aila", "non-dropping-particle" : "", "parse-names" : false, "suffix" : "" }, { "dropping-particle" : "", "family" : "Heinonen", "given" : "Olli J", "non-dropping-particle" : "", "parse-names" : false, "suffix" : "" }, { "dropping-particle" : "", "family" : "Rautava", "given" : "Essi", "non-dropping-particle" : "", "parse-names" : false, "suffix" : "" }, { "dropping-particle" : "", "family" : "Viikari", "given" : "Jorma", "non-dropping-particle" : "", "parse-names" : false, "suffix" : "" } ], "container-title" : "The British Journal Of Nutrition", "id" : "ITEM-13", "issued" : { "date-parts" : [ [ "2008" ] ] }, "page" : "418-423", "title" : "Prospective study on food fortification with vitamin D among adolescent females in Finland: minor effects.", "type" : "article-journal", "volume" : "100" }, "uris" : [ "http://www.mendeley.com/documents/?uuid=7bb95dd0-8dc0-480c-9399-64e8fbe4aff3" ] }, { "id" : "ITEM-14", "itemData" : { "DOI" : "10.1080/080352599750030293", "ISBN" : "0803-5253", "ISSN" : "08035253", "PMID" : "10591420", "abstract" : "The influences on bone growth of familial factors, nutrition and physical activity are described in a cohort of 108 children (56M, 52F). Distal forearm bone width, mineral content and volumetric density, anthropometry, pubertal status, nutritional intake and physical activity were measured at ages 11, 13, 15 and 17 y. Parental forearm bone status was also determined. Both mothers' and fathers' bone variables were significant predictors of the respective children's bone variables, but heritability estimates were greater between mothers and their children than between fathers and their children. By age 17 y boys had attained 101%, 85% and 89% of their fathers' height, bone mineral content and volumetric density, respectively; girls had attained 103%, 95% and 98% of their mothers' height, bone mineral content and volumetric density, respectively. There were no consistent associations among nutrient variables and bone status or rate of change in bone status. However, there was a significantly greater increase in bone mineral content and density from 11-17 y in those girls with consistently high calcium intake. There were no significant correlations between physical activity and bone values or rate of change of bone values. Age, gender, pubertal status, height, weight and parental bone values accounted for 80%, 71% and 49% of the variance of bone mineral content, bone width and volumetric density, respectively and 52%, 55% and 58% respectively of the variance of change in these variables. After age, gender, sexual maturity and body size, heritability accounts for the greatest variance in bone values through adolescence.", "author" : [ { "dropping-particle" : "", "family" : "Magarey", "given" : "A M", "non-dropping-particle" : "", "parse-names" : false, "suffix" : "" }, { "dropping-particle" : "", "family" : "Boulton", "given" : "T J C", "non-dropping-particle" : "", "parse-names" : false, "suffix" : "" }, { "dropping-particle" : "", "family" : "Chatterton", "given" : "B E", "non-dropping-particle" : "", "parse-names" : false, "suffix" : "" }, { "dropping-particle" : "", "family" : "Schultz", "given" : "C", "non-dropping-particle" : "", "parse-names" : false, "suffix" : "" }, { "dropping-particle" : "", "family" : "Nordin", "given" : "B E C", "non-dropping-particle" : "", "parse-names" : false, "suffix" : "" } ], "container-title" : "Acta Paediatrica", "id" : "ITEM-14", "issue" : "11", "issued" : { "date-parts" : [ [ "1999" ] ] }, "page" : "1204-1210", "title" : "Familial and environmental influences on bone growth from 11-17 years", "type" : "article-journal", "volume" : "88" }, "uris" : [ "http://www.mendeley.com/documents/?uuid=b6a2b04e-c5ff-4d68-a474-f35e95dd5200" ] }, { "id" : "ITEM-15", "itemData" : { "DOI" : "10.3390/nu4111692", "ISBN" : "2072-6643", "ISSN" : "20726643", "PMID" : "23201841", "abstract" : "This study explores the contribution of food group intakes to micronutrient adequacy among 2379 girls in the National Growth and Health Study during three age periods (9\u201313, 14\u201318, and 19\u201320 years). Data on food and nutrient intakes from 3-day diet records over 10 years were used to estimate mean intakes and percent meeting Dietary Guidelines (DGA) recommendations for food intakes and Institute of Medicine\u2019s recommendations for vitamins and minerals. More than 90% of girls failed to consume the recommended amounts of fruit, vegetables and dairy; 75% consumed less than the recommended amounts in the \u201cmeat\u201d group. The vast majority of girls of all ages had inadequate intakes of calcium, magnesium, potassium, and vitamins D and E. In contrast, they consumed &gt;750 kcal/day (~40% of total energy) from the DGA category of solid fat and added sugars, about five times the recommended maximum intakes. This study shows the importance of consuming a variety of foods in all five food groups, including those that are more energy dense such as dairy and meats, in order to meet a broad range of nutrient guidelines. Diet patterns that combined intakes across food groups led to greater improvements in overall nutritional adequacy.", "author" : [ { "dropping-particle" : "", "family" : "Moore", "given" : "Lynn L.", "non-dropping-particle" : "", "parse-names" : false, "suffix" : "" }, { "dropping-particle" : "", "family" : "Singer", "given" : "Martha R.", "non-dropping-particle" : "", "parse-names" : false, "suffix" : "" }, { "dropping-particle" : "", "family" : "Qureshi", "given" : "M M", "non-dropping-particle" : "", "parse-names" : false, "suffix" : "" }, { "dropping-particle" : "", "family" : "Bradlee", "given" : "M L", "non-dropping-particle" : "", "parse-names" : false, "suffix" : "" }, { "dropping-particle" : "", "family" : "Daniels", "given" : "Stephen R.", "non-dropping-particle" : "", "parse-names" : false, "suffix" : "" } ], "container-title" : "Nutrients", "id" : "ITEM-15", "issue" : "11", "issued" : { "date-parts" : [ [ "2012" ] ] }, "page" : "1692-1708", "title" : "Food group intake and micronutrient adequacy in adolescent girls", "type" : "article-journal", "volume" : "4" }, "uris" : [ "http://www.mendeley.com/documents/?uuid=2a2c9c36-2001-4f6e-8801-27c78058f3db" ] }, { "id" : "ITEM-16", "itemData" : { "DOI" : "10.1080/03670244.2001.9991644", "ISBN" : "0367-0244", "ISSN" : "03670244", "abstract" : "A 19 month longitudinal study was performed on energy and nutrient intakes of 38 young Nigerian adults, 22 males and 16 females. The weighed inventory method of dietary survey was used for seven consecutive days in each month of the study. Food samples collected were chemically analysed for both energy and nutrient content. Mean energy intakes were 2362 +/- 146 kcals (mean +/-S.D) and 2028 +/- 137 kcals for males and females respectively. There were significant inter-individual and monthly variations in energy and nutrient intakes in both sexes (P &lt; 0.05). Even when energy intakes were expressed per kg of both weight, the Variations persisted.", "author" : [ { "dropping-particle" : "", "family" : "Onimawo", "given" : "I A", "non-dropping-particle" : "", "parse-names" : false, "suffix" : "" } ], "container-title" : "Ecology of Food and Nutrition", "id" : "ITEM-16", "issue" : "2", "issued" : { "date-parts" : [ [ "2001" ] ] }, "page" : "127-141", "title" : "Inter-individual variations in energy and nutrient intake among young Nigerian adults", "type" : "article-journal", "volume" : "40" }, "uris" : [ "http://www.mendeley.com/documents/?uuid=0df6d6ac-2248-463f-a70d-3a1bedeef478" ] }, { "id" : "ITEM-17", "itemData" : { "DOI" : "10.3390/nu8010022", "ISBN" : "2072-6643", "ISSN" : "20726643", "PMID" : "26729163", "abstract" : "Reduced fat dairy products are generally recommended for adults and children over the age of two years. However, emerging evidence suggests that dairy fat may not have detrimental health effects. We aimed to investigate prospective associations between consumption of regular versus reduced fat dairy products and cardiometabolic risk factors from early to late adolescence. In the West Australian Raine Study, dairy intake was assessed using semi-quantitative food frequency questionnaires in 860 adolescents at 14 and 17-year follow-ups; 582 of these also had blood biochemistry at both points. Using generalized estimating equations, we examined associations with cardiometabolic risk factors. Models incorporated reduced fat and regular fat dairy together (in serves/day) and were adjusted for a range of factors including overall dietary pattern. In boys, there was a mean reduction in diastolic blood pressure of 0.66 mmHg (95% CI 0.23-1.09) per serve of reduced fat dairy and an independent, additional reduction of 0.47 mmHg (95% CI 0.04-0.90) per serve of regular fat dairy. Each additional serve of reduced fat dairy was associated with a 2% reduction in HDL-cholesterol (95% CI 0.97-0.995) and a 2% increase in total: HDL-cholesterol ratio (95% CI 1.002-1.03); these associations were not observed with regular fat products. In girls, there were no significant independent associations observed in fully adjusted models. Although regular fat dairy was associated with a slightly better cholesterol profile in boys, overall, intakes of both regular fat and reduced fat dairy products were associated with similar cardiometabolic associations in adolescents.", "author" : [ { "dropping-particle" : "", "family" : "O'Sullivan", "given" : "Therese A.", "non-dropping-particle" : "", "parse-names" : false, "suffix" : "" }, { "dropping-particle" : "", "family" : "Bremner", "given" : "Alexandra P.", "non-dropping-particle" : "", "parse-names" : false, "suffix" : "" }, { "dropping-particle" : "", "family" : "Mori", "given" : "Trevor A.", "non-dropping-particle" : "", "parse-names" : false, "suffix" : "" }, { "dropping-particle" : "", "family" : "Beilin", "given" : "Lawrence J.", "non-dropping-particle" : "", "parse-names" : false, "suffix" : "" }, { "dropping-particle" : "", "family" : "Wilson", "given" : "Charlotte", "non-dropping-particle" : "", "parse-names" : false, "suffix" : "" }, { "dropping-particle" : "", "family" : "Hafekost", "given" : "Katherine", "non-dropping-particle" : "", "parse-names" : false, "suffix" : "" }, { "dropping-particle" : "", "family" : "Ambrosini", "given" : "Gina L.", "non-dropping-particle" : "", "parse-names" : false, "suffix" : "" }, { "dropping-particle" : "", "family" : "Chi Huang", "given" : "Rae", "non-dropping-particle" : "", "parse-names" : false, "suffix" : "" }, { "dropping-particle" : "", "family" : "Oddy", "given" : "Wendy H.", "non-dropping-particle" : "", "parse-names" : false, "suffix" : "" } ], "container-title" : "Nutrients", "id" : "ITEM-17", "issued" : { "date-parts" : [ [ "2016" ] ] }, "page" : "22", "title" : "Regular fat and reduced fat dairy products show similar associations with markers of adolescent cardiometabolic health", "type" : "article-journal", "volume" : "8" }, "uris" : [ "http://www.mendeley.com/documents/?uuid=9e4d6c87-1e93-4ced-9b5f-360a54b6ebf4" ] }, { "id" : "ITEM-18", "itemData" : { "DOI" : "10.3390/nu4121794", "ISBN" : "2072-6643", "ISSN" : "20726643", "PMID" : "23363991", "abstract" : "Dairy nutrients, such as calcium, are particularly important in adolescence, a critical time for growth and development. There are limited Australian data following individuals through adolescence, evaluating changes in dairy nutrient and dairy product consumption. We used a validated food frequency questionnaire to investigate consumption in adolescents participating in both the 14 and 17 year follow-ups of the Western Australian Pregnancy Cohort (Raine) Study. Most adolescents did not reach age and gender specific recommended daily intakes for calcium or magnesium at 14 years, and this decreased as they aged to 17 years (from 33.0% to 29.2% meeting for calcium, P &lt; 0.05, and from 33.6% to 20.5% meeting for magnesium, P &lt; 0.01). Mean intakes of calcium, potassium, riboflavin and vitamin A also decreased with age (P &lt; 0.01). Mean dairy intake decreased from 536 \u00b1 343 g/day to 464 \u00b1 339 g/day (P &lt; 0.01), due mostly to a decrease in regular milk, although flavoured milk consumption increased in boys. Cheese and butter were the only products to show a significantly increased consumption over the period. Girls decreased from 2.2 to 1.9 serves/day of dairy, while boys remained relatively steady at 2.9 to 2.8 serves/day. Our findings suggest that dairy product consumption decreases over adolescence. This may have implications for bone mass, development and later health.", "author" : [ { "dropping-particle" : "", "family" : "Parker", "given" : "Carole E.", "non-dropping-particle" : "", "parse-names" : false, "suffix" : "" }, { "dropping-particle" : "", "family" : "Vivian", "given" : "Wendy J.", "non-dropping-particle" : "", "parse-names" : false, "suffix" : "" }, { "dropping-particle" : "", "family" : "Oddy", "given" : "Wendy H.", "non-dropping-particle" : "", "parse-names" : false, "suffix" : "" }, { "dropping-particle" : "", "family" : "Beilin", "given" : "Lawrence J.", "non-dropping-particle" : "", "parse-names" : false, "suffix" : "" }, { "dropping-particle" : "", "family" : "Mori", "given" : "Trevor A", "non-dropping-particle" : "", "parse-names" : false, "suffix" : "" }, { "dropping-particle" : "", "family" : "O'Sullivan", "given" : "Therese A", "non-dropping-particle" : "", "parse-names" : false, "suffix" : "" } ], "container-title" : "Nutrients", "id" : "ITEM-18", "issued" : { "date-parts" : [ [ "2012" ] ] }, "page" : "1794-1811", "title" : "Changes in dairy food and nutrient intakes in Australian adolescents", "type" : "article-journal", "volume" : "4" }, "uris" : [ "http://www.mendeley.com/documents/?uuid=bab88d6f-9a81-49da-9b84-80b0b420ed95" ] }, { "id" : "ITEM-19", "itemData" : { "DOI" : "10.1186/1479-5868-6-91", "ISBN" : "1479-5868 (Electronic)\\r1479-5868 (Linking)", "ISSN" : "1479-5868", "PMID" : "20003331", "abstract" : "BACKGROUND: The stability of dietary habits through various life-stages is not well understood. A better understanding of the tracking of diet over time could have implications for health promotion as well as for the planning of nutritional epidemiology studies. We examined the stability of dietary intakes of children and adolescents over six years.\\n\\nMETHODS: As part of the European Youth Heart Study, in 1998-9, a 24-h dietary recall was performed on over one thousand 9- and 15-year-olds in Sweden. In 2004-5, 40% returned to the follow-up study. These 452 subjects (273 15- and 179 21-year-olds) were assigned to age- and gender-specific tertiles of intakes of food groups, energy, selected nutrients and energy density (low, mid and high) at each time point. The agreement between the classification of subjects into tertiles at both time points was examined using Cohen's weighted kappa and other stability coefficients. We included a dropout analysis and considered the effect that energy mis-reporting might have on our results.\\n\\nRESULTS: Fair tracking was seen between childhood and adolescence for the milk, fil and yoghurt food group (kappa = 0.30), and between adolescence and young adulthood for fruit (kappa = 0.24). Slight tracking was observed for most other food groups and fair to slight tracking for all nutrients studied. Only membership of the high milk, fil and yoghurt tertile could be predicted from membership at baseline, in children. Excluding potential energy mis-reporters did not affect the results.\\n\\nCONCLUSIONS: Despite the long time between data collections, and the method of dietary data collection used, evidence for slight tracking was observed for most food groups and nutrients over these six years.", "author" : [ { "dropping-particle" : "", "family" : "Patterson", "given" : "Emma", "non-dropping-particle" : "", "parse-names" : false, "suffix" : "" }, { "dropping-particle" : "", "family" : "W\u00e4rnberg", "given" : "Julia", "non-dropping-particle" : "", "parse-names" : false, "suffix" : "" }, { "dropping-particle" : "", "family" : "Kearney", "given" : "John", "non-dropping-particle" : "", "parse-names" : false, "suffix" : "" }, { "dropping-particle" : "", "family" : "Sj\u00f6str\u00f6m", "given" : "Michael", "non-dropping-particle" : "", "parse-names" : false, "suffix" : "" } ], "container-title" : "The International Journal of Behavioral Nutrition and Physical Activity", "id" : "ITEM-19", "issue" : "91", "issued" : { "date-parts" : [ [ "2009" ] ] }, "title" : "The tracking of dietary intakes of children and adolescents in Sweden over six years: the European Youth Heart Study.", "type" : "article-journal", "volume" : "6" }, "uris" : [ "http://www.mendeley.com/documents/?uuid=5a8f5e65-a05d-4e03-a6cd-4d99569ec7e7" ] }, { "id" : "ITEM-20", "itemData" : { "DOI" : "10.1079/BJN19870022", "ISBN" : "0007-1145", "ISSN" : "0007-1145", "PMID" : "3567131", "abstract" : "Longitudinal changes in nutritional habits were studied in Dutch adolescents from 12 to 17 years of age (131 girls and 102 boys). The dietary differences on schooldays and weekend days are reported. In girls only small changes in nutritional habits were seen as they grew older. In boys there was a gradual increase in food intake with age. Overall, higher nutrient intakes could be seen on weekend days. The energy intake on weekend days was consistently higher for girls and boys in all age-groups. The proportional intakes of fat and sugar were rather high, especially on weekend days. The alcohol consumption increased with age for girls as well as boys, and was for some individuals extremely high (boys) on weekend days. The observed levels of intake compared with the recommendations showed a rather low intake of polyunsaturated fatty acids, polysaccharides and iron.", "author" : [ { "dropping-particle" : "", "family" : "Post", "given" : "B", "non-dropping-particle" : "", "parse-names" : false, "suffix" : "" }, { "dropping-particle" : "", "family" : "Kemper", "given" : "H C", "non-dropping-particle" : "", "parse-names" : false, "suffix" : "" }, { "dropping-particle" : "", "family" : "Storm-Van Essen", "given" : "L", "non-dropping-particle" : "", "parse-names" : false, "suffix" : "" } ], "container-title" : "The British journal of nutrition", "id" : "ITEM-20", "issued" : { "date-parts" : [ [ "1987" ] ] }, "page" : "161-176", "title" : "Longitudinal changes in nutritional habits of teenagers: differences in intake between schooldays and weekend days.", "type" : "article-journal", "volume" : "57" }, "uris" : [ "http://www.mendeley.com/documents/?uuid=0a7c41f1-5fb7-4113-a954-21fd88b6bfd2" ] }, { "id" : "ITEM-21", "itemData" : { "author" : [ { "dropping-particle" : "", "family" : "Post", "given" : "G. B.", "non-dropping-particle" : "", "parse-names" : false, "suffix" : "" }, { "dropping-particle" : "", "family" : "Kemper", "given" : "H. C. G.", "non-dropping-particle" : "", "parse-names" : false, "suffix" : "" } ], "container-title" : "European Journal Of Clinical Nutrition", "id" : "ITEM-21", "issued" : { "date-parts" : [ [ "1993" ] ] }, "page" : "400-408", "title" : "Nutrient intake and biological maturation during adolescence. The Amsterdam growth and health longitudinal study.", "type" : "article-journal", "volume" : "47" }, "uris" : [ "http://www.mendeley.com/documents/?uuid=07195bc2-e991-4c69-aa98-c4b3e8f7db3e" ] }, { "id" : "ITEM-22", "itemData" : { "DOI" : "10.1079/BJN2000249", "ISBN" : "0007-1145 (Print)\\r0007-1145 (Linking)", "ISSN" : "0007-1145", "PMID" : "11299083", "abstract" : "The purpose of the present study was to describe the longitudinal development of nutrient intake and to determine the stability of this intake from adolescence into adulthood. Longitudinal data of the Amsterdam Growth and Health Longitudinal Study were analysed; the dietary intake of 200 subjects (males and females) was repeatedly measured (eight times) over a period of 20 years, covering the age period of 13-33 years. Dietary intake was determined with the detailed crosscheck dietary history interview. With use of multivariate ANOVA for repeated measurements, trends in macro- and micronutrients over time and differences between genders were analysed. Furthermore, stability coefficients, corrected for time-dependent (biological age) and time-independent covariates (gender) were calculated, taking into account all the measurements. The results showed significant time and gender effects for energy intake (kJ) and the following macronutrients: protein (g and % total energy supply), fat (g) and carbohydrate (g). Interaction effects between time and gender diminished when the macronutrients were calculated as a percentage of total energy intake. The micronutrients Ca, Fe and vitamins changed significantly over time and showed an interaction effect with gender, with the exception of cholesterol intake (mg/MJ), which did not show an interaction effect of time and gender. The tracking of the nutrient intake showed relatively low but significant stability coefficients for all macro- and micronutrients (0.28-0.52). In conclusion, dietary intake does change considerably over time, with the exception of polyunsaturated fat intake (% total energy supply) for both males and females and fat intake in females. Furthermore, stability coefficients for nutrients appeared to be low to moderate. Although these coefficients may be somewhat attenuated as a result of the relatively large measurement error of the dietary intake measurement, they suggest moderate stability of diet over time. These findings may imply that dietary intake is changeable and suggest that disease prevention measures can be implemented in adulthood.", "author" : [ { "dropping-particle" : "", "family" : "Post", "given" : "G B", "non-dropping-particle" : "", "parse-names" : false, "suffix" : "" }, { "dropping-particle" : "", "family" : "Vente", "given" : "W", "non-dropping-particle" : "de", "parse-names" : false, "suffix" : "" }, { "dropping-particle" : "", "family" : "Kemper", "given" : "H C G", "non-dropping-particle" : "", "parse-names" : false, "suffix" : "" }, { "dropping-particle" : "", "family" : "Twisk", "given" : "J W R", "non-dropping-particle" : "", "parse-names" : false, "suffix" : "" } ], "container-title" : "The British journal of nutrition", "id" : "ITEM-22", "issued" : { "date-parts" : [ [ "2001" ] ] }, "page" : "375-385", "title" : "Longitudinal trends in and tracking of energy and nutrient intake over 20 years in a Dutch cohort of men and women between 13 and 33 years of age: The Amsterdam growth and health longitudinal study.", "type" : "article-journal", "volume" : "85" }, "uris" : [ "http://www.mendeley.com/documents/?uuid=180fe3be-15f6-4698-9950-fe967ba0ce74" ] }, { "id" : "ITEM-23", "itemData" : { "DOI" : "10.1007/s00198-006-0312-x", "ISBN" : "0937-941X (Print)\\r0937-941x", "ISSN" : "0937941X", "PMID" : "17211530", "abstract" : "UNLABELLED: Maintenance of positive effects of physical activity on growing bone is unknown. Physical activity was associated with increased BMC and BMD in a 7-year follow-up with 142 adolescent girls. Marked reduction in physical activity had an unfavorable effect on bone measurements, which is an important finding when the prevention of osteoporosis is considered. INTRODUCTION: Environmental factors influence quality and durability of bone. Physical activity, with high-impact weight bearing activity during puberty in particular, has been shown to have a beneficial effect on growing bone. Only few studies have been published on the maintenance of these effects. METHODS: At baseline, 142 girls aged 9-15 years participated in the present 7-year follow-up study. Growth and development, physical activity, and intakes of calcium and vitamin-D were recorded at intervals. BMC and BMD measurements were repeated using DXA. Based on the recording of physical activity during the follow-up measurements, the effect of the reduction in physical activity was examined with the bone measurements, and the measurements in the tertiles based on the amount of physical activity during the whole follow-up period were compared. RESULTS: Physical activity was positively associated with the development of BMC and BMD during the follow-up. The mean BMC of the lumbar spine increased 1.69 g (3%) (p = 0.021) more among those girls who maintained the physical activity level as compared with those who reduced it during last 4 years. In the femoral neck, the corresponding difference was 0.14 g (4.6%) (p = 0.015) between the same two groups of girls. The mean increases in BMC at lumbar spine and femoral neck were more substantial among those girls having the highest physical activity levels during the 7-year follow-up (46.7% and 22.6%) as compared with those having the lowest physical activity levels (43.3% and 17.4%, respectively). CONCLUSIONS: The findings of the present study show that regular physical activity is valuable in preserving the peak bone mass acquired at puberty in particular. Many of the girls who markedly reduced their activity levels lost bone in their femoral neck prior to their 25th birthday.", "author" : [ { "dropping-particle" : "", "family" : "Rautava", "given" : "E.", "non-dropping-particle" : "", "parse-names" : false, "suffix" : "" }, { "dropping-particle" : "", "family" : "Lehtonen-Veromaa", "given" : "M.", "non-dropping-particle" : "", "parse-names" : false, "suffix" : "" }, { "dropping-particle" : "", "family" : "Kautiainen", "given" : "H.", "non-dropping-particle" : "", "parse-names" : false, "suffix" : "" }, { "dropping-particle" : "", "family" : "Kajander", "given" : "S.", "non-dropping-particle" : "", "parse-names" : false, "suffix" : "" }, { "dropping-particle" : "", "family" : "Heinonen", "given" : "O. J.", "non-dropping-particle" : "", "parse-names" : false, "suffix" : "" }, { "dropping-particle" : "", "family" : "Viikari", "given" : "J.", "non-dropping-particle" : "", "parse-names" : false, "suffix" : "" }, { "dropping-particle" : "", "family" : "M\u00f6tt\u00f6nen", "given" : "T.", "non-dropping-particle" : "", "parse-names" : false, "suffix" : "" } ], "container-title" : "Osteoporosis International", "id" : "ITEM-23", "issue" : "7", "issued" : { "date-parts" : [ [ "2007" ] ] }, "page" : "915-922", "title" : "The reduction of physical activity reflects on the bone mass among young females: A follow-up study of 142 adolescent girls", "type" : "article-journal", "volume" : "18" }, "uris" : [ "http://www.mendeley.com/documents/?uuid=1edc1cf0-ca2f-41dc-acc4-58a02b043562" ] }, { "id" : "ITEM-24", "itemData" : { "DOI" : "10.1183/09031936.98.12030627", "ISBN" : "0903-1936", "ISSN" : "09031936", "PMID" : "9762791", "abstract" : "The purpose of this study was to analyse tracking (i.e. relative stability over time/predictability of future values by early measurements) of lung function parameters and their longitudinal relationship with lifestyle (smoking, alcohol consumption, daily physical activity, neuromotor and cardiopulmonary fitness, and dietary intake of retinol and polyunsaturated fatty acids (PUFA)). Data were obtained from the observational Amsterdam Growth and Health Study, a longitudinal study with six repeated measurements between ages 13-27 yrs (n=167). The statistical analyses were carried out with generalized estimating equations. The following \"stability\" coefficients were found: for forced vital capacity (FVC) in males 0.66 (95% confidence interval (CI): 0.54-0.77) and in females 0.51 (95% CI: 0.43-0.60); for forced expiratory volume in one second (FEV1) in males 0.65 (95% CI: 0.50-0.80), in females 0.53 (95% CI 0.46-0.60); for peak expiratory flow (PEF) in both males and females 0.41 (95% CI: 0.31-0.51). Positive relationships were found between alcohol consumption and FVC and FEV1 and between neuromotor fitness and PEF and (only for males) with FVC and FEV1. Physical activity was inversely related to PEF and the intake of PUFA positively related to FVC and FEV1. Smoking was related to a decrease in FVC and FEV1; changes in physical activity positively correlated to changes in FVC. In conclusion, high to moderate stability/tracking was observed for forced vital capacity and forced expiratory volume in one second; for peak expiratory flow it was slightly lower. Preventive strategies regarding improvements of lung function should focus on smoking cessation and improving daily physical activity.", "author" : [ { "dropping-particle" : "", "family" : "Twisk", "given" : "J W R", "non-dropping-particle" : "", "parse-names" : false, "suffix" : "" }, { "dropping-particle" : "", "family" : "Staal", "given" : "B J", "non-dropping-particle" : "", "parse-names" : false, "suffix" : "" }, { "dropping-particle" : "", "family" : "Brinkman", "given" : "M N", "non-dropping-particle" : "", "parse-names" : false, "suffix" : "" }, { "dropping-particle" : "", "family" : "Kemper", "given" : "H C G", "non-dropping-particle" : "", "parse-names" : false, "suffix" : "" }, { "dropping-particle" : "", "family" : "Mechelen", "given" : "W", "non-dropping-particle" : "van", "parse-names" : false, "suffix" : "" } ], "container-title" : "European Respiratory Journal", "id" : "ITEM-24", "issue" : "3", "issued" : { "date-parts" : [ [ "1998" ] ] }, "page" : "627-634", "title" : "Tracking of lung function parameters and the longitudinal relationship with lifestyle", "type" : "article-journal", "volume" : "12" }, "uris" : [ "http://www.mendeley.com/documents/?uuid=1d8da872-80d7-4982-a889-b20fe2d9327b" ] }, { "id" : "ITEM-25", "itemData" : { "DOI" : "10.1038/sj.ejcn.1600454", "ISBN" : "0954-3007", "ISSN" : "09543007", "PMID" : "9306088", "abstract" : "Objectives: Because of growing interest in the potential role of calcium in preventive pediatric strategies against osteoporosis, the longitudinal development and tracking of calcium and dairy intake from adolescence into adulthood was addressed. Design: In the Amsterdam Growth and Health Study, a group of 84 males and 98 females were followed over a 15 y period from age 13-27 y. The calcium and dairy intake was assessed six times by a cross-check dietary history method. To assess tracking, two traditional approaches, interperiod correlation coefficients and percent of subjects who remained in the same quartile of calcium intake over time, and a new approach based on generalized estimating equations were used. Results: The mean calcium intake was relatively high and increased over time (30%). The tracking of calcium and dairy intake from adolescence into adulthood was moderate in both sexes (for example the correlation for calcium was 0.43 in males and 0.38 in females). Conclusions: The predictability of calcium intake over time does not seem to be sufficiently strong to identify teenagers who are likely to maintain an inadequate calcium intake in adulthood. Therefore, the identification and treatment of subjects with a low calcium intake cannot be limited to the teenage period but should be extended into adulthood.", "author" : [ { "dropping-particle" : "", "family" : "Welten", "given" : "D C", "non-dropping-particle" : "", "parse-names" : false, "suffix" : "" }, { "dropping-particle" : "", "family" : "Kemper", "given" : "H C G", "non-dropping-particle" : "", "parse-names" : false, "suffix" : "" }, { "dropping-particle" : "", "family" : "Post", "given" : "G B", "non-dropping-particle" : "", "parse-names" : false, "suffix" : "" }, { "dropping-particle" : "", "family" : "Staveren", "given" : "W A", "non-dropping-particle" : "Van", "parse-names" : false, "suffix" : "" }, { "dropping-particle" : "", "family" : "Twisk", "given" : "J W R", "non-dropping-particle" : "", "parse-names" : false, "suffix" : "" } ], "container-title" : "Eur J Clin Nutr", "id" : "ITEM-25", "issue" : "9", "issued" : { "date-parts" : [ [ "1997" ] ] }, "page" : "612-618", "title" : "Longitudinal development and tracking of calcium and dairy intake from teenager to adult", "type" : "article-journal", "volume" : "51" }, "uris" : [ "http://www.mendeley.com/documents/?uuid=ef0cdc33-b8be-4c83-bbf9-9fbe87dbed70" ] }, { "id" : "ITEM-26", "itemData" : { "ISBN" : "0884-0431", "abstract" : "In a 15 year longitudinal study (Amsterdam Growth and Health Study) is evaluated the effect of daily calcium intake (CAI) during adolescence and young adulthood on the development of peak bone mass at age 27 when the influence of weight-bearing activity (WBA) and body weight was accounted for. A group of 84 males and 98 females were measured longitudinally from age 13 until age 28. Measurements were taken six times of anthropometric characteristics. Lifestyle was also evaluated six times by cross-check interviews of CAI and WBA. Bone mineral density (BMD) of the lumbar spine was determined at age 27 by dual x-ray absorption. Three periods were considered, that is, the adolescent period, the period 13-21 years, and the total period (13-27 years). In multiple linear regression analyses, only WBA and body weight were significant positive contributors to the final model of lumbar BMD at age 27. In all three periods WBA was the best predictor in males and body weight in females. ANOVA was performed on BMD and the highest and lowest quartiles of calcium intake with the significant predictor variables of the linear regression model as covariates. Again calcium intake appeared not a significant predictor of BMD in the three periods in both sexes. Regular weight-bearing exercise and at least a normal age-related body weight in adolescence and young adulthood are of key importance in reaching the highest lumbar peak bone mass at the age of 27 years.", "author" : [ { "dropping-particle" : "", "family" : "Welten", "given" : "D C", "non-dropping-particle" : "", "parse-names" : false, "suffix" : "" }, { "dropping-particle" : "", "family" : "Kemper", "given" : "H C G", "non-dropping-particle" : "", "parse-names" : false, "suffix" : "" }, { "dropping-particle" : "", "family" : "Post", "given" : "G B", "non-dropping-particle" : "", "parse-names" : false, "suffix" : "" }, { "dropping-particle" : "", "family" : "Mechelen", "given" : "W", "non-dropping-particle" : "van", "parse-names" : false, "suffix" : "" }, { "dropping-particle" : "", "family" : "Twisk", "given" : "J", "non-dropping-particle" : "", "parse-names" : false, "suffix" : "" }, { "dropping-particle" : "", "family" : "Lips", "given" : "P", "non-dropping-particle" : "", "parse-names" : false, "suffix" : "" }, { "dropping-particle" : "", "family" : "Teule", "given" : "G J", "non-dropping-particle" : "", "parse-names" : false, "suffix" : "" } ], "container-title" : "Journal of Bone and Mineral Research", "id" : "ITEM-26", "issue" : "7", "issued" : { "date-parts" : [ [ "1994" ] ] }, "page" : "1089-1096", "title" : "Weight-Bearing Activity During Youth Is a More Important Factor for Peak Bone Mass than Calcium Intake", "type" : "article-journal", "volume" : "9" }, "uris" : [ "http://www.mendeley.com/documents/?uuid=51bc9da5-f068-49b0-86d7-00f56499c841" ] }, { "id" : "ITEM-27", "itemData" : { "DOI" : "10.1017/s1368980012004983", "ISBN" : "1368-9800", "ISSN" : "1475-2727 (Electronic)", "PMID" : "23158020", "abstract" : "OBJECTIVE: Identifying risk factors for insulin resistance in adolescence could provide valuable information for early prevention. The study sought to identify risk factors for changes in insulin resistance and fasting blood glucose levels. DESIGN: Prospective cohort of girls participating in the National Heart, Lung, and Blood Institute Growth and Health Study. SETTING USA SUBJECTS: Adolescent girls (n 774) assessed at the ages of 16-17 and 18-19 years. Over a 3-year period, measurements of fasting blood glucose and insulin and serum cotinine were taken, and dietary intake (3 d food diary), smoking status and physical activity levels were self-reported. RESULTS: Improvements in homeostasis model assessment of insulin resistance (HOMA-IR) were associated with increases in the percentage of energy intake from polyunsaturated fats (beta = -3.33, 95% CI -6.28, -0.39, P = 0.03) and grams of soluble fibre (beta = -5.20, 95% CI -9.81, -0.59, P = 0.03) between the ages of 16-17 and 18-19 years; with similar findings for insulin. Transitioning into obesity was associated with an increase in insulin (beta = 6.34, 95% CI 2.78, 9.91, P &lt; 0.001) and HOMA-IR (beta = 28.77, 95% CI 8.13, 49.40, P = 0.006). Serum cotinine concentrations at 16-17 years, indicating exposure to tobacco, were associated with large increases (beta = 15.43, 95% CI 6.09, 24.77, P &lt; 0.001) in fasting blood glucose concentrations. CONCLUSIONS: Increases in the percentage of energy from polyunsaturated fat and fibre, and avoidance of excess weight gain and tobacco exposure, could substantially reduce the risk of insulin resistance in late adolescence.", "author" : [ { "dropping-particle" : "", "family" : "White", "given" : "J", "non-dropping-particle" : "", "parse-names" : false, "suffix" : "" }, { "dropping-particle" : "", "family" : "Jago", "given" : "R", "non-dropping-particle" : "", "parse-names" : false, "suffix" : "" }, { "dropping-particle" : "", "family" : "Thompson", "given" : "J L", "non-dropping-particle" : "", "parse-names" : false, "suffix" : "" } ], "container-title" : "Public Health Nutrition", "id" : "ITEM-27", "issue" : "2", "issued" : { "date-parts" : [ [ "2014" ] ] }, "page" : "361-368", "title" : "Dietary risk factors for the development of insulin resistance in adolescent girls: a 3-year prospective study", "type" : "article-journal", "volume" : "17" }, "uris" : [ "http://www.mendeley.com/documents/?uuid=23747dc3-f13a-412a-beb6-48ab8708bd01" ] } ], "mendeley" : { "formattedCitation" : "&lt;sup&gt;6,17\u201342&lt;/sup&gt;", "plainTextFormattedCitation" : "6,17\u201342", "previouslyFormattedCitation" : "[6,17\u201342]" }, "properties" : { "noteIndex" : 0 }, "schema" : "https://github.com/citation-style-language/schema/raw/master/csl-citation.json" }</w:instrText>
      </w:r>
      <w:r w:rsidR="00E71F03">
        <w:fldChar w:fldCharType="separate"/>
      </w:r>
      <w:r w:rsidRPr="00AB1911">
        <w:rPr>
          <w:noProof/>
          <w:vertAlign w:val="superscript"/>
        </w:rPr>
        <w:t>6,17–42</w:t>
      </w:r>
      <w:r w:rsidR="00E71F03">
        <w:fldChar w:fldCharType="end"/>
      </w:r>
    </w:p>
    <w:p w14:paraId="09A841C8" w14:textId="77777777" w:rsidR="00E71F03" w:rsidRDefault="00E71F03" w:rsidP="003118BE">
      <w:pPr>
        <w:rPr>
          <w:b/>
        </w:rPr>
      </w:pPr>
    </w:p>
    <w:p w14:paraId="48F66D31" w14:textId="30C7CCBD" w:rsidR="00E60E6F" w:rsidRDefault="00E60E6F" w:rsidP="003118BE">
      <w:pPr>
        <w:rPr>
          <w:b/>
        </w:rPr>
      </w:pPr>
      <w:r>
        <w:rPr>
          <w:b/>
        </w:rPr>
        <w:t>References</w:t>
      </w:r>
    </w:p>
    <w:p w14:paraId="71B512B7" w14:textId="012AB884" w:rsidR="00AB1911" w:rsidRPr="00AB1911" w:rsidRDefault="00E60E6F" w:rsidP="00AB1911">
      <w:pPr>
        <w:widowControl w:val="0"/>
        <w:autoSpaceDE w:val="0"/>
        <w:autoSpaceDN w:val="0"/>
        <w:adjustRightInd w:val="0"/>
        <w:spacing w:line="240" w:lineRule="auto"/>
        <w:ind w:left="640" w:hanging="640"/>
        <w:rPr>
          <w:rFonts w:ascii="Calibri" w:hAnsi="Calibri" w:cs="Times New Roman"/>
          <w:noProof/>
          <w:szCs w:val="24"/>
        </w:rPr>
      </w:pPr>
      <w:r>
        <w:rPr>
          <w:b/>
        </w:rPr>
        <w:fldChar w:fldCharType="begin" w:fldLock="1"/>
      </w:r>
      <w:r>
        <w:rPr>
          <w:b/>
        </w:rPr>
        <w:instrText xml:space="preserve">ADDIN Mendeley Bibliography CSL_BIBLIOGRAPHY </w:instrText>
      </w:r>
      <w:r>
        <w:rPr>
          <w:b/>
        </w:rPr>
        <w:fldChar w:fldCharType="separate"/>
      </w:r>
      <w:r w:rsidR="00AB1911" w:rsidRPr="00AB1911">
        <w:rPr>
          <w:rFonts w:ascii="Calibri" w:hAnsi="Calibri" w:cs="Times New Roman"/>
          <w:noProof/>
          <w:szCs w:val="24"/>
        </w:rPr>
        <w:t xml:space="preserve">1. </w:t>
      </w:r>
      <w:r w:rsidR="00AB1911" w:rsidRPr="00AB1911">
        <w:rPr>
          <w:rFonts w:ascii="Calibri" w:hAnsi="Calibri" w:cs="Times New Roman"/>
          <w:noProof/>
          <w:szCs w:val="24"/>
        </w:rPr>
        <w:tab/>
        <w:t xml:space="preserve">Fiorito LM, Marini M, Mitchell DC, Smiciklas-Wright H, Birch LL. Girls’ Early Sweetened Carbonated Beverage Intake Predicts Different Patterns of Beverage and Nutrient Intake across Childhood and Adolescence. </w:t>
      </w:r>
      <w:r w:rsidR="00AB1911" w:rsidRPr="00AB1911">
        <w:rPr>
          <w:rFonts w:ascii="Calibri" w:hAnsi="Calibri" w:cs="Times New Roman"/>
          <w:i/>
          <w:iCs/>
          <w:noProof/>
          <w:szCs w:val="24"/>
        </w:rPr>
        <w:t>J Am Diet Assoc</w:t>
      </w:r>
      <w:r w:rsidR="00AB1911" w:rsidRPr="00AB1911">
        <w:rPr>
          <w:rFonts w:ascii="Calibri" w:hAnsi="Calibri" w:cs="Times New Roman"/>
          <w:noProof/>
          <w:szCs w:val="24"/>
        </w:rPr>
        <w:t xml:space="preserve">. 2010;110(4):543-550. </w:t>
      </w:r>
    </w:p>
    <w:p w14:paraId="4A9BFC4D" w14:textId="5EF54917" w:rsidR="00AB1911" w:rsidRPr="00AB1911" w:rsidRDefault="00AB1911" w:rsidP="00AB1911">
      <w:pPr>
        <w:widowControl w:val="0"/>
        <w:autoSpaceDE w:val="0"/>
        <w:autoSpaceDN w:val="0"/>
        <w:adjustRightInd w:val="0"/>
        <w:spacing w:line="240" w:lineRule="auto"/>
        <w:ind w:left="640" w:hanging="640"/>
        <w:rPr>
          <w:rFonts w:ascii="Calibri" w:hAnsi="Calibri" w:cs="Times New Roman"/>
          <w:noProof/>
          <w:szCs w:val="24"/>
        </w:rPr>
      </w:pPr>
      <w:r w:rsidRPr="00AB1911">
        <w:rPr>
          <w:rFonts w:ascii="Calibri" w:hAnsi="Calibri" w:cs="Times New Roman"/>
          <w:noProof/>
          <w:szCs w:val="24"/>
        </w:rPr>
        <w:t xml:space="preserve">2. </w:t>
      </w:r>
      <w:r w:rsidRPr="00AB1911">
        <w:rPr>
          <w:rFonts w:ascii="Calibri" w:hAnsi="Calibri" w:cs="Times New Roman"/>
          <w:noProof/>
          <w:szCs w:val="24"/>
        </w:rPr>
        <w:tab/>
        <w:t xml:space="preserve">Nelson MC, Neumark-Sztainer D, Hannan PJ, Story M. Five-year longitudinal and secular shifts in adolescent beverage intake: findings from project EAT (Eating Among Teens)-II. </w:t>
      </w:r>
      <w:r w:rsidRPr="00AB1911">
        <w:rPr>
          <w:rFonts w:ascii="Calibri" w:hAnsi="Calibri" w:cs="Times New Roman"/>
          <w:i/>
          <w:iCs/>
          <w:noProof/>
          <w:szCs w:val="24"/>
        </w:rPr>
        <w:t>J Am Diet Assoc</w:t>
      </w:r>
      <w:r w:rsidRPr="00AB1911">
        <w:rPr>
          <w:rFonts w:ascii="Calibri" w:hAnsi="Calibri" w:cs="Times New Roman"/>
          <w:noProof/>
          <w:szCs w:val="24"/>
        </w:rPr>
        <w:t xml:space="preserve">. 2009;109(2):308-312. </w:t>
      </w:r>
    </w:p>
    <w:p w14:paraId="5D2AFFB2" w14:textId="0301D1FC" w:rsidR="00AB1911" w:rsidRPr="00AB1911" w:rsidRDefault="00AB1911" w:rsidP="00AB1911">
      <w:pPr>
        <w:widowControl w:val="0"/>
        <w:autoSpaceDE w:val="0"/>
        <w:autoSpaceDN w:val="0"/>
        <w:adjustRightInd w:val="0"/>
        <w:spacing w:line="240" w:lineRule="auto"/>
        <w:ind w:left="640" w:hanging="640"/>
        <w:rPr>
          <w:rFonts w:ascii="Calibri" w:hAnsi="Calibri" w:cs="Times New Roman"/>
          <w:noProof/>
          <w:szCs w:val="24"/>
        </w:rPr>
      </w:pPr>
      <w:r w:rsidRPr="00AB1911">
        <w:rPr>
          <w:rFonts w:ascii="Calibri" w:hAnsi="Calibri" w:cs="Times New Roman"/>
          <w:noProof/>
          <w:szCs w:val="24"/>
        </w:rPr>
        <w:t xml:space="preserve">3. </w:t>
      </w:r>
      <w:r w:rsidRPr="00AB1911">
        <w:rPr>
          <w:rFonts w:ascii="Calibri" w:hAnsi="Calibri" w:cs="Times New Roman"/>
          <w:noProof/>
          <w:szCs w:val="24"/>
        </w:rPr>
        <w:tab/>
        <w:t xml:space="preserve">Striegel-Moore RH, Thompson D, Affenito SG, et al. Correlates of beverage intake in adolescent girls: the National Heart, Lung, and Blood Institute Growth and Health Study. </w:t>
      </w:r>
      <w:r w:rsidRPr="00AB1911">
        <w:rPr>
          <w:rFonts w:ascii="Calibri" w:hAnsi="Calibri" w:cs="Times New Roman"/>
          <w:i/>
          <w:iCs/>
          <w:noProof/>
          <w:szCs w:val="24"/>
        </w:rPr>
        <w:t>J Pediatr</w:t>
      </w:r>
      <w:r w:rsidRPr="00AB1911">
        <w:rPr>
          <w:rFonts w:ascii="Calibri" w:hAnsi="Calibri" w:cs="Times New Roman"/>
          <w:noProof/>
          <w:szCs w:val="24"/>
        </w:rPr>
        <w:t xml:space="preserve">. 2006;148(2):183-187. </w:t>
      </w:r>
    </w:p>
    <w:p w14:paraId="55A034D1" w14:textId="77E15482" w:rsidR="00AB1911" w:rsidRPr="00AB1911" w:rsidRDefault="00AB1911" w:rsidP="00AB1911">
      <w:pPr>
        <w:widowControl w:val="0"/>
        <w:autoSpaceDE w:val="0"/>
        <w:autoSpaceDN w:val="0"/>
        <w:adjustRightInd w:val="0"/>
        <w:spacing w:line="240" w:lineRule="auto"/>
        <w:ind w:left="640" w:hanging="640"/>
        <w:rPr>
          <w:rFonts w:ascii="Calibri" w:hAnsi="Calibri" w:cs="Times New Roman"/>
          <w:noProof/>
          <w:szCs w:val="24"/>
        </w:rPr>
      </w:pPr>
      <w:r w:rsidRPr="00AB1911">
        <w:rPr>
          <w:rFonts w:ascii="Calibri" w:hAnsi="Calibri" w:cs="Times New Roman"/>
          <w:noProof/>
          <w:szCs w:val="24"/>
        </w:rPr>
        <w:t xml:space="preserve">4. </w:t>
      </w:r>
      <w:r w:rsidRPr="00AB1911">
        <w:rPr>
          <w:rFonts w:ascii="Calibri" w:hAnsi="Calibri" w:cs="Times New Roman"/>
          <w:noProof/>
          <w:szCs w:val="24"/>
        </w:rPr>
        <w:tab/>
        <w:t xml:space="preserve">von Post-Skagegård M, Samuelson G, Karlström B, Mohsen R, Berglund L, Bratteby L-E. Changes in food habits in healthy Swedish adolescents during the transition from adolescence to adulthood. </w:t>
      </w:r>
      <w:r w:rsidRPr="00AB1911">
        <w:rPr>
          <w:rFonts w:ascii="Calibri" w:hAnsi="Calibri" w:cs="Times New Roman"/>
          <w:i/>
          <w:iCs/>
          <w:noProof/>
          <w:szCs w:val="24"/>
        </w:rPr>
        <w:t>Eur J Clin Nutr</w:t>
      </w:r>
      <w:r w:rsidRPr="00AB1911">
        <w:rPr>
          <w:rFonts w:ascii="Calibri" w:hAnsi="Calibri" w:cs="Times New Roman"/>
          <w:noProof/>
          <w:szCs w:val="24"/>
        </w:rPr>
        <w:t xml:space="preserve">. 2002;56(6):532-538. </w:t>
      </w:r>
    </w:p>
    <w:p w14:paraId="7E171801" w14:textId="1A7406A0" w:rsidR="00AB1911" w:rsidRPr="00AB1911" w:rsidRDefault="00AB1911" w:rsidP="00AB1911">
      <w:pPr>
        <w:widowControl w:val="0"/>
        <w:autoSpaceDE w:val="0"/>
        <w:autoSpaceDN w:val="0"/>
        <w:adjustRightInd w:val="0"/>
        <w:spacing w:line="240" w:lineRule="auto"/>
        <w:ind w:left="640" w:hanging="640"/>
        <w:rPr>
          <w:rFonts w:ascii="Calibri" w:hAnsi="Calibri" w:cs="Times New Roman"/>
          <w:noProof/>
          <w:szCs w:val="24"/>
        </w:rPr>
      </w:pPr>
      <w:r w:rsidRPr="00AB1911">
        <w:rPr>
          <w:rFonts w:ascii="Calibri" w:hAnsi="Calibri" w:cs="Times New Roman"/>
          <w:noProof/>
          <w:szCs w:val="24"/>
        </w:rPr>
        <w:t xml:space="preserve">5. </w:t>
      </w:r>
      <w:r w:rsidRPr="00AB1911">
        <w:rPr>
          <w:rFonts w:ascii="Calibri" w:hAnsi="Calibri" w:cs="Times New Roman"/>
          <w:noProof/>
          <w:szCs w:val="24"/>
        </w:rPr>
        <w:tab/>
        <w:t xml:space="preserve">Øvrebø EM. Food habits of school pupils in Tromso, Norway, in the transition from 13 to 15 years of age. </w:t>
      </w:r>
      <w:r w:rsidRPr="00AB1911">
        <w:rPr>
          <w:rFonts w:ascii="Calibri" w:hAnsi="Calibri" w:cs="Times New Roman"/>
          <w:i/>
          <w:iCs/>
          <w:noProof/>
          <w:szCs w:val="24"/>
        </w:rPr>
        <w:t>Int J Consum Stud</w:t>
      </w:r>
      <w:r w:rsidRPr="00AB1911">
        <w:rPr>
          <w:rFonts w:ascii="Calibri" w:hAnsi="Calibri" w:cs="Times New Roman"/>
          <w:noProof/>
          <w:szCs w:val="24"/>
        </w:rPr>
        <w:t xml:space="preserve">. 2011;35(5):520-528. </w:t>
      </w:r>
    </w:p>
    <w:p w14:paraId="5700D5A6" w14:textId="702EFB38" w:rsidR="00AB1911" w:rsidRPr="00AB1911" w:rsidRDefault="00AB1911" w:rsidP="00AB1911">
      <w:pPr>
        <w:widowControl w:val="0"/>
        <w:autoSpaceDE w:val="0"/>
        <w:autoSpaceDN w:val="0"/>
        <w:adjustRightInd w:val="0"/>
        <w:spacing w:line="240" w:lineRule="auto"/>
        <w:ind w:left="640" w:hanging="640"/>
        <w:rPr>
          <w:rFonts w:ascii="Calibri" w:hAnsi="Calibri" w:cs="Times New Roman"/>
          <w:noProof/>
          <w:szCs w:val="24"/>
        </w:rPr>
      </w:pPr>
      <w:r w:rsidRPr="00AB1911">
        <w:rPr>
          <w:rFonts w:ascii="Calibri" w:hAnsi="Calibri" w:cs="Times New Roman"/>
          <w:noProof/>
          <w:szCs w:val="24"/>
        </w:rPr>
        <w:lastRenderedPageBreak/>
        <w:t xml:space="preserve">6. </w:t>
      </w:r>
      <w:r w:rsidRPr="00AB1911">
        <w:rPr>
          <w:rFonts w:ascii="Calibri" w:hAnsi="Calibri" w:cs="Times New Roman"/>
          <w:noProof/>
          <w:szCs w:val="24"/>
        </w:rPr>
        <w:tab/>
        <w:t xml:space="preserve">Patterson E, Wärnberg J, Kearney J, Sjöström M. The tracking of dietary intakes of children and adolescents in Sweden over six years: the European Youth Heart Study. </w:t>
      </w:r>
      <w:r w:rsidRPr="00AB1911">
        <w:rPr>
          <w:rFonts w:ascii="Calibri" w:hAnsi="Calibri" w:cs="Times New Roman"/>
          <w:i/>
          <w:iCs/>
          <w:noProof/>
          <w:szCs w:val="24"/>
        </w:rPr>
        <w:t>Int J Behav Nutr Phys Act</w:t>
      </w:r>
      <w:r w:rsidRPr="00AB1911">
        <w:rPr>
          <w:rFonts w:ascii="Calibri" w:hAnsi="Calibri" w:cs="Times New Roman"/>
          <w:noProof/>
          <w:szCs w:val="24"/>
        </w:rPr>
        <w:t xml:space="preserve">. 2009;6(91). </w:t>
      </w:r>
    </w:p>
    <w:p w14:paraId="561121BD" w14:textId="55687E0A" w:rsidR="00AB1911" w:rsidRPr="00AB1911" w:rsidRDefault="00AB1911" w:rsidP="00AB1911">
      <w:pPr>
        <w:widowControl w:val="0"/>
        <w:autoSpaceDE w:val="0"/>
        <w:autoSpaceDN w:val="0"/>
        <w:adjustRightInd w:val="0"/>
        <w:spacing w:line="240" w:lineRule="auto"/>
        <w:ind w:left="640" w:hanging="640"/>
        <w:rPr>
          <w:rFonts w:ascii="Calibri" w:hAnsi="Calibri" w:cs="Times New Roman"/>
          <w:noProof/>
          <w:szCs w:val="24"/>
        </w:rPr>
      </w:pPr>
      <w:r w:rsidRPr="00AB1911">
        <w:rPr>
          <w:rFonts w:ascii="Calibri" w:hAnsi="Calibri" w:cs="Times New Roman"/>
          <w:noProof/>
          <w:szCs w:val="24"/>
        </w:rPr>
        <w:t xml:space="preserve">7. </w:t>
      </w:r>
      <w:r w:rsidRPr="00AB1911">
        <w:rPr>
          <w:rFonts w:ascii="Calibri" w:hAnsi="Calibri" w:cs="Times New Roman"/>
          <w:noProof/>
          <w:szCs w:val="24"/>
        </w:rPr>
        <w:tab/>
        <w:t xml:space="preserve">Zarrazquin I, Torres-Unda J, Ruiz F, et al. Longitudinal study: lifestyle and cardiovascular health in health science students. </w:t>
      </w:r>
      <w:r w:rsidRPr="00AB1911">
        <w:rPr>
          <w:rFonts w:ascii="Calibri" w:hAnsi="Calibri" w:cs="Times New Roman"/>
          <w:i/>
          <w:iCs/>
          <w:noProof/>
          <w:szCs w:val="24"/>
        </w:rPr>
        <w:t>Nutr Hosp</w:t>
      </w:r>
      <w:r w:rsidRPr="00AB1911">
        <w:rPr>
          <w:rFonts w:ascii="Calibri" w:hAnsi="Calibri" w:cs="Times New Roman"/>
          <w:noProof/>
          <w:szCs w:val="24"/>
        </w:rPr>
        <w:t xml:space="preserve">. 2014;30(5):1144-1151. </w:t>
      </w:r>
    </w:p>
    <w:p w14:paraId="6A4820BB" w14:textId="24B838A6" w:rsidR="00AB1911" w:rsidRPr="00AB1911" w:rsidRDefault="00AB1911" w:rsidP="00AB1911">
      <w:pPr>
        <w:widowControl w:val="0"/>
        <w:autoSpaceDE w:val="0"/>
        <w:autoSpaceDN w:val="0"/>
        <w:adjustRightInd w:val="0"/>
        <w:spacing w:line="240" w:lineRule="auto"/>
        <w:ind w:left="640" w:hanging="640"/>
        <w:rPr>
          <w:rFonts w:ascii="Calibri" w:hAnsi="Calibri" w:cs="Times New Roman"/>
          <w:noProof/>
          <w:szCs w:val="24"/>
        </w:rPr>
      </w:pPr>
      <w:r w:rsidRPr="00AB1911">
        <w:rPr>
          <w:rFonts w:ascii="Calibri" w:hAnsi="Calibri" w:cs="Times New Roman"/>
          <w:noProof/>
          <w:szCs w:val="24"/>
        </w:rPr>
        <w:t xml:space="preserve">8. </w:t>
      </w:r>
      <w:r w:rsidRPr="00AB1911">
        <w:rPr>
          <w:rFonts w:ascii="Calibri" w:hAnsi="Calibri" w:cs="Times New Roman"/>
          <w:noProof/>
          <w:szCs w:val="24"/>
        </w:rPr>
        <w:tab/>
        <w:t xml:space="preserve">Burgess-Champoux TL, Larson NI, Neumark-Sztainer DR, Hannan PJ, Story MT. Longitudinal and secular trends in adolescent whole-grain consumption, 1999-2004. </w:t>
      </w:r>
      <w:r w:rsidRPr="00AB1911">
        <w:rPr>
          <w:rFonts w:ascii="Calibri" w:hAnsi="Calibri" w:cs="Times New Roman"/>
          <w:i/>
          <w:iCs/>
          <w:noProof/>
          <w:szCs w:val="24"/>
        </w:rPr>
        <w:t>Am J Clin Nutr</w:t>
      </w:r>
      <w:r w:rsidRPr="00AB1911">
        <w:rPr>
          <w:rFonts w:ascii="Calibri" w:hAnsi="Calibri" w:cs="Times New Roman"/>
          <w:noProof/>
          <w:szCs w:val="24"/>
        </w:rPr>
        <w:t xml:space="preserve">. 2010;91(1):154-159. </w:t>
      </w:r>
    </w:p>
    <w:p w14:paraId="6C1C944D" w14:textId="4A620B2D" w:rsidR="00AB1911" w:rsidRPr="00AB1911" w:rsidRDefault="00AB1911" w:rsidP="00AB1911">
      <w:pPr>
        <w:widowControl w:val="0"/>
        <w:autoSpaceDE w:val="0"/>
        <w:autoSpaceDN w:val="0"/>
        <w:adjustRightInd w:val="0"/>
        <w:spacing w:line="240" w:lineRule="auto"/>
        <w:ind w:left="640" w:hanging="640"/>
        <w:rPr>
          <w:rFonts w:ascii="Calibri" w:hAnsi="Calibri" w:cs="Times New Roman"/>
          <w:noProof/>
          <w:szCs w:val="24"/>
        </w:rPr>
      </w:pPr>
      <w:r w:rsidRPr="00AB1911">
        <w:rPr>
          <w:rFonts w:ascii="Calibri" w:hAnsi="Calibri" w:cs="Times New Roman"/>
          <w:noProof/>
          <w:szCs w:val="24"/>
        </w:rPr>
        <w:t xml:space="preserve">9. </w:t>
      </w:r>
      <w:r w:rsidRPr="00AB1911">
        <w:rPr>
          <w:rFonts w:ascii="Calibri" w:hAnsi="Calibri" w:cs="Times New Roman"/>
          <w:noProof/>
          <w:szCs w:val="24"/>
        </w:rPr>
        <w:tab/>
        <w:t xml:space="preserve">Davis JN, Alexander KE, Ventura EE, Toledo-Corral CM, Goran MI. Inverse relation between dietary fiber intake and visceral adiposity in overweight Latino youth. </w:t>
      </w:r>
      <w:r w:rsidRPr="00AB1911">
        <w:rPr>
          <w:rFonts w:ascii="Calibri" w:hAnsi="Calibri" w:cs="Times New Roman"/>
          <w:i/>
          <w:iCs/>
          <w:noProof/>
          <w:szCs w:val="24"/>
        </w:rPr>
        <w:t>Am J Clin Nutr</w:t>
      </w:r>
      <w:r w:rsidRPr="00AB1911">
        <w:rPr>
          <w:rFonts w:ascii="Calibri" w:hAnsi="Calibri" w:cs="Times New Roman"/>
          <w:noProof/>
          <w:szCs w:val="24"/>
        </w:rPr>
        <w:t xml:space="preserve">. 2009;90:1160-1166. </w:t>
      </w:r>
    </w:p>
    <w:p w14:paraId="1F723D2B" w14:textId="2E539324" w:rsidR="00AB1911" w:rsidRPr="00AB1911" w:rsidRDefault="00AB1911" w:rsidP="00AB1911">
      <w:pPr>
        <w:widowControl w:val="0"/>
        <w:autoSpaceDE w:val="0"/>
        <w:autoSpaceDN w:val="0"/>
        <w:adjustRightInd w:val="0"/>
        <w:spacing w:line="240" w:lineRule="auto"/>
        <w:ind w:left="640" w:hanging="640"/>
        <w:rPr>
          <w:rFonts w:ascii="Calibri" w:hAnsi="Calibri" w:cs="Times New Roman"/>
          <w:noProof/>
          <w:szCs w:val="24"/>
        </w:rPr>
      </w:pPr>
      <w:r w:rsidRPr="00AB1911">
        <w:rPr>
          <w:rFonts w:ascii="Calibri" w:hAnsi="Calibri" w:cs="Times New Roman"/>
          <w:noProof/>
          <w:szCs w:val="24"/>
        </w:rPr>
        <w:t xml:space="preserve">10. </w:t>
      </w:r>
      <w:r w:rsidRPr="00AB1911">
        <w:rPr>
          <w:rFonts w:ascii="Calibri" w:hAnsi="Calibri" w:cs="Times New Roman"/>
          <w:noProof/>
          <w:szCs w:val="24"/>
        </w:rPr>
        <w:tab/>
        <w:t xml:space="preserve">Lipsky LM, Haynie DL, Liu D, et al. Trajectories of eating behaviors in a nationally representative cohort of U.S. adolescents during the transition to young adulthood. </w:t>
      </w:r>
      <w:r w:rsidRPr="00AB1911">
        <w:rPr>
          <w:rFonts w:ascii="Calibri" w:hAnsi="Calibri" w:cs="Times New Roman"/>
          <w:i/>
          <w:iCs/>
          <w:noProof/>
          <w:szCs w:val="24"/>
        </w:rPr>
        <w:t>Int J Behav Nutr Phys Act</w:t>
      </w:r>
      <w:r w:rsidRPr="00AB1911">
        <w:rPr>
          <w:rFonts w:ascii="Calibri" w:hAnsi="Calibri" w:cs="Times New Roman"/>
          <w:noProof/>
          <w:szCs w:val="24"/>
        </w:rPr>
        <w:t xml:space="preserve">. 2015;12(138). </w:t>
      </w:r>
    </w:p>
    <w:p w14:paraId="7CA16360" w14:textId="5740A518" w:rsidR="00AB1911" w:rsidRPr="00AB1911" w:rsidRDefault="00AB1911" w:rsidP="00AB1911">
      <w:pPr>
        <w:widowControl w:val="0"/>
        <w:autoSpaceDE w:val="0"/>
        <w:autoSpaceDN w:val="0"/>
        <w:adjustRightInd w:val="0"/>
        <w:spacing w:line="240" w:lineRule="auto"/>
        <w:ind w:left="640" w:hanging="640"/>
        <w:rPr>
          <w:rFonts w:ascii="Calibri" w:hAnsi="Calibri" w:cs="Times New Roman"/>
          <w:noProof/>
          <w:szCs w:val="24"/>
        </w:rPr>
      </w:pPr>
      <w:r w:rsidRPr="00AB1911">
        <w:rPr>
          <w:rFonts w:ascii="Calibri" w:hAnsi="Calibri" w:cs="Times New Roman"/>
          <w:noProof/>
          <w:szCs w:val="24"/>
        </w:rPr>
        <w:t xml:space="preserve">11. </w:t>
      </w:r>
      <w:r w:rsidRPr="00AB1911">
        <w:rPr>
          <w:rFonts w:ascii="Calibri" w:hAnsi="Calibri" w:cs="Times New Roman"/>
          <w:noProof/>
          <w:szCs w:val="24"/>
        </w:rPr>
        <w:tab/>
        <w:t xml:space="preserve">van de Laar RJJ, Stehouwer CDA, van Bussel BCT, Prins MH, Twisk JWR, Ferreira I. Adherence to a Mediterranean dietary pattern in early life is associated with lower arterial stiffness in adulthood: The Amsterdam Growth and Health Longitudinal Study. </w:t>
      </w:r>
      <w:r w:rsidRPr="00AB1911">
        <w:rPr>
          <w:rFonts w:ascii="Calibri" w:hAnsi="Calibri" w:cs="Times New Roman"/>
          <w:i/>
          <w:iCs/>
          <w:noProof/>
          <w:szCs w:val="24"/>
        </w:rPr>
        <w:t>J Intern Med</w:t>
      </w:r>
      <w:r w:rsidRPr="00AB1911">
        <w:rPr>
          <w:rFonts w:ascii="Calibri" w:hAnsi="Calibri" w:cs="Times New Roman"/>
          <w:noProof/>
          <w:szCs w:val="24"/>
        </w:rPr>
        <w:t>. 2013;273(1):79-93.</w:t>
      </w:r>
    </w:p>
    <w:p w14:paraId="566E4206" w14:textId="660A5B77" w:rsidR="00AB1911" w:rsidRPr="00AB1911" w:rsidRDefault="00AB1911" w:rsidP="00AB1911">
      <w:pPr>
        <w:widowControl w:val="0"/>
        <w:autoSpaceDE w:val="0"/>
        <w:autoSpaceDN w:val="0"/>
        <w:adjustRightInd w:val="0"/>
        <w:spacing w:line="240" w:lineRule="auto"/>
        <w:ind w:left="640" w:hanging="640"/>
        <w:rPr>
          <w:rFonts w:ascii="Calibri" w:hAnsi="Calibri" w:cs="Times New Roman"/>
          <w:noProof/>
          <w:szCs w:val="24"/>
        </w:rPr>
      </w:pPr>
      <w:r w:rsidRPr="00AB1911">
        <w:rPr>
          <w:rFonts w:ascii="Calibri" w:hAnsi="Calibri" w:cs="Times New Roman"/>
          <w:noProof/>
          <w:szCs w:val="24"/>
        </w:rPr>
        <w:t xml:space="preserve">12. </w:t>
      </w:r>
      <w:r w:rsidRPr="00AB1911">
        <w:rPr>
          <w:rFonts w:ascii="Calibri" w:hAnsi="Calibri" w:cs="Times New Roman"/>
          <w:noProof/>
          <w:szCs w:val="24"/>
        </w:rPr>
        <w:tab/>
        <w:t xml:space="preserve">van de Laar RJJ, Stehouwer CDA, van Bussel BCT, et al. Lower lifetime dietary fiber intake is associated with carotid artery stiffness : the Amsterdam Growth and Health Longitudinal Study. </w:t>
      </w:r>
      <w:r w:rsidRPr="00AB1911">
        <w:rPr>
          <w:rFonts w:ascii="Calibri" w:hAnsi="Calibri" w:cs="Times New Roman"/>
          <w:i/>
          <w:iCs/>
          <w:noProof/>
          <w:szCs w:val="24"/>
        </w:rPr>
        <w:t>Am J Clin Nutr</w:t>
      </w:r>
      <w:r w:rsidRPr="00AB1911">
        <w:rPr>
          <w:rFonts w:ascii="Calibri" w:hAnsi="Calibri" w:cs="Times New Roman"/>
          <w:noProof/>
          <w:szCs w:val="24"/>
        </w:rPr>
        <w:t xml:space="preserve">. 2012;96:14-23. </w:t>
      </w:r>
    </w:p>
    <w:p w14:paraId="5EE7CC99" w14:textId="3663C497" w:rsidR="00AB1911" w:rsidRPr="00AB1911" w:rsidRDefault="00AB1911" w:rsidP="00AB1911">
      <w:pPr>
        <w:widowControl w:val="0"/>
        <w:autoSpaceDE w:val="0"/>
        <w:autoSpaceDN w:val="0"/>
        <w:adjustRightInd w:val="0"/>
        <w:spacing w:line="240" w:lineRule="auto"/>
        <w:ind w:left="640" w:hanging="640"/>
        <w:rPr>
          <w:rFonts w:ascii="Calibri" w:hAnsi="Calibri" w:cs="Times New Roman"/>
          <w:noProof/>
          <w:szCs w:val="24"/>
        </w:rPr>
      </w:pPr>
      <w:r w:rsidRPr="00AB1911">
        <w:rPr>
          <w:rFonts w:ascii="Calibri" w:hAnsi="Calibri" w:cs="Times New Roman"/>
          <w:noProof/>
          <w:szCs w:val="24"/>
        </w:rPr>
        <w:t xml:space="preserve">13. </w:t>
      </w:r>
      <w:r w:rsidRPr="00AB1911">
        <w:rPr>
          <w:rFonts w:ascii="Calibri" w:hAnsi="Calibri" w:cs="Times New Roman"/>
          <w:noProof/>
          <w:szCs w:val="24"/>
        </w:rPr>
        <w:tab/>
        <w:t xml:space="preserve">Barton BA, Eldridge AL, Thompson D, et al. The relationship of breakfast and cereal consumption to nutrient intake and body mass index: The National Heart, Lung, and Blood Institute Growth and Health Study. </w:t>
      </w:r>
      <w:r w:rsidRPr="00AB1911">
        <w:rPr>
          <w:rFonts w:ascii="Calibri" w:hAnsi="Calibri" w:cs="Times New Roman"/>
          <w:i/>
          <w:iCs/>
          <w:noProof/>
          <w:szCs w:val="24"/>
        </w:rPr>
        <w:t>J Am Diet Assoc</w:t>
      </w:r>
      <w:r w:rsidRPr="00AB1911">
        <w:rPr>
          <w:rFonts w:ascii="Calibri" w:hAnsi="Calibri" w:cs="Times New Roman"/>
          <w:noProof/>
          <w:szCs w:val="24"/>
        </w:rPr>
        <w:t xml:space="preserve">. 2005;105(9):1383-1389. </w:t>
      </w:r>
    </w:p>
    <w:p w14:paraId="7DA10369" w14:textId="2C799EF6" w:rsidR="00AB1911" w:rsidRPr="00AB1911" w:rsidRDefault="00AB1911" w:rsidP="00AB1911">
      <w:pPr>
        <w:widowControl w:val="0"/>
        <w:autoSpaceDE w:val="0"/>
        <w:autoSpaceDN w:val="0"/>
        <w:adjustRightInd w:val="0"/>
        <w:spacing w:line="240" w:lineRule="auto"/>
        <w:ind w:left="640" w:hanging="640"/>
        <w:rPr>
          <w:rFonts w:ascii="Calibri" w:hAnsi="Calibri" w:cs="Times New Roman"/>
          <w:noProof/>
          <w:szCs w:val="24"/>
        </w:rPr>
      </w:pPr>
      <w:r w:rsidRPr="00AB1911">
        <w:rPr>
          <w:rFonts w:ascii="Calibri" w:hAnsi="Calibri" w:cs="Times New Roman"/>
          <w:noProof/>
          <w:szCs w:val="24"/>
        </w:rPr>
        <w:t xml:space="preserve">14. </w:t>
      </w:r>
      <w:r w:rsidRPr="00AB1911">
        <w:rPr>
          <w:rFonts w:ascii="Calibri" w:hAnsi="Calibri" w:cs="Times New Roman"/>
          <w:noProof/>
          <w:szCs w:val="24"/>
        </w:rPr>
        <w:tab/>
        <w:t xml:space="preserve">Franko DL, Albertson AM, Thompson DR, Barton BA. Cereal consumption and indicators of cardiovascular risk in adolescent girls. </w:t>
      </w:r>
      <w:r w:rsidRPr="00AB1911">
        <w:rPr>
          <w:rFonts w:ascii="Calibri" w:hAnsi="Calibri" w:cs="Times New Roman"/>
          <w:i/>
          <w:iCs/>
          <w:noProof/>
          <w:szCs w:val="24"/>
        </w:rPr>
        <w:t>Public Health Nutr</w:t>
      </w:r>
      <w:r w:rsidRPr="00AB1911">
        <w:rPr>
          <w:rFonts w:ascii="Calibri" w:hAnsi="Calibri" w:cs="Times New Roman"/>
          <w:noProof/>
          <w:szCs w:val="24"/>
        </w:rPr>
        <w:t xml:space="preserve">. 2011;14(4):584-590. </w:t>
      </w:r>
    </w:p>
    <w:p w14:paraId="250CE0B0" w14:textId="50D40F7E" w:rsidR="00AB1911" w:rsidRPr="00AB1911" w:rsidRDefault="00AB1911" w:rsidP="00AB1911">
      <w:pPr>
        <w:widowControl w:val="0"/>
        <w:autoSpaceDE w:val="0"/>
        <w:autoSpaceDN w:val="0"/>
        <w:adjustRightInd w:val="0"/>
        <w:spacing w:line="240" w:lineRule="auto"/>
        <w:ind w:left="640" w:hanging="640"/>
        <w:rPr>
          <w:rFonts w:ascii="Calibri" w:hAnsi="Calibri" w:cs="Times New Roman"/>
          <w:noProof/>
          <w:szCs w:val="24"/>
        </w:rPr>
      </w:pPr>
      <w:r w:rsidRPr="00AB1911">
        <w:rPr>
          <w:rFonts w:ascii="Calibri" w:hAnsi="Calibri" w:cs="Times New Roman"/>
          <w:noProof/>
          <w:szCs w:val="24"/>
        </w:rPr>
        <w:t xml:space="preserve">15. </w:t>
      </w:r>
      <w:r w:rsidRPr="00AB1911">
        <w:rPr>
          <w:rFonts w:ascii="Calibri" w:hAnsi="Calibri" w:cs="Times New Roman"/>
          <w:noProof/>
          <w:szCs w:val="24"/>
        </w:rPr>
        <w:tab/>
        <w:t xml:space="preserve">Larson NI, Neumark-Sztainer D, Hannan PJ, Story M. Trends in Adolescent Fruit and Vegetable Consumption, 1999–2004. </w:t>
      </w:r>
      <w:r w:rsidRPr="00AB1911">
        <w:rPr>
          <w:rFonts w:ascii="Calibri" w:hAnsi="Calibri" w:cs="Times New Roman"/>
          <w:i/>
          <w:iCs/>
          <w:noProof/>
          <w:szCs w:val="24"/>
        </w:rPr>
        <w:t>Am J Prev Med</w:t>
      </w:r>
      <w:r w:rsidRPr="00AB1911">
        <w:rPr>
          <w:rFonts w:ascii="Calibri" w:hAnsi="Calibri" w:cs="Times New Roman"/>
          <w:noProof/>
          <w:szCs w:val="24"/>
        </w:rPr>
        <w:t xml:space="preserve">. 2007;32(2):147-150. </w:t>
      </w:r>
    </w:p>
    <w:p w14:paraId="7A14780E" w14:textId="72634397" w:rsidR="00AB1911" w:rsidRPr="00AB1911" w:rsidRDefault="00AB1911" w:rsidP="00AB1911">
      <w:pPr>
        <w:widowControl w:val="0"/>
        <w:autoSpaceDE w:val="0"/>
        <w:autoSpaceDN w:val="0"/>
        <w:adjustRightInd w:val="0"/>
        <w:spacing w:line="240" w:lineRule="auto"/>
        <w:ind w:left="640" w:hanging="640"/>
        <w:rPr>
          <w:rFonts w:ascii="Calibri" w:hAnsi="Calibri" w:cs="Times New Roman"/>
          <w:noProof/>
          <w:szCs w:val="24"/>
        </w:rPr>
      </w:pPr>
      <w:r w:rsidRPr="00AB1911">
        <w:rPr>
          <w:rFonts w:ascii="Calibri" w:hAnsi="Calibri" w:cs="Times New Roman"/>
          <w:noProof/>
          <w:szCs w:val="24"/>
        </w:rPr>
        <w:t xml:space="preserve">16. </w:t>
      </w:r>
      <w:r w:rsidRPr="00AB1911">
        <w:rPr>
          <w:rFonts w:ascii="Calibri" w:hAnsi="Calibri" w:cs="Times New Roman"/>
          <w:noProof/>
          <w:szCs w:val="24"/>
        </w:rPr>
        <w:tab/>
        <w:t xml:space="preserve">Racette SB, Deusinger SS, Strube MJ, Highstein GR, Deusinger RH. Weight changes, exercise, and dietary patterns during freshman and sophomore years of college. </w:t>
      </w:r>
      <w:r w:rsidRPr="00AB1911">
        <w:rPr>
          <w:rFonts w:ascii="Calibri" w:hAnsi="Calibri" w:cs="Times New Roman"/>
          <w:i/>
          <w:iCs/>
          <w:noProof/>
          <w:szCs w:val="24"/>
        </w:rPr>
        <w:t>J Am Coll Heal</w:t>
      </w:r>
      <w:r w:rsidRPr="00AB1911">
        <w:rPr>
          <w:rFonts w:ascii="Calibri" w:hAnsi="Calibri" w:cs="Times New Roman"/>
          <w:noProof/>
          <w:szCs w:val="24"/>
        </w:rPr>
        <w:t xml:space="preserve">. 2005;53(November):245-251. </w:t>
      </w:r>
    </w:p>
    <w:p w14:paraId="7E4EB328" w14:textId="6524EA7E" w:rsidR="00AB1911" w:rsidRPr="00AB1911" w:rsidRDefault="00AB1911" w:rsidP="00AB1911">
      <w:pPr>
        <w:widowControl w:val="0"/>
        <w:autoSpaceDE w:val="0"/>
        <w:autoSpaceDN w:val="0"/>
        <w:adjustRightInd w:val="0"/>
        <w:spacing w:line="240" w:lineRule="auto"/>
        <w:ind w:left="640" w:hanging="640"/>
        <w:rPr>
          <w:rFonts w:ascii="Calibri" w:hAnsi="Calibri" w:cs="Times New Roman"/>
          <w:noProof/>
          <w:szCs w:val="24"/>
        </w:rPr>
      </w:pPr>
      <w:r w:rsidRPr="00AB1911">
        <w:rPr>
          <w:rFonts w:ascii="Calibri" w:hAnsi="Calibri" w:cs="Times New Roman"/>
          <w:noProof/>
          <w:szCs w:val="24"/>
        </w:rPr>
        <w:t xml:space="preserve">17. </w:t>
      </w:r>
      <w:r w:rsidRPr="00AB1911">
        <w:rPr>
          <w:rFonts w:ascii="Calibri" w:hAnsi="Calibri" w:cs="Times New Roman"/>
          <w:noProof/>
          <w:szCs w:val="24"/>
        </w:rPr>
        <w:tab/>
        <w:t xml:space="preserve">Moore LL, Singer MR, Qureshi MM, Bradlee ML, Daniels SR. Food group intake and micronutrient adequacy in adolescent girls. </w:t>
      </w:r>
      <w:r w:rsidRPr="00AB1911">
        <w:rPr>
          <w:rFonts w:ascii="Calibri" w:hAnsi="Calibri" w:cs="Times New Roman"/>
          <w:i/>
          <w:iCs/>
          <w:noProof/>
          <w:szCs w:val="24"/>
        </w:rPr>
        <w:t>Nutrients</w:t>
      </w:r>
      <w:r w:rsidRPr="00AB1911">
        <w:rPr>
          <w:rFonts w:ascii="Calibri" w:hAnsi="Calibri" w:cs="Times New Roman"/>
          <w:noProof/>
          <w:szCs w:val="24"/>
        </w:rPr>
        <w:t xml:space="preserve">. 2012;4(11):1692-1708. </w:t>
      </w:r>
    </w:p>
    <w:p w14:paraId="2C3C1253" w14:textId="77777777" w:rsidR="00AB1911" w:rsidRPr="00AB1911" w:rsidRDefault="00AB1911" w:rsidP="00AB1911">
      <w:pPr>
        <w:widowControl w:val="0"/>
        <w:autoSpaceDE w:val="0"/>
        <w:autoSpaceDN w:val="0"/>
        <w:adjustRightInd w:val="0"/>
        <w:spacing w:line="240" w:lineRule="auto"/>
        <w:ind w:left="640" w:hanging="640"/>
        <w:rPr>
          <w:rFonts w:ascii="Calibri" w:hAnsi="Calibri" w:cs="Times New Roman"/>
          <w:noProof/>
          <w:szCs w:val="24"/>
        </w:rPr>
      </w:pPr>
      <w:r w:rsidRPr="00AB1911">
        <w:rPr>
          <w:rFonts w:ascii="Calibri" w:hAnsi="Calibri" w:cs="Times New Roman"/>
          <w:noProof/>
          <w:szCs w:val="24"/>
        </w:rPr>
        <w:t xml:space="preserve">18. </w:t>
      </w:r>
      <w:r w:rsidRPr="00AB1911">
        <w:rPr>
          <w:rFonts w:ascii="Calibri" w:hAnsi="Calibri" w:cs="Times New Roman"/>
          <w:noProof/>
          <w:szCs w:val="24"/>
        </w:rPr>
        <w:tab/>
        <w:t xml:space="preserve">Adeyanju M. Adolescent health status, behaviors and cardiovascular disease. </w:t>
      </w:r>
      <w:r w:rsidRPr="00AB1911">
        <w:rPr>
          <w:rFonts w:ascii="Calibri" w:hAnsi="Calibri" w:cs="Times New Roman"/>
          <w:i/>
          <w:iCs/>
          <w:noProof/>
          <w:szCs w:val="24"/>
        </w:rPr>
        <w:t>Adolescence</w:t>
      </w:r>
      <w:r w:rsidRPr="00AB1911">
        <w:rPr>
          <w:rFonts w:ascii="Calibri" w:hAnsi="Calibri" w:cs="Times New Roman"/>
          <w:noProof/>
          <w:szCs w:val="24"/>
        </w:rPr>
        <w:t>. 1990;25(97):155-169.</w:t>
      </w:r>
    </w:p>
    <w:p w14:paraId="1797B952" w14:textId="77777777" w:rsidR="00AB1911" w:rsidRPr="00AB1911" w:rsidRDefault="00AB1911" w:rsidP="00AB1911">
      <w:pPr>
        <w:widowControl w:val="0"/>
        <w:autoSpaceDE w:val="0"/>
        <w:autoSpaceDN w:val="0"/>
        <w:adjustRightInd w:val="0"/>
        <w:spacing w:line="240" w:lineRule="auto"/>
        <w:ind w:left="640" w:hanging="640"/>
        <w:rPr>
          <w:rFonts w:ascii="Calibri" w:hAnsi="Calibri" w:cs="Times New Roman"/>
          <w:noProof/>
          <w:szCs w:val="24"/>
        </w:rPr>
      </w:pPr>
      <w:r w:rsidRPr="00AB1911">
        <w:rPr>
          <w:rFonts w:ascii="Calibri" w:hAnsi="Calibri" w:cs="Times New Roman"/>
          <w:noProof/>
          <w:szCs w:val="24"/>
        </w:rPr>
        <w:t xml:space="preserve">19. </w:t>
      </w:r>
      <w:r w:rsidRPr="00AB1911">
        <w:rPr>
          <w:rFonts w:ascii="Calibri" w:hAnsi="Calibri" w:cs="Times New Roman"/>
          <w:noProof/>
          <w:szCs w:val="24"/>
        </w:rPr>
        <w:tab/>
        <w:t xml:space="preserve">Adeyanju M, Creswell WH. The relationship among attitudes, behaviors, and biomedical measures of adolescents “at risk” for cardiovascular disease. </w:t>
      </w:r>
      <w:r w:rsidRPr="00AB1911">
        <w:rPr>
          <w:rFonts w:ascii="Calibri" w:hAnsi="Calibri" w:cs="Times New Roman"/>
          <w:i/>
          <w:iCs/>
          <w:noProof/>
          <w:szCs w:val="24"/>
        </w:rPr>
        <w:t>J Sch Heal</w:t>
      </w:r>
      <w:r w:rsidRPr="00AB1911">
        <w:rPr>
          <w:rFonts w:ascii="Calibri" w:hAnsi="Calibri" w:cs="Times New Roman"/>
          <w:noProof/>
          <w:szCs w:val="24"/>
        </w:rPr>
        <w:t>. 1987;57(8):326-331.</w:t>
      </w:r>
    </w:p>
    <w:p w14:paraId="32AD36FD" w14:textId="5444E0AE" w:rsidR="00AB1911" w:rsidRPr="00AB1911" w:rsidRDefault="00AB1911" w:rsidP="00AB1911">
      <w:pPr>
        <w:widowControl w:val="0"/>
        <w:autoSpaceDE w:val="0"/>
        <w:autoSpaceDN w:val="0"/>
        <w:adjustRightInd w:val="0"/>
        <w:spacing w:line="240" w:lineRule="auto"/>
        <w:ind w:left="640" w:hanging="640"/>
        <w:rPr>
          <w:rFonts w:ascii="Calibri" w:hAnsi="Calibri" w:cs="Times New Roman"/>
          <w:noProof/>
          <w:szCs w:val="24"/>
        </w:rPr>
      </w:pPr>
      <w:r w:rsidRPr="00AB1911">
        <w:rPr>
          <w:rFonts w:ascii="Calibri" w:hAnsi="Calibri" w:cs="Times New Roman"/>
          <w:noProof/>
          <w:szCs w:val="24"/>
        </w:rPr>
        <w:t xml:space="preserve">20. </w:t>
      </w:r>
      <w:r w:rsidRPr="00AB1911">
        <w:rPr>
          <w:rFonts w:ascii="Calibri" w:hAnsi="Calibri" w:cs="Times New Roman"/>
          <w:noProof/>
          <w:szCs w:val="24"/>
        </w:rPr>
        <w:tab/>
        <w:t xml:space="preserve">Affenito SG, Thompson DR, Barton BA, et al. Breakfast consumption by African-American and </w:t>
      </w:r>
      <w:r w:rsidRPr="00AB1911">
        <w:rPr>
          <w:rFonts w:ascii="Calibri" w:hAnsi="Calibri" w:cs="Times New Roman"/>
          <w:noProof/>
          <w:szCs w:val="24"/>
        </w:rPr>
        <w:lastRenderedPageBreak/>
        <w:t xml:space="preserve">white adolescent girls correlates positively with calcium and fiber intake and negatively with body mass index. </w:t>
      </w:r>
      <w:r w:rsidRPr="00AB1911">
        <w:rPr>
          <w:rFonts w:ascii="Calibri" w:hAnsi="Calibri" w:cs="Times New Roman"/>
          <w:i/>
          <w:iCs/>
          <w:noProof/>
          <w:szCs w:val="24"/>
        </w:rPr>
        <w:t>J Am Diet Assoc</w:t>
      </w:r>
      <w:r w:rsidRPr="00AB1911">
        <w:rPr>
          <w:rFonts w:ascii="Calibri" w:hAnsi="Calibri" w:cs="Times New Roman"/>
          <w:noProof/>
          <w:szCs w:val="24"/>
        </w:rPr>
        <w:t xml:space="preserve">. 2005;105(6):938-945. </w:t>
      </w:r>
    </w:p>
    <w:p w14:paraId="3A23443A" w14:textId="716C452E" w:rsidR="00AB1911" w:rsidRPr="00AB1911" w:rsidRDefault="00AB1911" w:rsidP="00AB1911">
      <w:pPr>
        <w:widowControl w:val="0"/>
        <w:autoSpaceDE w:val="0"/>
        <w:autoSpaceDN w:val="0"/>
        <w:adjustRightInd w:val="0"/>
        <w:spacing w:line="240" w:lineRule="auto"/>
        <w:ind w:left="640" w:hanging="640"/>
        <w:rPr>
          <w:rFonts w:ascii="Calibri" w:hAnsi="Calibri" w:cs="Times New Roman"/>
          <w:noProof/>
          <w:szCs w:val="24"/>
        </w:rPr>
      </w:pPr>
      <w:r w:rsidRPr="00AB1911">
        <w:rPr>
          <w:rFonts w:ascii="Calibri" w:hAnsi="Calibri" w:cs="Times New Roman"/>
          <w:noProof/>
          <w:szCs w:val="24"/>
        </w:rPr>
        <w:t xml:space="preserve">21. </w:t>
      </w:r>
      <w:r w:rsidRPr="00AB1911">
        <w:rPr>
          <w:rFonts w:ascii="Calibri" w:hAnsi="Calibri" w:cs="Times New Roman"/>
          <w:noProof/>
          <w:szCs w:val="24"/>
        </w:rPr>
        <w:tab/>
        <w:t xml:space="preserve">Affenito SG, Thompson DR, Franko DL, et al. Longitudinal Assessment of Micronutrient Intake among African-American and White Girls: The National Heart, Lung, and Blood Institute Growth and Health Study. </w:t>
      </w:r>
      <w:r w:rsidRPr="00AB1911">
        <w:rPr>
          <w:rFonts w:ascii="Calibri" w:hAnsi="Calibri" w:cs="Times New Roman"/>
          <w:i/>
          <w:iCs/>
          <w:noProof/>
          <w:szCs w:val="24"/>
        </w:rPr>
        <w:t>J Am Diet Assoc</w:t>
      </w:r>
      <w:r w:rsidRPr="00AB1911">
        <w:rPr>
          <w:rFonts w:ascii="Calibri" w:hAnsi="Calibri" w:cs="Times New Roman"/>
          <w:noProof/>
          <w:szCs w:val="24"/>
        </w:rPr>
        <w:t xml:space="preserve">. 2007;107(7):1113-1123. </w:t>
      </w:r>
    </w:p>
    <w:p w14:paraId="75FD4760" w14:textId="61A6EAF9" w:rsidR="00AB1911" w:rsidRPr="00AB1911" w:rsidRDefault="00AB1911" w:rsidP="00AB1911">
      <w:pPr>
        <w:widowControl w:val="0"/>
        <w:autoSpaceDE w:val="0"/>
        <w:autoSpaceDN w:val="0"/>
        <w:adjustRightInd w:val="0"/>
        <w:spacing w:line="240" w:lineRule="auto"/>
        <w:ind w:left="640" w:hanging="640"/>
        <w:rPr>
          <w:rFonts w:ascii="Calibri" w:hAnsi="Calibri" w:cs="Times New Roman"/>
          <w:noProof/>
          <w:szCs w:val="24"/>
        </w:rPr>
      </w:pPr>
      <w:r w:rsidRPr="00AB1911">
        <w:rPr>
          <w:rFonts w:ascii="Calibri" w:hAnsi="Calibri" w:cs="Times New Roman"/>
          <w:noProof/>
          <w:szCs w:val="24"/>
        </w:rPr>
        <w:t xml:space="preserve">22. </w:t>
      </w:r>
      <w:r w:rsidRPr="00AB1911">
        <w:rPr>
          <w:rFonts w:ascii="Calibri" w:hAnsi="Calibri" w:cs="Times New Roman"/>
          <w:noProof/>
          <w:szCs w:val="24"/>
        </w:rPr>
        <w:tab/>
        <w:t xml:space="preserve">Black LJ, Allen KL, Jacoby P, et al. Low dietary intake of magnesium is associated with increased externalising behaviours in adolescents. </w:t>
      </w:r>
      <w:r w:rsidRPr="00AB1911">
        <w:rPr>
          <w:rFonts w:ascii="Calibri" w:hAnsi="Calibri" w:cs="Times New Roman"/>
          <w:i/>
          <w:iCs/>
          <w:noProof/>
          <w:szCs w:val="24"/>
        </w:rPr>
        <w:t>Public Health Nutr</w:t>
      </w:r>
      <w:r w:rsidRPr="00AB1911">
        <w:rPr>
          <w:rFonts w:ascii="Calibri" w:hAnsi="Calibri" w:cs="Times New Roman"/>
          <w:noProof/>
          <w:szCs w:val="24"/>
        </w:rPr>
        <w:t xml:space="preserve">. 2015;18(10):1824-1830. </w:t>
      </w:r>
    </w:p>
    <w:p w14:paraId="10A813B5" w14:textId="5B9136A3" w:rsidR="00AB1911" w:rsidRPr="00AB1911" w:rsidRDefault="00AB1911" w:rsidP="00AB1911">
      <w:pPr>
        <w:widowControl w:val="0"/>
        <w:autoSpaceDE w:val="0"/>
        <w:autoSpaceDN w:val="0"/>
        <w:adjustRightInd w:val="0"/>
        <w:spacing w:line="240" w:lineRule="auto"/>
        <w:ind w:left="640" w:hanging="640"/>
        <w:rPr>
          <w:rFonts w:ascii="Calibri" w:hAnsi="Calibri" w:cs="Times New Roman"/>
          <w:noProof/>
          <w:szCs w:val="24"/>
        </w:rPr>
      </w:pPr>
      <w:r w:rsidRPr="00AB1911">
        <w:rPr>
          <w:rFonts w:ascii="Calibri" w:hAnsi="Calibri" w:cs="Times New Roman"/>
          <w:noProof/>
          <w:szCs w:val="24"/>
        </w:rPr>
        <w:t xml:space="preserve">23. </w:t>
      </w:r>
      <w:r w:rsidRPr="00AB1911">
        <w:rPr>
          <w:rFonts w:ascii="Calibri" w:hAnsi="Calibri" w:cs="Times New Roman"/>
          <w:noProof/>
          <w:szCs w:val="24"/>
        </w:rPr>
        <w:tab/>
        <w:t xml:space="preserve">Black LJ, Burrows SA, Jacoby P, et al. Vitamin D status and predictors of serum 25-hydroxyvitamin D concentrations in Western Australian adolescents. </w:t>
      </w:r>
      <w:r w:rsidRPr="00AB1911">
        <w:rPr>
          <w:rFonts w:ascii="Calibri" w:hAnsi="Calibri" w:cs="Times New Roman"/>
          <w:i/>
          <w:iCs/>
          <w:noProof/>
          <w:szCs w:val="24"/>
        </w:rPr>
        <w:t>Br J Nutr</w:t>
      </w:r>
      <w:r w:rsidRPr="00AB1911">
        <w:rPr>
          <w:rFonts w:ascii="Calibri" w:hAnsi="Calibri" w:cs="Times New Roman"/>
          <w:noProof/>
          <w:szCs w:val="24"/>
        </w:rPr>
        <w:t xml:space="preserve">. 2014;112(7):1154-1162. </w:t>
      </w:r>
    </w:p>
    <w:p w14:paraId="1B08B48A" w14:textId="6CE9DF6F" w:rsidR="00AB1911" w:rsidRPr="00AB1911" w:rsidRDefault="00AB1911" w:rsidP="00AB1911">
      <w:pPr>
        <w:widowControl w:val="0"/>
        <w:autoSpaceDE w:val="0"/>
        <w:autoSpaceDN w:val="0"/>
        <w:adjustRightInd w:val="0"/>
        <w:spacing w:line="240" w:lineRule="auto"/>
        <w:ind w:left="640" w:hanging="640"/>
        <w:rPr>
          <w:rFonts w:ascii="Calibri" w:hAnsi="Calibri" w:cs="Times New Roman"/>
          <w:noProof/>
          <w:szCs w:val="24"/>
        </w:rPr>
      </w:pPr>
      <w:r w:rsidRPr="00AB1911">
        <w:rPr>
          <w:rFonts w:ascii="Calibri" w:hAnsi="Calibri" w:cs="Times New Roman"/>
          <w:noProof/>
          <w:szCs w:val="24"/>
        </w:rPr>
        <w:t xml:space="preserve">24. </w:t>
      </w:r>
      <w:r w:rsidRPr="00AB1911">
        <w:rPr>
          <w:rFonts w:ascii="Calibri" w:hAnsi="Calibri" w:cs="Times New Roman"/>
          <w:noProof/>
          <w:szCs w:val="24"/>
        </w:rPr>
        <w:tab/>
        <w:t xml:space="preserve">Boon N, Koppes LLJ, Saris WHM, Van Mechelen W. The relation between calcium intake and body composition in a Dutch population: The Amsterdam Growth and Health Longitudinal Study. </w:t>
      </w:r>
      <w:r w:rsidRPr="00AB1911">
        <w:rPr>
          <w:rFonts w:ascii="Calibri" w:hAnsi="Calibri" w:cs="Times New Roman"/>
          <w:i/>
          <w:iCs/>
          <w:noProof/>
          <w:szCs w:val="24"/>
        </w:rPr>
        <w:t>Am J Epidemiol</w:t>
      </w:r>
      <w:r w:rsidRPr="00AB1911">
        <w:rPr>
          <w:rFonts w:ascii="Calibri" w:hAnsi="Calibri" w:cs="Times New Roman"/>
          <w:noProof/>
          <w:szCs w:val="24"/>
        </w:rPr>
        <w:t xml:space="preserve">. 2005;162(1):27-32. </w:t>
      </w:r>
    </w:p>
    <w:p w14:paraId="3802C4EF" w14:textId="632D8575" w:rsidR="00AB1911" w:rsidRPr="00AB1911" w:rsidRDefault="00AB1911" w:rsidP="00AB1911">
      <w:pPr>
        <w:widowControl w:val="0"/>
        <w:autoSpaceDE w:val="0"/>
        <w:autoSpaceDN w:val="0"/>
        <w:adjustRightInd w:val="0"/>
        <w:spacing w:line="240" w:lineRule="auto"/>
        <w:ind w:left="640" w:hanging="640"/>
        <w:rPr>
          <w:rFonts w:ascii="Calibri" w:hAnsi="Calibri" w:cs="Times New Roman"/>
          <w:noProof/>
          <w:szCs w:val="24"/>
        </w:rPr>
      </w:pPr>
      <w:r w:rsidRPr="00AB1911">
        <w:rPr>
          <w:rFonts w:ascii="Calibri" w:hAnsi="Calibri" w:cs="Times New Roman"/>
          <w:noProof/>
          <w:szCs w:val="24"/>
        </w:rPr>
        <w:t xml:space="preserve">25. </w:t>
      </w:r>
      <w:r w:rsidRPr="00AB1911">
        <w:rPr>
          <w:rFonts w:ascii="Calibri" w:hAnsi="Calibri" w:cs="Times New Roman"/>
          <w:noProof/>
          <w:szCs w:val="24"/>
        </w:rPr>
        <w:tab/>
        <w:t xml:space="preserve">Deforche B, Van Dyck D, Deliens T, De Bourdeaudhuij I. Changes in weight, physical activity, sedentary behaviour and dietary intake during the transition to higher education: a prospective study. </w:t>
      </w:r>
      <w:r w:rsidRPr="00AB1911">
        <w:rPr>
          <w:rFonts w:ascii="Calibri" w:hAnsi="Calibri" w:cs="Times New Roman"/>
          <w:i/>
          <w:iCs/>
          <w:noProof/>
          <w:szCs w:val="24"/>
        </w:rPr>
        <w:t>Int J Behav Nutr Phys Act</w:t>
      </w:r>
      <w:r w:rsidRPr="00AB1911">
        <w:rPr>
          <w:rFonts w:ascii="Calibri" w:hAnsi="Calibri" w:cs="Times New Roman"/>
          <w:noProof/>
          <w:szCs w:val="24"/>
        </w:rPr>
        <w:t xml:space="preserve">. 2015;12(1):16. </w:t>
      </w:r>
    </w:p>
    <w:p w14:paraId="5D49E482" w14:textId="6465B524" w:rsidR="00AB1911" w:rsidRPr="00AB1911" w:rsidRDefault="00AB1911" w:rsidP="00AB1911">
      <w:pPr>
        <w:widowControl w:val="0"/>
        <w:autoSpaceDE w:val="0"/>
        <w:autoSpaceDN w:val="0"/>
        <w:adjustRightInd w:val="0"/>
        <w:spacing w:line="240" w:lineRule="auto"/>
        <w:ind w:left="640" w:hanging="640"/>
        <w:rPr>
          <w:rFonts w:ascii="Calibri" w:hAnsi="Calibri" w:cs="Times New Roman"/>
          <w:noProof/>
          <w:szCs w:val="24"/>
        </w:rPr>
      </w:pPr>
      <w:r w:rsidRPr="00AB1911">
        <w:rPr>
          <w:rFonts w:ascii="Calibri" w:hAnsi="Calibri" w:cs="Times New Roman"/>
          <w:noProof/>
          <w:szCs w:val="24"/>
        </w:rPr>
        <w:t xml:space="preserve">26. </w:t>
      </w:r>
      <w:r w:rsidRPr="00AB1911">
        <w:rPr>
          <w:rFonts w:ascii="Calibri" w:hAnsi="Calibri" w:cs="Times New Roman"/>
          <w:noProof/>
          <w:szCs w:val="24"/>
        </w:rPr>
        <w:tab/>
        <w:t xml:space="preserve">Deheeger M, Bellisle F, Rolland-Cachera MF. The French longitudinal study of growth and nutrition: data in adolescent males and females. </w:t>
      </w:r>
      <w:r w:rsidRPr="00AB1911">
        <w:rPr>
          <w:rFonts w:ascii="Calibri" w:hAnsi="Calibri" w:cs="Times New Roman"/>
          <w:i/>
          <w:iCs/>
          <w:noProof/>
          <w:szCs w:val="24"/>
        </w:rPr>
        <w:t>J Hum Nutr Diet</w:t>
      </w:r>
      <w:r w:rsidRPr="00AB1911">
        <w:rPr>
          <w:rFonts w:ascii="Calibri" w:hAnsi="Calibri" w:cs="Times New Roman"/>
          <w:noProof/>
          <w:szCs w:val="24"/>
        </w:rPr>
        <w:t xml:space="preserve">. 2002;15(6):429-438. </w:t>
      </w:r>
    </w:p>
    <w:p w14:paraId="76D02757" w14:textId="2CE3058A" w:rsidR="00AB1911" w:rsidRPr="00AB1911" w:rsidRDefault="00AB1911" w:rsidP="00AB1911">
      <w:pPr>
        <w:widowControl w:val="0"/>
        <w:autoSpaceDE w:val="0"/>
        <w:autoSpaceDN w:val="0"/>
        <w:adjustRightInd w:val="0"/>
        <w:spacing w:line="240" w:lineRule="auto"/>
        <w:ind w:left="640" w:hanging="640"/>
        <w:rPr>
          <w:rFonts w:ascii="Calibri" w:hAnsi="Calibri" w:cs="Times New Roman"/>
          <w:noProof/>
          <w:szCs w:val="24"/>
        </w:rPr>
      </w:pPr>
      <w:r w:rsidRPr="00AB1911">
        <w:rPr>
          <w:rFonts w:ascii="Calibri" w:hAnsi="Calibri" w:cs="Times New Roman"/>
          <w:noProof/>
          <w:szCs w:val="24"/>
        </w:rPr>
        <w:t xml:space="preserve">27. </w:t>
      </w:r>
      <w:r w:rsidRPr="00AB1911">
        <w:rPr>
          <w:rFonts w:ascii="Calibri" w:hAnsi="Calibri" w:cs="Times New Roman"/>
          <w:noProof/>
          <w:szCs w:val="24"/>
        </w:rPr>
        <w:tab/>
        <w:t xml:space="preserve">Gallagher AM, Robson PJ, Livingstone MBE, et al. Tracking of energy and nutrient intakes from adolescence to young adulthood: the experiences of the Young Hearts Project, Northern Ireland. </w:t>
      </w:r>
      <w:r w:rsidRPr="00AB1911">
        <w:rPr>
          <w:rFonts w:ascii="Calibri" w:hAnsi="Calibri" w:cs="Times New Roman"/>
          <w:i/>
          <w:iCs/>
          <w:noProof/>
          <w:szCs w:val="24"/>
        </w:rPr>
        <w:t>Public Health Nutr</w:t>
      </w:r>
      <w:r w:rsidRPr="00AB1911">
        <w:rPr>
          <w:rFonts w:ascii="Calibri" w:hAnsi="Calibri" w:cs="Times New Roman"/>
          <w:noProof/>
          <w:szCs w:val="24"/>
        </w:rPr>
        <w:t xml:space="preserve">. 2006;9(8):1027-1034. </w:t>
      </w:r>
    </w:p>
    <w:p w14:paraId="2A8225D3" w14:textId="77777777" w:rsidR="00AB1911" w:rsidRPr="00AB1911" w:rsidRDefault="00AB1911" w:rsidP="00AB1911">
      <w:pPr>
        <w:widowControl w:val="0"/>
        <w:autoSpaceDE w:val="0"/>
        <w:autoSpaceDN w:val="0"/>
        <w:adjustRightInd w:val="0"/>
        <w:spacing w:line="240" w:lineRule="auto"/>
        <w:ind w:left="640" w:hanging="640"/>
        <w:rPr>
          <w:rFonts w:ascii="Calibri" w:hAnsi="Calibri" w:cs="Times New Roman"/>
          <w:noProof/>
          <w:szCs w:val="24"/>
        </w:rPr>
      </w:pPr>
      <w:r w:rsidRPr="00AB1911">
        <w:rPr>
          <w:rFonts w:ascii="Calibri" w:hAnsi="Calibri" w:cs="Times New Roman"/>
          <w:noProof/>
          <w:szCs w:val="24"/>
        </w:rPr>
        <w:t xml:space="preserve">28. </w:t>
      </w:r>
      <w:r w:rsidRPr="00AB1911">
        <w:rPr>
          <w:rFonts w:ascii="Calibri" w:hAnsi="Calibri" w:cs="Times New Roman"/>
          <w:noProof/>
          <w:szCs w:val="24"/>
        </w:rPr>
        <w:tab/>
        <w:t xml:space="preserve">Kemper HCG, Post GB, Welten DC, van Mechelen W, Twisk JWR. What are the effects of calcium intake on bone health in young males and females - analysis of data from the Amsterdam Growth and Health Longitudinal Study. </w:t>
      </w:r>
      <w:r w:rsidRPr="00AB1911">
        <w:rPr>
          <w:rFonts w:ascii="Calibri" w:hAnsi="Calibri" w:cs="Times New Roman"/>
          <w:i/>
          <w:iCs/>
          <w:noProof/>
          <w:szCs w:val="24"/>
        </w:rPr>
        <w:t>Acta Kinesiol Univ Tartu</w:t>
      </w:r>
      <w:r w:rsidRPr="00AB1911">
        <w:rPr>
          <w:rFonts w:ascii="Calibri" w:hAnsi="Calibri" w:cs="Times New Roman"/>
          <w:noProof/>
          <w:szCs w:val="24"/>
        </w:rPr>
        <w:t>. 2001;6:57-74.</w:t>
      </w:r>
    </w:p>
    <w:p w14:paraId="5DF1D4CF" w14:textId="1C584259" w:rsidR="00AB1911" w:rsidRPr="00AB1911" w:rsidRDefault="00AB1911" w:rsidP="00AB1911">
      <w:pPr>
        <w:widowControl w:val="0"/>
        <w:autoSpaceDE w:val="0"/>
        <w:autoSpaceDN w:val="0"/>
        <w:adjustRightInd w:val="0"/>
        <w:spacing w:line="240" w:lineRule="auto"/>
        <w:ind w:left="640" w:hanging="640"/>
        <w:rPr>
          <w:rFonts w:ascii="Calibri" w:hAnsi="Calibri" w:cs="Times New Roman"/>
          <w:noProof/>
          <w:szCs w:val="24"/>
        </w:rPr>
      </w:pPr>
      <w:r w:rsidRPr="00AB1911">
        <w:rPr>
          <w:rFonts w:ascii="Calibri" w:hAnsi="Calibri" w:cs="Times New Roman"/>
          <w:noProof/>
          <w:szCs w:val="24"/>
        </w:rPr>
        <w:t xml:space="preserve">29. </w:t>
      </w:r>
      <w:r w:rsidRPr="00AB1911">
        <w:rPr>
          <w:rFonts w:ascii="Calibri" w:hAnsi="Calibri" w:cs="Times New Roman"/>
          <w:noProof/>
          <w:szCs w:val="24"/>
        </w:rPr>
        <w:tab/>
        <w:t xml:space="preserve">Larson NI, Neumark-Sztainer D, Harnack L, Wall M, Story M, Eisenberg ME. Calcium and Dairy Intake: Longitudinal Trends during the Transition to Young Adulthood and Correlates of Calcium Intake. </w:t>
      </w:r>
      <w:r w:rsidRPr="00AB1911">
        <w:rPr>
          <w:rFonts w:ascii="Calibri" w:hAnsi="Calibri" w:cs="Times New Roman"/>
          <w:i/>
          <w:iCs/>
          <w:noProof/>
          <w:szCs w:val="24"/>
        </w:rPr>
        <w:t>J Nutr Educ Behav</w:t>
      </w:r>
      <w:r w:rsidRPr="00AB1911">
        <w:rPr>
          <w:rFonts w:ascii="Calibri" w:hAnsi="Calibri" w:cs="Times New Roman"/>
          <w:noProof/>
          <w:szCs w:val="24"/>
        </w:rPr>
        <w:t xml:space="preserve">. 2009;41(4):254-260. </w:t>
      </w:r>
    </w:p>
    <w:p w14:paraId="217DFC24" w14:textId="00F60131" w:rsidR="00AB1911" w:rsidRPr="00AB1911" w:rsidRDefault="00AB1911" w:rsidP="00AB1911">
      <w:pPr>
        <w:widowControl w:val="0"/>
        <w:autoSpaceDE w:val="0"/>
        <w:autoSpaceDN w:val="0"/>
        <w:adjustRightInd w:val="0"/>
        <w:spacing w:line="240" w:lineRule="auto"/>
        <w:ind w:left="640" w:hanging="640"/>
        <w:rPr>
          <w:rFonts w:ascii="Calibri" w:hAnsi="Calibri" w:cs="Times New Roman"/>
          <w:noProof/>
          <w:szCs w:val="24"/>
        </w:rPr>
      </w:pPr>
      <w:r w:rsidRPr="00AB1911">
        <w:rPr>
          <w:rFonts w:ascii="Calibri" w:hAnsi="Calibri" w:cs="Times New Roman"/>
          <w:noProof/>
          <w:szCs w:val="24"/>
        </w:rPr>
        <w:t xml:space="preserve">30. </w:t>
      </w:r>
      <w:r w:rsidRPr="00AB1911">
        <w:rPr>
          <w:rFonts w:ascii="Calibri" w:hAnsi="Calibri" w:cs="Times New Roman"/>
          <w:noProof/>
          <w:szCs w:val="24"/>
        </w:rPr>
        <w:tab/>
        <w:t xml:space="preserve">Lehtonen-Veromaa M, Möttönen T, Leino A, Heinonen OJ, Rautava E, Viikari J. Prospective study on food fortification with vitamin D among adolescent females in Finland: minor effects. </w:t>
      </w:r>
      <w:r w:rsidRPr="00AB1911">
        <w:rPr>
          <w:rFonts w:ascii="Calibri" w:hAnsi="Calibri" w:cs="Times New Roman"/>
          <w:i/>
          <w:iCs/>
          <w:noProof/>
          <w:szCs w:val="24"/>
        </w:rPr>
        <w:t>Br J Nutr</w:t>
      </w:r>
      <w:r w:rsidRPr="00AB1911">
        <w:rPr>
          <w:rFonts w:ascii="Calibri" w:hAnsi="Calibri" w:cs="Times New Roman"/>
          <w:noProof/>
          <w:szCs w:val="24"/>
        </w:rPr>
        <w:t xml:space="preserve">. 2008;100:418-423. </w:t>
      </w:r>
    </w:p>
    <w:p w14:paraId="793EBCFA" w14:textId="78985265" w:rsidR="00AB1911" w:rsidRPr="00AB1911" w:rsidRDefault="00AB1911" w:rsidP="00AB1911">
      <w:pPr>
        <w:widowControl w:val="0"/>
        <w:autoSpaceDE w:val="0"/>
        <w:autoSpaceDN w:val="0"/>
        <w:adjustRightInd w:val="0"/>
        <w:spacing w:line="240" w:lineRule="auto"/>
        <w:ind w:left="640" w:hanging="640"/>
        <w:rPr>
          <w:rFonts w:ascii="Calibri" w:hAnsi="Calibri" w:cs="Times New Roman"/>
          <w:noProof/>
          <w:szCs w:val="24"/>
        </w:rPr>
      </w:pPr>
      <w:r w:rsidRPr="00AB1911">
        <w:rPr>
          <w:rFonts w:ascii="Calibri" w:hAnsi="Calibri" w:cs="Times New Roman"/>
          <w:noProof/>
          <w:szCs w:val="24"/>
        </w:rPr>
        <w:t xml:space="preserve">31. </w:t>
      </w:r>
      <w:r w:rsidRPr="00AB1911">
        <w:rPr>
          <w:rFonts w:ascii="Calibri" w:hAnsi="Calibri" w:cs="Times New Roman"/>
          <w:noProof/>
          <w:szCs w:val="24"/>
        </w:rPr>
        <w:tab/>
        <w:t xml:space="preserve">Magarey AM, Boulton TJC, Chatterton BE, Schultz C, Nordin BEC. Familial and environmental influences on bone growth from 11-17 years. </w:t>
      </w:r>
      <w:r w:rsidRPr="00AB1911">
        <w:rPr>
          <w:rFonts w:ascii="Calibri" w:hAnsi="Calibri" w:cs="Times New Roman"/>
          <w:i/>
          <w:iCs/>
          <w:noProof/>
          <w:szCs w:val="24"/>
        </w:rPr>
        <w:t>Acta Paediatr</w:t>
      </w:r>
      <w:r w:rsidRPr="00AB1911">
        <w:rPr>
          <w:rFonts w:ascii="Calibri" w:hAnsi="Calibri" w:cs="Times New Roman"/>
          <w:noProof/>
          <w:szCs w:val="24"/>
        </w:rPr>
        <w:t xml:space="preserve">. 1999;88(11):1204-1210. </w:t>
      </w:r>
    </w:p>
    <w:p w14:paraId="76E4C318" w14:textId="069DE33C" w:rsidR="00AB1911" w:rsidRPr="00AB1911" w:rsidRDefault="00AB1911" w:rsidP="00AB1911">
      <w:pPr>
        <w:widowControl w:val="0"/>
        <w:autoSpaceDE w:val="0"/>
        <w:autoSpaceDN w:val="0"/>
        <w:adjustRightInd w:val="0"/>
        <w:spacing w:line="240" w:lineRule="auto"/>
        <w:ind w:left="640" w:hanging="640"/>
        <w:rPr>
          <w:rFonts w:ascii="Calibri" w:hAnsi="Calibri" w:cs="Times New Roman"/>
          <w:noProof/>
          <w:szCs w:val="24"/>
        </w:rPr>
      </w:pPr>
      <w:r w:rsidRPr="00AB1911">
        <w:rPr>
          <w:rFonts w:ascii="Calibri" w:hAnsi="Calibri" w:cs="Times New Roman"/>
          <w:noProof/>
          <w:szCs w:val="24"/>
        </w:rPr>
        <w:t xml:space="preserve">32. </w:t>
      </w:r>
      <w:r w:rsidRPr="00AB1911">
        <w:rPr>
          <w:rFonts w:ascii="Calibri" w:hAnsi="Calibri" w:cs="Times New Roman"/>
          <w:noProof/>
          <w:szCs w:val="24"/>
        </w:rPr>
        <w:tab/>
        <w:t xml:space="preserve">Onimawo IA. Inter-individual variations in energy and nutrient intake among young Nigerian adults. </w:t>
      </w:r>
      <w:r w:rsidRPr="00AB1911">
        <w:rPr>
          <w:rFonts w:ascii="Calibri" w:hAnsi="Calibri" w:cs="Times New Roman"/>
          <w:i/>
          <w:iCs/>
          <w:noProof/>
          <w:szCs w:val="24"/>
        </w:rPr>
        <w:t>Ecol Food Nutr</w:t>
      </w:r>
      <w:r w:rsidRPr="00AB1911">
        <w:rPr>
          <w:rFonts w:ascii="Calibri" w:hAnsi="Calibri" w:cs="Times New Roman"/>
          <w:noProof/>
          <w:szCs w:val="24"/>
        </w:rPr>
        <w:t xml:space="preserve">. 2001;40(2):127-141. </w:t>
      </w:r>
    </w:p>
    <w:p w14:paraId="411D6EB9" w14:textId="72231B15" w:rsidR="00AB1911" w:rsidRPr="00AB1911" w:rsidRDefault="00AB1911" w:rsidP="00AB1911">
      <w:pPr>
        <w:widowControl w:val="0"/>
        <w:autoSpaceDE w:val="0"/>
        <w:autoSpaceDN w:val="0"/>
        <w:adjustRightInd w:val="0"/>
        <w:spacing w:line="240" w:lineRule="auto"/>
        <w:ind w:left="640" w:hanging="640"/>
        <w:rPr>
          <w:rFonts w:ascii="Calibri" w:hAnsi="Calibri" w:cs="Times New Roman"/>
          <w:noProof/>
          <w:szCs w:val="24"/>
        </w:rPr>
      </w:pPr>
      <w:r w:rsidRPr="00AB1911">
        <w:rPr>
          <w:rFonts w:ascii="Calibri" w:hAnsi="Calibri" w:cs="Times New Roman"/>
          <w:noProof/>
          <w:szCs w:val="24"/>
        </w:rPr>
        <w:t xml:space="preserve">33. </w:t>
      </w:r>
      <w:r w:rsidRPr="00AB1911">
        <w:rPr>
          <w:rFonts w:ascii="Calibri" w:hAnsi="Calibri" w:cs="Times New Roman"/>
          <w:noProof/>
          <w:szCs w:val="24"/>
        </w:rPr>
        <w:tab/>
        <w:t xml:space="preserve">O’Sullivan TA, Bremner AP, Mori TA, et al. Regular fat and reduced fat dairy products show similar associations with markers of adolescent cardiometabolic health. </w:t>
      </w:r>
      <w:r w:rsidRPr="00AB1911">
        <w:rPr>
          <w:rFonts w:ascii="Calibri" w:hAnsi="Calibri" w:cs="Times New Roman"/>
          <w:i/>
          <w:iCs/>
          <w:noProof/>
          <w:szCs w:val="24"/>
        </w:rPr>
        <w:t>Nutrients</w:t>
      </w:r>
      <w:r w:rsidRPr="00AB1911">
        <w:rPr>
          <w:rFonts w:ascii="Calibri" w:hAnsi="Calibri" w:cs="Times New Roman"/>
          <w:noProof/>
          <w:szCs w:val="24"/>
        </w:rPr>
        <w:t xml:space="preserve">. 2016;8:22. </w:t>
      </w:r>
    </w:p>
    <w:p w14:paraId="212D848D" w14:textId="47D2EDDD" w:rsidR="00AB1911" w:rsidRPr="00AB1911" w:rsidRDefault="00AB1911" w:rsidP="00AB1911">
      <w:pPr>
        <w:widowControl w:val="0"/>
        <w:autoSpaceDE w:val="0"/>
        <w:autoSpaceDN w:val="0"/>
        <w:adjustRightInd w:val="0"/>
        <w:spacing w:line="240" w:lineRule="auto"/>
        <w:ind w:left="640" w:hanging="640"/>
        <w:rPr>
          <w:rFonts w:ascii="Calibri" w:hAnsi="Calibri" w:cs="Times New Roman"/>
          <w:noProof/>
          <w:szCs w:val="24"/>
        </w:rPr>
      </w:pPr>
      <w:r w:rsidRPr="00AB1911">
        <w:rPr>
          <w:rFonts w:ascii="Calibri" w:hAnsi="Calibri" w:cs="Times New Roman"/>
          <w:noProof/>
          <w:szCs w:val="24"/>
        </w:rPr>
        <w:t xml:space="preserve">34. </w:t>
      </w:r>
      <w:r w:rsidRPr="00AB1911">
        <w:rPr>
          <w:rFonts w:ascii="Calibri" w:hAnsi="Calibri" w:cs="Times New Roman"/>
          <w:noProof/>
          <w:szCs w:val="24"/>
        </w:rPr>
        <w:tab/>
        <w:t xml:space="preserve">Parker CE, Vivian WJ, Oddy WH, Beilin LJ, Mori TA, O’Sullivan TA. Changes in dairy food and nutrient intakes in Australian adolescents. </w:t>
      </w:r>
      <w:r w:rsidRPr="00AB1911">
        <w:rPr>
          <w:rFonts w:ascii="Calibri" w:hAnsi="Calibri" w:cs="Times New Roman"/>
          <w:i/>
          <w:iCs/>
          <w:noProof/>
          <w:szCs w:val="24"/>
        </w:rPr>
        <w:t>Nutrients</w:t>
      </w:r>
      <w:r w:rsidRPr="00AB1911">
        <w:rPr>
          <w:rFonts w:ascii="Calibri" w:hAnsi="Calibri" w:cs="Times New Roman"/>
          <w:noProof/>
          <w:szCs w:val="24"/>
        </w:rPr>
        <w:t xml:space="preserve">. 2012;4:1794-1811. </w:t>
      </w:r>
    </w:p>
    <w:p w14:paraId="6A42EACA" w14:textId="01FC0D3B" w:rsidR="00AB1911" w:rsidRPr="00AB1911" w:rsidRDefault="00AB1911" w:rsidP="00AB1911">
      <w:pPr>
        <w:widowControl w:val="0"/>
        <w:autoSpaceDE w:val="0"/>
        <w:autoSpaceDN w:val="0"/>
        <w:adjustRightInd w:val="0"/>
        <w:spacing w:line="240" w:lineRule="auto"/>
        <w:ind w:left="640" w:hanging="640"/>
        <w:rPr>
          <w:rFonts w:ascii="Calibri" w:hAnsi="Calibri" w:cs="Times New Roman"/>
          <w:noProof/>
          <w:szCs w:val="24"/>
        </w:rPr>
      </w:pPr>
      <w:r w:rsidRPr="00AB1911">
        <w:rPr>
          <w:rFonts w:ascii="Calibri" w:hAnsi="Calibri" w:cs="Times New Roman"/>
          <w:noProof/>
          <w:szCs w:val="24"/>
        </w:rPr>
        <w:t xml:space="preserve">35. </w:t>
      </w:r>
      <w:r w:rsidRPr="00AB1911">
        <w:rPr>
          <w:rFonts w:ascii="Calibri" w:hAnsi="Calibri" w:cs="Times New Roman"/>
          <w:noProof/>
          <w:szCs w:val="24"/>
        </w:rPr>
        <w:tab/>
        <w:t xml:space="preserve">Post B, Kemper HC, Storm-Van Essen L. Longitudinal changes in nutritional habits of teenagers: differences in intake between schooldays and weekend days. </w:t>
      </w:r>
      <w:r w:rsidRPr="00AB1911">
        <w:rPr>
          <w:rFonts w:ascii="Calibri" w:hAnsi="Calibri" w:cs="Times New Roman"/>
          <w:i/>
          <w:iCs/>
          <w:noProof/>
          <w:szCs w:val="24"/>
        </w:rPr>
        <w:t>Br J Nutr</w:t>
      </w:r>
      <w:r w:rsidRPr="00AB1911">
        <w:rPr>
          <w:rFonts w:ascii="Calibri" w:hAnsi="Calibri" w:cs="Times New Roman"/>
          <w:noProof/>
          <w:szCs w:val="24"/>
        </w:rPr>
        <w:t xml:space="preserve">. 1987;57:161-176. </w:t>
      </w:r>
    </w:p>
    <w:p w14:paraId="243631DC" w14:textId="77777777" w:rsidR="00AB1911" w:rsidRPr="00AB1911" w:rsidRDefault="00AB1911" w:rsidP="00AB1911">
      <w:pPr>
        <w:widowControl w:val="0"/>
        <w:autoSpaceDE w:val="0"/>
        <w:autoSpaceDN w:val="0"/>
        <w:adjustRightInd w:val="0"/>
        <w:spacing w:line="240" w:lineRule="auto"/>
        <w:ind w:left="640" w:hanging="640"/>
        <w:rPr>
          <w:rFonts w:ascii="Calibri" w:hAnsi="Calibri" w:cs="Times New Roman"/>
          <w:noProof/>
          <w:szCs w:val="24"/>
        </w:rPr>
      </w:pPr>
      <w:r w:rsidRPr="00AB1911">
        <w:rPr>
          <w:rFonts w:ascii="Calibri" w:hAnsi="Calibri" w:cs="Times New Roman"/>
          <w:noProof/>
          <w:szCs w:val="24"/>
        </w:rPr>
        <w:t xml:space="preserve">36. </w:t>
      </w:r>
      <w:r w:rsidRPr="00AB1911">
        <w:rPr>
          <w:rFonts w:ascii="Calibri" w:hAnsi="Calibri" w:cs="Times New Roman"/>
          <w:noProof/>
          <w:szCs w:val="24"/>
        </w:rPr>
        <w:tab/>
        <w:t xml:space="preserve">Post GB, Kemper HCG. Nutrient intake and biological maturation during adolescence. The Amsterdam growth and health longitudinal study. </w:t>
      </w:r>
      <w:r w:rsidRPr="00AB1911">
        <w:rPr>
          <w:rFonts w:ascii="Calibri" w:hAnsi="Calibri" w:cs="Times New Roman"/>
          <w:i/>
          <w:iCs/>
          <w:noProof/>
          <w:szCs w:val="24"/>
        </w:rPr>
        <w:t>Eur J Clin Nutr</w:t>
      </w:r>
      <w:r w:rsidRPr="00AB1911">
        <w:rPr>
          <w:rFonts w:ascii="Calibri" w:hAnsi="Calibri" w:cs="Times New Roman"/>
          <w:noProof/>
          <w:szCs w:val="24"/>
        </w:rPr>
        <w:t>. 1993;47:400-408.</w:t>
      </w:r>
    </w:p>
    <w:p w14:paraId="4E237CAB" w14:textId="3D945106" w:rsidR="00AB1911" w:rsidRPr="00AB1911" w:rsidRDefault="00AB1911" w:rsidP="00AB1911">
      <w:pPr>
        <w:widowControl w:val="0"/>
        <w:autoSpaceDE w:val="0"/>
        <w:autoSpaceDN w:val="0"/>
        <w:adjustRightInd w:val="0"/>
        <w:spacing w:line="240" w:lineRule="auto"/>
        <w:ind w:left="640" w:hanging="640"/>
        <w:rPr>
          <w:rFonts w:ascii="Calibri" w:hAnsi="Calibri" w:cs="Times New Roman"/>
          <w:noProof/>
          <w:szCs w:val="24"/>
        </w:rPr>
      </w:pPr>
      <w:r w:rsidRPr="00AB1911">
        <w:rPr>
          <w:rFonts w:ascii="Calibri" w:hAnsi="Calibri" w:cs="Times New Roman"/>
          <w:noProof/>
          <w:szCs w:val="24"/>
        </w:rPr>
        <w:t xml:space="preserve">37. </w:t>
      </w:r>
      <w:r w:rsidRPr="00AB1911">
        <w:rPr>
          <w:rFonts w:ascii="Calibri" w:hAnsi="Calibri" w:cs="Times New Roman"/>
          <w:noProof/>
          <w:szCs w:val="24"/>
        </w:rPr>
        <w:tab/>
        <w:t xml:space="preserve">Post GB, de Vente W, Kemper HCG, Twisk JWR. Longitudinal trends in and tracking of energy and nutrient intake over 20 years in a Dutch cohort of men and women between 13 and 33 years of age: The Amsterdam growth and health longitudinal study. </w:t>
      </w:r>
      <w:r w:rsidRPr="00AB1911">
        <w:rPr>
          <w:rFonts w:ascii="Calibri" w:hAnsi="Calibri" w:cs="Times New Roman"/>
          <w:i/>
          <w:iCs/>
          <w:noProof/>
          <w:szCs w:val="24"/>
        </w:rPr>
        <w:t>Br J Nutr</w:t>
      </w:r>
      <w:r w:rsidRPr="00AB1911">
        <w:rPr>
          <w:rFonts w:ascii="Calibri" w:hAnsi="Calibri" w:cs="Times New Roman"/>
          <w:noProof/>
          <w:szCs w:val="24"/>
        </w:rPr>
        <w:t xml:space="preserve">. 2001;85:375-385. </w:t>
      </w:r>
    </w:p>
    <w:p w14:paraId="42728B5B" w14:textId="7DF51CAF" w:rsidR="00AB1911" w:rsidRPr="00AB1911" w:rsidRDefault="00AB1911" w:rsidP="00AB1911">
      <w:pPr>
        <w:widowControl w:val="0"/>
        <w:autoSpaceDE w:val="0"/>
        <w:autoSpaceDN w:val="0"/>
        <w:adjustRightInd w:val="0"/>
        <w:spacing w:line="240" w:lineRule="auto"/>
        <w:ind w:left="640" w:hanging="640"/>
        <w:rPr>
          <w:rFonts w:ascii="Calibri" w:hAnsi="Calibri" w:cs="Times New Roman"/>
          <w:noProof/>
          <w:szCs w:val="24"/>
        </w:rPr>
      </w:pPr>
      <w:r w:rsidRPr="00AB1911">
        <w:rPr>
          <w:rFonts w:ascii="Calibri" w:hAnsi="Calibri" w:cs="Times New Roman"/>
          <w:noProof/>
          <w:szCs w:val="24"/>
        </w:rPr>
        <w:lastRenderedPageBreak/>
        <w:t xml:space="preserve">38. </w:t>
      </w:r>
      <w:r w:rsidRPr="00AB1911">
        <w:rPr>
          <w:rFonts w:ascii="Calibri" w:hAnsi="Calibri" w:cs="Times New Roman"/>
          <w:noProof/>
          <w:szCs w:val="24"/>
        </w:rPr>
        <w:tab/>
        <w:t xml:space="preserve">Rautava E, Lehtonen-Veromaa M, Kautiainen H, et al. The reduction of physical activity reflects on the bone mass among young females: A follow-up study of 142 adolescent girls. </w:t>
      </w:r>
      <w:r w:rsidRPr="00AB1911">
        <w:rPr>
          <w:rFonts w:ascii="Calibri" w:hAnsi="Calibri" w:cs="Times New Roman"/>
          <w:i/>
          <w:iCs/>
          <w:noProof/>
          <w:szCs w:val="24"/>
        </w:rPr>
        <w:t>Osteoporos Int</w:t>
      </w:r>
      <w:r w:rsidRPr="00AB1911">
        <w:rPr>
          <w:rFonts w:ascii="Calibri" w:hAnsi="Calibri" w:cs="Times New Roman"/>
          <w:noProof/>
          <w:szCs w:val="24"/>
        </w:rPr>
        <w:t xml:space="preserve">. 2007;18(7):915-922. </w:t>
      </w:r>
    </w:p>
    <w:p w14:paraId="3F58F6BA" w14:textId="3F5A5DAF" w:rsidR="00AB1911" w:rsidRPr="00AB1911" w:rsidRDefault="00AB1911" w:rsidP="00AB1911">
      <w:pPr>
        <w:widowControl w:val="0"/>
        <w:autoSpaceDE w:val="0"/>
        <w:autoSpaceDN w:val="0"/>
        <w:adjustRightInd w:val="0"/>
        <w:spacing w:line="240" w:lineRule="auto"/>
        <w:ind w:left="640" w:hanging="640"/>
        <w:rPr>
          <w:rFonts w:ascii="Calibri" w:hAnsi="Calibri" w:cs="Times New Roman"/>
          <w:noProof/>
          <w:szCs w:val="24"/>
        </w:rPr>
      </w:pPr>
      <w:r w:rsidRPr="00AB1911">
        <w:rPr>
          <w:rFonts w:ascii="Calibri" w:hAnsi="Calibri" w:cs="Times New Roman"/>
          <w:noProof/>
          <w:szCs w:val="24"/>
        </w:rPr>
        <w:t xml:space="preserve">39. </w:t>
      </w:r>
      <w:r w:rsidRPr="00AB1911">
        <w:rPr>
          <w:rFonts w:ascii="Calibri" w:hAnsi="Calibri" w:cs="Times New Roman"/>
          <w:noProof/>
          <w:szCs w:val="24"/>
        </w:rPr>
        <w:tab/>
        <w:t xml:space="preserve">Twisk JWR, Staal BJ, Brinkman MN, Kemper HCG, van Mechelen W. Tracking of lung function parameters and the longitudinal relationship with lifestyle. </w:t>
      </w:r>
      <w:r w:rsidRPr="00AB1911">
        <w:rPr>
          <w:rFonts w:ascii="Calibri" w:hAnsi="Calibri" w:cs="Times New Roman"/>
          <w:i/>
          <w:iCs/>
          <w:noProof/>
          <w:szCs w:val="24"/>
        </w:rPr>
        <w:t>Eur Respir J</w:t>
      </w:r>
      <w:r w:rsidRPr="00AB1911">
        <w:rPr>
          <w:rFonts w:ascii="Calibri" w:hAnsi="Calibri" w:cs="Times New Roman"/>
          <w:noProof/>
          <w:szCs w:val="24"/>
        </w:rPr>
        <w:t xml:space="preserve">. 1998;12(3):627-634. </w:t>
      </w:r>
    </w:p>
    <w:p w14:paraId="52FE2126" w14:textId="08C8E303" w:rsidR="00AB1911" w:rsidRPr="00AB1911" w:rsidRDefault="00AB1911" w:rsidP="00AB1911">
      <w:pPr>
        <w:widowControl w:val="0"/>
        <w:autoSpaceDE w:val="0"/>
        <w:autoSpaceDN w:val="0"/>
        <w:adjustRightInd w:val="0"/>
        <w:spacing w:line="240" w:lineRule="auto"/>
        <w:ind w:left="640" w:hanging="640"/>
        <w:rPr>
          <w:rFonts w:ascii="Calibri" w:hAnsi="Calibri" w:cs="Times New Roman"/>
          <w:noProof/>
          <w:szCs w:val="24"/>
        </w:rPr>
      </w:pPr>
      <w:r w:rsidRPr="00AB1911">
        <w:rPr>
          <w:rFonts w:ascii="Calibri" w:hAnsi="Calibri" w:cs="Times New Roman"/>
          <w:noProof/>
          <w:szCs w:val="24"/>
        </w:rPr>
        <w:t xml:space="preserve">40. </w:t>
      </w:r>
      <w:r w:rsidRPr="00AB1911">
        <w:rPr>
          <w:rFonts w:ascii="Calibri" w:hAnsi="Calibri" w:cs="Times New Roman"/>
          <w:noProof/>
          <w:szCs w:val="24"/>
        </w:rPr>
        <w:tab/>
        <w:t xml:space="preserve">Welten DC, Kemper HCG, Post GB, Van Staveren WA, Twisk JWR. Longitudinal development and tracking of calcium and dairy intake from teenager to adult. </w:t>
      </w:r>
      <w:r w:rsidRPr="00AB1911">
        <w:rPr>
          <w:rFonts w:ascii="Calibri" w:hAnsi="Calibri" w:cs="Times New Roman"/>
          <w:i/>
          <w:iCs/>
          <w:noProof/>
          <w:szCs w:val="24"/>
        </w:rPr>
        <w:t>Eur J Clin Nutr</w:t>
      </w:r>
      <w:r w:rsidRPr="00AB1911">
        <w:rPr>
          <w:rFonts w:ascii="Calibri" w:hAnsi="Calibri" w:cs="Times New Roman"/>
          <w:noProof/>
          <w:szCs w:val="24"/>
        </w:rPr>
        <w:t xml:space="preserve">. 1997;51(9):612-618. </w:t>
      </w:r>
    </w:p>
    <w:p w14:paraId="7A4A9800" w14:textId="1DB994CD" w:rsidR="00AB1911" w:rsidRPr="00AB1911" w:rsidRDefault="00AB1911" w:rsidP="00AB1911">
      <w:pPr>
        <w:widowControl w:val="0"/>
        <w:autoSpaceDE w:val="0"/>
        <w:autoSpaceDN w:val="0"/>
        <w:adjustRightInd w:val="0"/>
        <w:spacing w:line="240" w:lineRule="auto"/>
        <w:ind w:left="640" w:hanging="640"/>
        <w:rPr>
          <w:rFonts w:ascii="Calibri" w:hAnsi="Calibri" w:cs="Times New Roman"/>
          <w:noProof/>
          <w:szCs w:val="24"/>
        </w:rPr>
      </w:pPr>
      <w:r w:rsidRPr="00AB1911">
        <w:rPr>
          <w:rFonts w:ascii="Calibri" w:hAnsi="Calibri" w:cs="Times New Roman"/>
          <w:noProof/>
          <w:szCs w:val="24"/>
        </w:rPr>
        <w:t xml:space="preserve">41. </w:t>
      </w:r>
      <w:r w:rsidRPr="00AB1911">
        <w:rPr>
          <w:rFonts w:ascii="Calibri" w:hAnsi="Calibri" w:cs="Times New Roman"/>
          <w:noProof/>
          <w:szCs w:val="24"/>
        </w:rPr>
        <w:tab/>
        <w:t xml:space="preserve">Welten DC, Kemper HCG, Post GB, et al. Weight-Bearing Activity During Youth Is a More Important Factor for Peak Bone Mass than Calcium Intake. </w:t>
      </w:r>
      <w:r w:rsidRPr="00AB1911">
        <w:rPr>
          <w:rFonts w:ascii="Calibri" w:hAnsi="Calibri" w:cs="Times New Roman"/>
          <w:i/>
          <w:iCs/>
          <w:noProof/>
          <w:szCs w:val="24"/>
        </w:rPr>
        <w:t>J Bone Miner Res</w:t>
      </w:r>
      <w:r w:rsidRPr="00AB1911">
        <w:rPr>
          <w:rFonts w:ascii="Calibri" w:hAnsi="Calibri" w:cs="Times New Roman"/>
          <w:noProof/>
          <w:szCs w:val="24"/>
        </w:rPr>
        <w:t>. 1994;9(7):1089-1096.</w:t>
      </w:r>
    </w:p>
    <w:p w14:paraId="1AB6391B" w14:textId="738E447A" w:rsidR="00AB1911" w:rsidRPr="00AB1911" w:rsidRDefault="00AB1911" w:rsidP="00AB1911">
      <w:pPr>
        <w:widowControl w:val="0"/>
        <w:autoSpaceDE w:val="0"/>
        <w:autoSpaceDN w:val="0"/>
        <w:adjustRightInd w:val="0"/>
        <w:spacing w:line="240" w:lineRule="auto"/>
        <w:ind w:left="640" w:hanging="640"/>
        <w:rPr>
          <w:rFonts w:ascii="Calibri" w:hAnsi="Calibri"/>
          <w:noProof/>
        </w:rPr>
      </w:pPr>
      <w:r w:rsidRPr="00AB1911">
        <w:rPr>
          <w:rFonts w:ascii="Calibri" w:hAnsi="Calibri" w:cs="Times New Roman"/>
          <w:noProof/>
          <w:szCs w:val="24"/>
        </w:rPr>
        <w:t xml:space="preserve">42. </w:t>
      </w:r>
      <w:r w:rsidRPr="00AB1911">
        <w:rPr>
          <w:rFonts w:ascii="Calibri" w:hAnsi="Calibri" w:cs="Times New Roman"/>
          <w:noProof/>
          <w:szCs w:val="24"/>
        </w:rPr>
        <w:tab/>
        <w:t xml:space="preserve">White J, Jago R, Thompson JL. Dietary risk factors for the development of insulin resistance in adolescent girls: a 3-year prospective study. </w:t>
      </w:r>
      <w:r w:rsidRPr="00AB1911">
        <w:rPr>
          <w:rFonts w:ascii="Calibri" w:hAnsi="Calibri" w:cs="Times New Roman"/>
          <w:i/>
          <w:iCs/>
          <w:noProof/>
          <w:szCs w:val="24"/>
        </w:rPr>
        <w:t>Public Health Nutr</w:t>
      </w:r>
      <w:r w:rsidRPr="00AB1911">
        <w:rPr>
          <w:rFonts w:ascii="Calibri" w:hAnsi="Calibri" w:cs="Times New Roman"/>
          <w:noProof/>
          <w:szCs w:val="24"/>
        </w:rPr>
        <w:t xml:space="preserve">. 2014;17(2):361-368. </w:t>
      </w:r>
      <w:bookmarkStart w:id="0" w:name="_GoBack"/>
      <w:bookmarkEnd w:id="0"/>
    </w:p>
    <w:p w14:paraId="257848F4" w14:textId="5431D1CE" w:rsidR="00E60E6F" w:rsidRPr="006224BF" w:rsidRDefault="00E60E6F" w:rsidP="003118BE">
      <w:pPr>
        <w:rPr>
          <w:b/>
        </w:rPr>
      </w:pPr>
      <w:r>
        <w:rPr>
          <w:b/>
        </w:rPr>
        <w:fldChar w:fldCharType="end"/>
      </w:r>
    </w:p>
    <w:sectPr w:rsidR="00E60E6F" w:rsidRPr="006224BF">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DF2333" w14:textId="77777777" w:rsidR="007E5138" w:rsidRDefault="007E5138" w:rsidP="00AD07C4">
      <w:pPr>
        <w:spacing w:after="0" w:line="240" w:lineRule="auto"/>
      </w:pPr>
      <w:r>
        <w:separator/>
      </w:r>
    </w:p>
  </w:endnote>
  <w:endnote w:type="continuationSeparator" w:id="0">
    <w:p w14:paraId="55AF9DD8" w14:textId="77777777" w:rsidR="007E5138" w:rsidRDefault="007E5138" w:rsidP="00AD07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Futura Std Book">
    <w:altName w:val="Vrinda"/>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69286638"/>
      <w:docPartObj>
        <w:docPartGallery w:val="Page Numbers (Bottom of Page)"/>
        <w:docPartUnique/>
      </w:docPartObj>
    </w:sdtPr>
    <w:sdtEndPr>
      <w:rPr>
        <w:noProof/>
      </w:rPr>
    </w:sdtEndPr>
    <w:sdtContent>
      <w:p w14:paraId="70CEC22F" w14:textId="5D86C983" w:rsidR="007E5138" w:rsidRDefault="007E5138">
        <w:pPr>
          <w:pStyle w:val="Footer"/>
          <w:jc w:val="center"/>
        </w:pPr>
        <w:r>
          <w:fldChar w:fldCharType="begin"/>
        </w:r>
        <w:r>
          <w:instrText xml:space="preserve"> PAGE   \* MERGEFORMAT </w:instrText>
        </w:r>
        <w:r>
          <w:fldChar w:fldCharType="separate"/>
        </w:r>
        <w:r w:rsidR="00AB1911">
          <w:rPr>
            <w:noProof/>
          </w:rPr>
          <w:t>4</w:t>
        </w:r>
        <w:r>
          <w:rPr>
            <w:noProof/>
          </w:rPr>
          <w:fldChar w:fldCharType="end"/>
        </w:r>
      </w:p>
    </w:sdtContent>
  </w:sdt>
  <w:p w14:paraId="7FC7397E" w14:textId="77777777" w:rsidR="007E5138" w:rsidRDefault="007E513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08FF46" w14:textId="77777777" w:rsidR="007E5138" w:rsidRDefault="007E5138" w:rsidP="00AD07C4">
      <w:pPr>
        <w:spacing w:after="0" w:line="240" w:lineRule="auto"/>
      </w:pPr>
      <w:r>
        <w:separator/>
      </w:r>
    </w:p>
  </w:footnote>
  <w:footnote w:type="continuationSeparator" w:id="0">
    <w:p w14:paraId="2D42A39C" w14:textId="77777777" w:rsidR="007E5138" w:rsidRDefault="007E5138" w:rsidP="00AD07C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601FF2"/>
    <w:multiLevelType w:val="hybridMultilevel"/>
    <w:tmpl w:val="60B2E3F8"/>
    <w:lvl w:ilvl="0" w:tplc="5B4845B0">
      <w:numFmt w:val="bullet"/>
      <w:lvlText w:val="-"/>
      <w:lvlJc w:val="left"/>
      <w:pPr>
        <w:ind w:left="405"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750992"/>
    <w:multiLevelType w:val="hybridMultilevel"/>
    <w:tmpl w:val="8CDC3B56"/>
    <w:lvl w:ilvl="0" w:tplc="0809000F">
      <w:start w:val="1"/>
      <w:numFmt w:val="decimal"/>
      <w:lvlText w:val="%1."/>
      <w:lvlJc w:val="left"/>
      <w:pPr>
        <w:ind w:left="405" w:hanging="360"/>
      </w:pPr>
      <w:rPr>
        <w:rFonts w:hint="default"/>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abstractNum w:abstractNumId="2" w15:restartNumberingAfterBreak="0">
    <w:nsid w:val="089E404D"/>
    <w:multiLevelType w:val="hybridMultilevel"/>
    <w:tmpl w:val="FBA0C4EA"/>
    <w:lvl w:ilvl="0" w:tplc="5B4845B0">
      <w:numFmt w:val="bullet"/>
      <w:lvlText w:val="-"/>
      <w:lvlJc w:val="left"/>
      <w:pPr>
        <w:ind w:left="405" w:hanging="360"/>
      </w:pPr>
      <w:rPr>
        <w:rFonts w:ascii="Calibri" w:eastAsiaTheme="minorHAnsi" w:hAnsi="Calibri" w:cstheme="minorBidi" w:hint="default"/>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abstractNum w:abstractNumId="3" w15:restartNumberingAfterBreak="0">
    <w:nsid w:val="0A1D2E98"/>
    <w:multiLevelType w:val="hybridMultilevel"/>
    <w:tmpl w:val="B5B471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A1F7F0E"/>
    <w:multiLevelType w:val="hybridMultilevel"/>
    <w:tmpl w:val="1E167AC4"/>
    <w:lvl w:ilvl="0" w:tplc="F4167DDE">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C51281D"/>
    <w:multiLevelType w:val="hybridMultilevel"/>
    <w:tmpl w:val="10829748"/>
    <w:lvl w:ilvl="0" w:tplc="2214A076">
      <w:start w:val="1"/>
      <w:numFmt w:val="bullet"/>
      <w:pStyle w:val="ListBullet"/>
      <w:lvlText w:val=""/>
      <w:lvlJc w:val="left"/>
      <w:pPr>
        <w:ind w:left="363" w:hanging="360"/>
      </w:pPr>
      <w:rPr>
        <w:rFonts w:ascii="Symbol" w:hAnsi="Symbol" w:hint="default"/>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6" w15:restartNumberingAfterBreak="0">
    <w:nsid w:val="0F4623A5"/>
    <w:multiLevelType w:val="hybridMultilevel"/>
    <w:tmpl w:val="42F87862"/>
    <w:lvl w:ilvl="0" w:tplc="DD882800">
      <w:start w:val="11"/>
      <w:numFmt w:val="bullet"/>
      <w:lvlText w:val="-"/>
      <w:lvlJc w:val="left"/>
      <w:pPr>
        <w:ind w:left="720" w:hanging="360"/>
      </w:pPr>
      <w:rPr>
        <w:rFonts w:ascii="Arial" w:eastAsia="MS Mincho"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58E10A7"/>
    <w:multiLevelType w:val="hybridMultilevel"/>
    <w:tmpl w:val="A0BAA56E"/>
    <w:lvl w:ilvl="0" w:tplc="0809000F">
      <w:start w:val="1"/>
      <w:numFmt w:val="decimal"/>
      <w:lvlText w:val="%1."/>
      <w:lvlJc w:val="left"/>
      <w:pPr>
        <w:ind w:left="405" w:hanging="360"/>
      </w:pPr>
      <w:rPr>
        <w:rFonts w:hint="default"/>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abstractNum w:abstractNumId="8" w15:restartNumberingAfterBreak="0">
    <w:nsid w:val="2A582FDF"/>
    <w:multiLevelType w:val="hybridMultilevel"/>
    <w:tmpl w:val="67083A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CD828C3"/>
    <w:multiLevelType w:val="hybridMultilevel"/>
    <w:tmpl w:val="805E1B5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FF62276"/>
    <w:multiLevelType w:val="hybridMultilevel"/>
    <w:tmpl w:val="7E061BA0"/>
    <w:lvl w:ilvl="0" w:tplc="5B4845B0">
      <w:numFmt w:val="bullet"/>
      <w:lvlText w:val="-"/>
      <w:lvlJc w:val="left"/>
      <w:pPr>
        <w:ind w:left="405"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38F3BEC"/>
    <w:multiLevelType w:val="hybridMultilevel"/>
    <w:tmpl w:val="D98A2CA0"/>
    <w:lvl w:ilvl="0" w:tplc="D046B7B2">
      <w:numFmt w:val="bullet"/>
      <w:lvlText w:val=""/>
      <w:lvlJc w:val="left"/>
      <w:pPr>
        <w:ind w:left="1080" w:hanging="72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8582B90"/>
    <w:multiLevelType w:val="multilevel"/>
    <w:tmpl w:val="00727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4932BC8"/>
    <w:multiLevelType w:val="hybridMultilevel"/>
    <w:tmpl w:val="5BF65AD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602325A"/>
    <w:multiLevelType w:val="hybridMultilevel"/>
    <w:tmpl w:val="37E829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F5145F9"/>
    <w:multiLevelType w:val="hybridMultilevel"/>
    <w:tmpl w:val="24C02E6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1AC25BA"/>
    <w:multiLevelType w:val="hybridMultilevel"/>
    <w:tmpl w:val="21FC11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7"/>
  </w:num>
  <w:num w:numId="3">
    <w:abstractNumId w:val="10"/>
  </w:num>
  <w:num w:numId="4">
    <w:abstractNumId w:val="0"/>
  </w:num>
  <w:num w:numId="5">
    <w:abstractNumId w:val="11"/>
  </w:num>
  <w:num w:numId="6">
    <w:abstractNumId w:val="1"/>
  </w:num>
  <w:num w:numId="7">
    <w:abstractNumId w:val="14"/>
  </w:num>
  <w:num w:numId="8">
    <w:abstractNumId w:val="5"/>
  </w:num>
  <w:num w:numId="9">
    <w:abstractNumId w:val="6"/>
  </w:num>
  <w:num w:numId="10">
    <w:abstractNumId w:val="16"/>
  </w:num>
  <w:num w:numId="11">
    <w:abstractNumId w:val="8"/>
  </w:num>
  <w:num w:numId="12">
    <w:abstractNumId w:val="12"/>
  </w:num>
  <w:num w:numId="13">
    <w:abstractNumId w:val="3"/>
  </w:num>
  <w:num w:numId="14">
    <w:abstractNumId w:val="13"/>
  </w:num>
  <w:num w:numId="15">
    <w:abstractNumId w:val="15"/>
  </w:num>
  <w:num w:numId="16">
    <w:abstractNumId w:val="4"/>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5958"/>
    <w:rsid w:val="00005D27"/>
    <w:rsid w:val="00005DF7"/>
    <w:rsid w:val="000121C4"/>
    <w:rsid w:val="00013790"/>
    <w:rsid w:val="00044A7B"/>
    <w:rsid w:val="00057EA2"/>
    <w:rsid w:val="00067726"/>
    <w:rsid w:val="00070754"/>
    <w:rsid w:val="000716C1"/>
    <w:rsid w:val="000732DF"/>
    <w:rsid w:val="000750AE"/>
    <w:rsid w:val="00076A17"/>
    <w:rsid w:val="000776FC"/>
    <w:rsid w:val="000820E3"/>
    <w:rsid w:val="00085958"/>
    <w:rsid w:val="00085C3E"/>
    <w:rsid w:val="000921AC"/>
    <w:rsid w:val="00092304"/>
    <w:rsid w:val="00094BE0"/>
    <w:rsid w:val="000A3808"/>
    <w:rsid w:val="000A39CA"/>
    <w:rsid w:val="000A3F03"/>
    <w:rsid w:val="000A62DC"/>
    <w:rsid w:val="000B5C1E"/>
    <w:rsid w:val="000B62E5"/>
    <w:rsid w:val="000B7225"/>
    <w:rsid w:val="000C0A60"/>
    <w:rsid w:val="000C0FB1"/>
    <w:rsid w:val="000D25EB"/>
    <w:rsid w:val="000D4020"/>
    <w:rsid w:val="000D6728"/>
    <w:rsid w:val="000E0DE6"/>
    <w:rsid w:val="000E38B2"/>
    <w:rsid w:val="000E4293"/>
    <w:rsid w:val="000F2F49"/>
    <w:rsid w:val="000F6EE2"/>
    <w:rsid w:val="000F6EE8"/>
    <w:rsid w:val="00101402"/>
    <w:rsid w:val="00124DB7"/>
    <w:rsid w:val="001509A9"/>
    <w:rsid w:val="001561BB"/>
    <w:rsid w:val="0016320F"/>
    <w:rsid w:val="00167B1A"/>
    <w:rsid w:val="00174F5E"/>
    <w:rsid w:val="0018254F"/>
    <w:rsid w:val="00186AD0"/>
    <w:rsid w:val="00191A10"/>
    <w:rsid w:val="001969A7"/>
    <w:rsid w:val="001A20CD"/>
    <w:rsid w:val="001A2B24"/>
    <w:rsid w:val="001A698E"/>
    <w:rsid w:val="001A78EF"/>
    <w:rsid w:val="001B074F"/>
    <w:rsid w:val="001B2D0F"/>
    <w:rsid w:val="001B65C2"/>
    <w:rsid w:val="001B6C49"/>
    <w:rsid w:val="001B743F"/>
    <w:rsid w:val="001C2E0E"/>
    <w:rsid w:val="001D6ACC"/>
    <w:rsid w:val="001D6C12"/>
    <w:rsid w:val="001E2124"/>
    <w:rsid w:val="001E50DB"/>
    <w:rsid w:val="001E6802"/>
    <w:rsid w:val="001F5B19"/>
    <w:rsid w:val="00204460"/>
    <w:rsid w:val="00204955"/>
    <w:rsid w:val="00212963"/>
    <w:rsid w:val="00223DD1"/>
    <w:rsid w:val="0023266E"/>
    <w:rsid w:val="00254A2A"/>
    <w:rsid w:val="00260B80"/>
    <w:rsid w:val="00263813"/>
    <w:rsid w:val="00265109"/>
    <w:rsid w:val="00265E26"/>
    <w:rsid w:val="0026735A"/>
    <w:rsid w:val="00272C71"/>
    <w:rsid w:val="002856EF"/>
    <w:rsid w:val="0029019D"/>
    <w:rsid w:val="002A4234"/>
    <w:rsid w:val="002B54DE"/>
    <w:rsid w:val="002C3730"/>
    <w:rsid w:val="002C65AF"/>
    <w:rsid w:val="002E32C7"/>
    <w:rsid w:val="002E609F"/>
    <w:rsid w:val="002F2857"/>
    <w:rsid w:val="002F46C0"/>
    <w:rsid w:val="002F583F"/>
    <w:rsid w:val="00307BD8"/>
    <w:rsid w:val="003118BE"/>
    <w:rsid w:val="00323F26"/>
    <w:rsid w:val="00324392"/>
    <w:rsid w:val="00326762"/>
    <w:rsid w:val="00331865"/>
    <w:rsid w:val="003356B0"/>
    <w:rsid w:val="00337735"/>
    <w:rsid w:val="003428F7"/>
    <w:rsid w:val="003432EE"/>
    <w:rsid w:val="00352151"/>
    <w:rsid w:val="003574C9"/>
    <w:rsid w:val="0036466A"/>
    <w:rsid w:val="00367933"/>
    <w:rsid w:val="003700AF"/>
    <w:rsid w:val="00375AEE"/>
    <w:rsid w:val="00386485"/>
    <w:rsid w:val="00390256"/>
    <w:rsid w:val="003A7B31"/>
    <w:rsid w:val="003B30A9"/>
    <w:rsid w:val="003C20C8"/>
    <w:rsid w:val="003C5D4F"/>
    <w:rsid w:val="003D0A41"/>
    <w:rsid w:val="003D1E12"/>
    <w:rsid w:val="003D2F0C"/>
    <w:rsid w:val="003E0084"/>
    <w:rsid w:val="003E1BF7"/>
    <w:rsid w:val="003F083A"/>
    <w:rsid w:val="003F0CF1"/>
    <w:rsid w:val="003F311A"/>
    <w:rsid w:val="003F4E36"/>
    <w:rsid w:val="003F588D"/>
    <w:rsid w:val="00404195"/>
    <w:rsid w:val="00406010"/>
    <w:rsid w:val="004066C8"/>
    <w:rsid w:val="0041049A"/>
    <w:rsid w:val="00434032"/>
    <w:rsid w:val="00440537"/>
    <w:rsid w:val="00464D15"/>
    <w:rsid w:val="00466ECF"/>
    <w:rsid w:val="00495F61"/>
    <w:rsid w:val="004B6834"/>
    <w:rsid w:val="004C11B9"/>
    <w:rsid w:val="004C16AC"/>
    <w:rsid w:val="004D3F57"/>
    <w:rsid w:val="004E2C8D"/>
    <w:rsid w:val="004E4DFA"/>
    <w:rsid w:val="004F790A"/>
    <w:rsid w:val="00510B6D"/>
    <w:rsid w:val="00513EE3"/>
    <w:rsid w:val="00526204"/>
    <w:rsid w:val="0053148C"/>
    <w:rsid w:val="00531796"/>
    <w:rsid w:val="00532900"/>
    <w:rsid w:val="0053419B"/>
    <w:rsid w:val="00553FD9"/>
    <w:rsid w:val="00563DD8"/>
    <w:rsid w:val="0056547C"/>
    <w:rsid w:val="005775B1"/>
    <w:rsid w:val="00580B14"/>
    <w:rsid w:val="00592045"/>
    <w:rsid w:val="005A1E92"/>
    <w:rsid w:val="005B13B7"/>
    <w:rsid w:val="005B527A"/>
    <w:rsid w:val="005B5954"/>
    <w:rsid w:val="005B5BC8"/>
    <w:rsid w:val="005C7EFA"/>
    <w:rsid w:val="005D634E"/>
    <w:rsid w:val="005E7E1E"/>
    <w:rsid w:val="005F3642"/>
    <w:rsid w:val="005F611A"/>
    <w:rsid w:val="00614361"/>
    <w:rsid w:val="006202B4"/>
    <w:rsid w:val="006224BF"/>
    <w:rsid w:val="00641929"/>
    <w:rsid w:val="00643E2C"/>
    <w:rsid w:val="006462F6"/>
    <w:rsid w:val="006504E4"/>
    <w:rsid w:val="006508F4"/>
    <w:rsid w:val="00656B52"/>
    <w:rsid w:val="0068781F"/>
    <w:rsid w:val="006B7B21"/>
    <w:rsid w:val="006C283A"/>
    <w:rsid w:val="006C54AB"/>
    <w:rsid w:val="006F1890"/>
    <w:rsid w:val="00701F1E"/>
    <w:rsid w:val="00703177"/>
    <w:rsid w:val="00712887"/>
    <w:rsid w:val="00717CD3"/>
    <w:rsid w:val="00721647"/>
    <w:rsid w:val="00725B3B"/>
    <w:rsid w:val="00730899"/>
    <w:rsid w:val="00743747"/>
    <w:rsid w:val="00747168"/>
    <w:rsid w:val="00747968"/>
    <w:rsid w:val="00750582"/>
    <w:rsid w:val="00766FBA"/>
    <w:rsid w:val="0077062D"/>
    <w:rsid w:val="00773BB2"/>
    <w:rsid w:val="0077622B"/>
    <w:rsid w:val="00776543"/>
    <w:rsid w:val="007820CE"/>
    <w:rsid w:val="00785BB6"/>
    <w:rsid w:val="00792882"/>
    <w:rsid w:val="007A03D0"/>
    <w:rsid w:val="007A04B6"/>
    <w:rsid w:val="007A0A5A"/>
    <w:rsid w:val="007A12AB"/>
    <w:rsid w:val="007A4AD8"/>
    <w:rsid w:val="007B4587"/>
    <w:rsid w:val="007B772B"/>
    <w:rsid w:val="007D2780"/>
    <w:rsid w:val="007D528B"/>
    <w:rsid w:val="007E5138"/>
    <w:rsid w:val="007F07B9"/>
    <w:rsid w:val="007F3DF3"/>
    <w:rsid w:val="007F5261"/>
    <w:rsid w:val="00813BBA"/>
    <w:rsid w:val="008150E8"/>
    <w:rsid w:val="00833DC0"/>
    <w:rsid w:val="00834348"/>
    <w:rsid w:val="0083493E"/>
    <w:rsid w:val="00840E98"/>
    <w:rsid w:val="008449BD"/>
    <w:rsid w:val="00854158"/>
    <w:rsid w:val="00854E4F"/>
    <w:rsid w:val="0086763F"/>
    <w:rsid w:val="0087193C"/>
    <w:rsid w:val="008730DF"/>
    <w:rsid w:val="00884676"/>
    <w:rsid w:val="008A5004"/>
    <w:rsid w:val="008A5B27"/>
    <w:rsid w:val="008B1BD0"/>
    <w:rsid w:val="008B5F6F"/>
    <w:rsid w:val="008C1740"/>
    <w:rsid w:val="008C5585"/>
    <w:rsid w:val="008C567E"/>
    <w:rsid w:val="008D5831"/>
    <w:rsid w:val="008D6E33"/>
    <w:rsid w:val="008D78AB"/>
    <w:rsid w:val="008E0F35"/>
    <w:rsid w:val="008E26BD"/>
    <w:rsid w:val="008F18C5"/>
    <w:rsid w:val="008F7DFA"/>
    <w:rsid w:val="00900D4B"/>
    <w:rsid w:val="00901983"/>
    <w:rsid w:val="00906FF0"/>
    <w:rsid w:val="00907874"/>
    <w:rsid w:val="0091686C"/>
    <w:rsid w:val="00923E13"/>
    <w:rsid w:val="00924515"/>
    <w:rsid w:val="009254C4"/>
    <w:rsid w:val="0093000F"/>
    <w:rsid w:val="0093618D"/>
    <w:rsid w:val="00936331"/>
    <w:rsid w:val="0095482A"/>
    <w:rsid w:val="00962092"/>
    <w:rsid w:val="00965191"/>
    <w:rsid w:val="00980ADA"/>
    <w:rsid w:val="009844BA"/>
    <w:rsid w:val="00985860"/>
    <w:rsid w:val="0098792E"/>
    <w:rsid w:val="00991005"/>
    <w:rsid w:val="00995795"/>
    <w:rsid w:val="009974C0"/>
    <w:rsid w:val="009A0C75"/>
    <w:rsid w:val="009A5156"/>
    <w:rsid w:val="009D19C4"/>
    <w:rsid w:val="009D38A3"/>
    <w:rsid w:val="009D713C"/>
    <w:rsid w:val="009E31A1"/>
    <w:rsid w:val="009E65DA"/>
    <w:rsid w:val="009F5184"/>
    <w:rsid w:val="00A01FAB"/>
    <w:rsid w:val="00A075D3"/>
    <w:rsid w:val="00A14F76"/>
    <w:rsid w:val="00A1610F"/>
    <w:rsid w:val="00A202E2"/>
    <w:rsid w:val="00A20B3D"/>
    <w:rsid w:val="00A21128"/>
    <w:rsid w:val="00A4222A"/>
    <w:rsid w:val="00A43A22"/>
    <w:rsid w:val="00A568A4"/>
    <w:rsid w:val="00A6123F"/>
    <w:rsid w:val="00A63A85"/>
    <w:rsid w:val="00A8157C"/>
    <w:rsid w:val="00A83666"/>
    <w:rsid w:val="00AA0D8C"/>
    <w:rsid w:val="00AA3C65"/>
    <w:rsid w:val="00AB1911"/>
    <w:rsid w:val="00AB48DC"/>
    <w:rsid w:val="00AB69E9"/>
    <w:rsid w:val="00AB7A06"/>
    <w:rsid w:val="00AD07C4"/>
    <w:rsid w:val="00AE3898"/>
    <w:rsid w:val="00AF45EC"/>
    <w:rsid w:val="00B005B6"/>
    <w:rsid w:val="00B175F1"/>
    <w:rsid w:val="00B303B2"/>
    <w:rsid w:val="00B30C74"/>
    <w:rsid w:val="00B30C7D"/>
    <w:rsid w:val="00B41BFF"/>
    <w:rsid w:val="00B4646E"/>
    <w:rsid w:val="00B47AB0"/>
    <w:rsid w:val="00B523C2"/>
    <w:rsid w:val="00B63C86"/>
    <w:rsid w:val="00B67C62"/>
    <w:rsid w:val="00B76A80"/>
    <w:rsid w:val="00B7783B"/>
    <w:rsid w:val="00B821D0"/>
    <w:rsid w:val="00B844AF"/>
    <w:rsid w:val="00B84CC3"/>
    <w:rsid w:val="00B94BD6"/>
    <w:rsid w:val="00B96125"/>
    <w:rsid w:val="00BA5F33"/>
    <w:rsid w:val="00BB32E3"/>
    <w:rsid w:val="00BB3363"/>
    <w:rsid w:val="00BB4EE1"/>
    <w:rsid w:val="00BB53DA"/>
    <w:rsid w:val="00BB5A23"/>
    <w:rsid w:val="00BB7E61"/>
    <w:rsid w:val="00BC2D85"/>
    <w:rsid w:val="00BC3A5F"/>
    <w:rsid w:val="00BD3EAF"/>
    <w:rsid w:val="00BD6EC3"/>
    <w:rsid w:val="00BF227F"/>
    <w:rsid w:val="00BF28A4"/>
    <w:rsid w:val="00BF3584"/>
    <w:rsid w:val="00C04B18"/>
    <w:rsid w:val="00C13224"/>
    <w:rsid w:val="00C174FB"/>
    <w:rsid w:val="00C227D1"/>
    <w:rsid w:val="00C25EF6"/>
    <w:rsid w:val="00C30AAA"/>
    <w:rsid w:val="00C37165"/>
    <w:rsid w:val="00C447CC"/>
    <w:rsid w:val="00C44808"/>
    <w:rsid w:val="00C455E7"/>
    <w:rsid w:val="00C46C04"/>
    <w:rsid w:val="00C539A5"/>
    <w:rsid w:val="00C54A3C"/>
    <w:rsid w:val="00C54B1F"/>
    <w:rsid w:val="00C61E3E"/>
    <w:rsid w:val="00C72635"/>
    <w:rsid w:val="00C77F8A"/>
    <w:rsid w:val="00C864D2"/>
    <w:rsid w:val="00CA0E80"/>
    <w:rsid w:val="00CA239D"/>
    <w:rsid w:val="00CB1E08"/>
    <w:rsid w:val="00CB21FF"/>
    <w:rsid w:val="00CB505A"/>
    <w:rsid w:val="00CC4D86"/>
    <w:rsid w:val="00CC6EBD"/>
    <w:rsid w:val="00CD5D0D"/>
    <w:rsid w:val="00CE0A5F"/>
    <w:rsid w:val="00CE3364"/>
    <w:rsid w:val="00CF1DFC"/>
    <w:rsid w:val="00D020AF"/>
    <w:rsid w:val="00D20254"/>
    <w:rsid w:val="00D21D69"/>
    <w:rsid w:val="00D223CF"/>
    <w:rsid w:val="00D272DB"/>
    <w:rsid w:val="00D31935"/>
    <w:rsid w:val="00D45137"/>
    <w:rsid w:val="00D45A7C"/>
    <w:rsid w:val="00D4798E"/>
    <w:rsid w:val="00D5081F"/>
    <w:rsid w:val="00D615A5"/>
    <w:rsid w:val="00D617D1"/>
    <w:rsid w:val="00D649E7"/>
    <w:rsid w:val="00D67AA3"/>
    <w:rsid w:val="00D738E1"/>
    <w:rsid w:val="00D73BD1"/>
    <w:rsid w:val="00D73C4D"/>
    <w:rsid w:val="00D73E89"/>
    <w:rsid w:val="00D75B50"/>
    <w:rsid w:val="00D77AE9"/>
    <w:rsid w:val="00DB7A53"/>
    <w:rsid w:val="00DC53E5"/>
    <w:rsid w:val="00DC5D89"/>
    <w:rsid w:val="00DC64D0"/>
    <w:rsid w:val="00DC69F6"/>
    <w:rsid w:val="00DC7334"/>
    <w:rsid w:val="00DD10F3"/>
    <w:rsid w:val="00DD2D15"/>
    <w:rsid w:val="00DD4097"/>
    <w:rsid w:val="00DD4221"/>
    <w:rsid w:val="00DD4486"/>
    <w:rsid w:val="00DE0817"/>
    <w:rsid w:val="00E052DB"/>
    <w:rsid w:val="00E0759A"/>
    <w:rsid w:val="00E12625"/>
    <w:rsid w:val="00E164A9"/>
    <w:rsid w:val="00E2056C"/>
    <w:rsid w:val="00E236E0"/>
    <w:rsid w:val="00E27C1D"/>
    <w:rsid w:val="00E31F0A"/>
    <w:rsid w:val="00E35B7E"/>
    <w:rsid w:val="00E450A7"/>
    <w:rsid w:val="00E477B3"/>
    <w:rsid w:val="00E54CFE"/>
    <w:rsid w:val="00E60E6F"/>
    <w:rsid w:val="00E65E7C"/>
    <w:rsid w:val="00E703F2"/>
    <w:rsid w:val="00E71F03"/>
    <w:rsid w:val="00E80990"/>
    <w:rsid w:val="00E80D34"/>
    <w:rsid w:val="00E84D66"/>
    <w:rsid w:val="00E86348"/>
    <w:rsid w:val="00E87028"/>
    <w:rsid w:val="00E90C47"/>
    <w:rsid w:val="00E92DD2"/>
    <w:rsid w:val="00E94BC8"/>
    <w:rsid w:val="00EA0DC1"/>
    <w:rsid w:val="00EA23E6"/>
    <w:rsid w:val="00EA7CA8"/>
    <w:rsid w:val="00EB3547"/>
    <w:rsid w:val="00EB46D6"/>
    <w:rsid w:val="00EC01FC"/>
    <w:rsid w:val="00EC1A01"/>
    <w:rsid w:val="00EC29ED"/>
    <w:rsid w:val="00ED075D"/>
    <w:rsid w:val="00ED3AD7"/>
    <w:rsid w:val="00ED4EBB"/>
    <w:rsid w:val="00ED6A8D"/>
    <w:rsid w:val="00EE5372"/>
    <w:rsid w:val="00F02843"/>
    <w:rsid w:val="00F07A23"/>
    <w:rsid w:val="00F2483A"/>
    <w:rsid w:val="00F31AA7"/>
    <w:rsid w:val="00F32665"/>
    <w:rsid w:val="00F41337"/>
    <w:rsid w:val="00F44F96"/>
    <w:rsid w:val="00F54AF1"/>
    <w:rsid w:val="00F62F8A"/>
    <w:rsid w:val="00F97FC0"/>
    <w:rsid w:val="00FA7CCA"/>
    <w:rsid w:val="00FB258D"/>
    <w:rsid w:val="00FB43E1"/>
    <w:rsid w:val="00FC4BF3"/>
    <w:rsid w:val="00FD2A71"/>
    <w:rsid w:val="00FD6C1D"/>
    <w:rsid w:val="00FE0C62"/>
    <w:rsid w:val="00FE5A85"/>
    <w:rsid w:val="00FE6859"/>
    <w:rsid w:val="00FF0F46"/>
    <w:rsid w:val="00FF2545"/>
    <w:rsid w:val="00FF6B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D23934"/>
  <w15:docId w15:val="{EF090F8D-7F0D-4E72-8F54-F815734199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8"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08595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E31F0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FD6C1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5958"/>
    <w:rPr>
      <w:rFonts w:asciiTheme="majorHAnsi" w:eastAsiaTheme="majorEastAsia" w:hAnsiTheme="majorHAnsi" w:cstheme="majorBidi"/>
      <w:color w:val="2E74B5" w:themeColor="accent1" w:themeShade="BF"/>
      <w:sz w:val="32"/>
      <w:szCs w:val="32"/>
    </w:rPr>
  </w:style>
  <w:style w:type="paragraph" w:styleId="NoSpacing">
    <w:name w:val="No Spacing"/>
    <w:uiPriority w:val="1"/>
    <w:qFormat/>
    <w:rsid w:val="00085958"/>
    <w:pPr>
      <w:spacing w:after="0" w:line="240" w:lineRule="auto"/>
    </w:pPr>
  </w:style>
  <w:style w:type="character" w:styleId="CommentReference">
    <w:name w:val="annotation reference"/>
    <w:basedOn w:val="DefaultParagraphFont"/>
    <w:uiPriority w:val="99"/>
    <w:semiHidden/>
    <w:unhideWhenUsed/>
    <w:rsid w:val="00B84CC3"/>
    <w:rPr>
      <w:sz w:val="16"/>
      <w:szCs w:val="16"/>
    </w:rPr>
  </w:style>
  <w:style w:type="paragraph" w:styleId="CommentText">
    <w:name w:val="annotation text"/>
    <w:basedOn w:val="Normal"/>
    <w:link w:val="CommentTextChar"/>
    <w:uiPriority w:val="99"/>
    <w:semiHidden/>
    <w:unhideWhenUsed/>
    <w:rsid w:val="00B84CC3"/>
    <w:pPr>
      <w:spacing w:line="240" w:lineRule="auto"/>
    </w:pPr>
    <w:rPr>
      <w:sz w:val="20"/>
      <w:szCs w:val="20"/>
    </w:rPr>
  </w:style>
  <w:style w:type="character" w:customStyle="1" w:styleId="CommentTextChar">
    <w:name w:val="Comment Text Char"/>
    <w:basedOn w:val="DefaultParagraphFont"/>
    <w:link w:val="CommentText"/>
    <w:uiPriority w:val="99"/>
    <w:semiHidden/>
    <w:rsid w:val="00B84CC3"/>
    <w:rPr>
      <w:sz w:val="20"/>
      <w:szCs w:val="20"/>
    </w:rPr>
  </w:style>
  <w:style w:type="paragraph" w:styleId="CommentSubject">
    <w:name w:val="annotation subject"/>
    <w:basedOn w:val="CommentText"/>
    <w:next w:val="CommentText"/>
    <w:link w:val="CommentSubjectChar"/>
    <w:uiPriority w:val="99"/>
    <w:semiHidden/>
    <w:unhideWhenUsed/>
    <w:rsid w:val="00B84CC3"/>
    <w:rPr>
      <w:b/>
      <w:bCs/>
    </w:rPr>
  </w:style>
  <w:style w:type="character" w:customStyle="1" w:styleId="CommentSubjectChar">
    <w:name w:val="Comment Subject Char"/>
    <w:basedOn w:val="CommentTextChar"/>
    <w:link w:val="CommentSubject"/>
    <w:uiPriority w:val="99"/>
    <w:semiHidden/>
    <w:rsid w:val="00B84CC3"/>
    <w:rPr>
      <w:b/>
      <w:bCs/>
      <w:sz w:val="20"/>
      <w:szCs w:val="20"/>
    </w:rPr>
  </w:style>
  <w:style w:type="paragraph" w:styleId="BalloonText">
    <w:name w:val="Balloon Text"/>
    <w:basedOn w:val="Normal"/>
    <w:link w:val="BalloonTextChar"/>
    <w:uiPriority w:val="99"/>
    <w:semiHidden/>
    <w:unhideWhenUsed/>
    <w:rsid w:val="00B84CC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4CC3"/>
    <w:rPr>
      <w:rFonts w:ascii="Segoe UI" w:hAnsi="Segoe UI" w:cs="Segoe UI"/>
      <w:sz w:val="18"/>
      <w:szCs w:val="18"/>
    </w:rPr>
  </w:style>
  <w:style w:type="character" w:customStyle="1" w:styleId="apple-converted-space">
    <w:name w:val="apple-converted-space"/>
    <w:basedOn w:val="DefaultParagraphFont"/>
    <w:rsid w:val="00B84CC3"/>
  </w:style>
  <w:style w:type="character" w:customStyle="1" w:styleId="Heading2Char">
    <w:name w:val="Heading 2 Char"/>
    <w:basedOn w:val="DefaultParagraphFont"/>
    <w:link w:val="Heading2"/>
    <w:uiPriority w:val="9"/>
    <w:rsid w:val="00E31F0A"/>
    <w:rPr>
      <w:rFonts w:asciiTheme="majorHAnsi" w:eastAsiaTheme="majorEastAsia" w:hAnsiTheme="majorHAnsi" w:cstheme="majorBidi"/>
      <w:color w:val="2E74B5" w:themeColor="accent1" w:themeShade="BF"/>
      <w:sz w:val="26"/>
      <w:szCs w:val="26"/>
    </w:rPr>
  </w:style>
  <w:style w:type="paragraph" w:styleId="Title">
    <w:name w:val="Title"/>
    <w:basedOn w:val="Normal"/>
    <w:next w:val="Normal"/>
    <w:link w:val="TitleChar"/>
    <w:uiPriority w:val="10"/>
    <w:qFormat/>
    <w:rsid w:val="009A515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A5156"/>
    <w:rPr>
      <w:rFonts w:asciiTheme="majorHAnsi" w:eastAsiaTheme="majorEastAsia" w:hAnsiTheme="majorHAnsi" w:cstheme="majorBidi"/>
      <w:spacing w:val="-10"/>
      <w:kern w:val="28"/>
      <w:sz w:val="56"/>
      <w:szCs w:val="56"/>
    </w:rPr>
  </w:style>
  <w:style w:type="paragraph" w:styleId="Revision">
    <w:name w:val="Revision"/>
    <w:hidden/>
    <w:uiPriority w:val="99"/>
    <w:semiHidden/>
    <w:rsid w:val="00D73BD1"/>
    <w:pPr>
      <w:spacing w:after="0" w:line="240" w:lineRule="auto"/>
    </w:pPr>
  </w:style>
  <w:style w:type="paragraph" w:styleId="FootnoteText">
    <w:name w:val="footnote text"/>
    <w:basedOn w:val="Normal"/>
    <w:link w:val="FootnoteTextChar"/>
    <w:uiPriority w:val="99"/>
    <w:semiHidden/>
    <w:unhideWhenUsed/>
    <w:rsid w:val="00AD07C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D07C4"/>
    <w:rPr>
      <w:sz w:val="20"/>
      <w:szCs w:val="20"/>
    </w:rPr>
  </w:style>
  <w:style w:type="character" w:styleId="FootnoteReference">
    <w:name w:val="footnote reference"/>
    <w:basedOn w:val="DefaultParagraphFont"/>
    <w:uiPriority w:val="99"/>
    <w:semiHidden/>
    <w:unhideWhenUsed/>
    <w:rsid w:val="00AD07C4"/>
    <w:rPr>
      <w:vertAlign w:val="superscript"/>
    </w:rPr>
  </w:style>
  <w:style w:type="paragraph" w:styleId="ListParagraph">
    <w:name w:val="List Paragraph"/>
    <w:basedOn w:val="Normal"/>
    <w:uiPriority w:val="34"/>
    <w:qFormat/>
    <w:rsid w:val="003118BE"/>
    <w:pPr>
      <w:ind w:left="720"/>
      <w:contextualSpacing/>
    </w:pPr>
  </w:style>
  <w:style w:type="table" w:styleId="TableGrid">
    <w:name w:val="Table Grid"/>
    <w:basedOn w:val="TableNormal"/>
    <w:uiPriority w:val="39"/>
    <w:rsid w:val="003118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118BE"/>
    <w:rPr>
      <w:color w:val="0000FF"/>
      <w:u w:val="single"/>
    </w:rPr>
  </w:style>
  <w:style w:type="paragraph" w:styleId="ListBullet">
    <w:name w:val="List Bullet"/>
    <w:basedOn w:val="ListParagraph"/>
    <w:uiPriority w:val="8"/>
    <w:qFormat/>
    <w:rsid w:val="00B41BFF"/>
    <w:pPr>
      <w:numPr>
        <w:numId w:val="8"/>
      </w:numPr>
      <w:tabs>
        <w:tab w:val="num" w:pos="360"/>
      </w:tabs>
      <w:spacing w:after="200" w:line="276" w:lineRule="auto"/>
      <w:ind w:left="720" w:firstLine="0"/>
    </w:pPr>
    <w:rPr>
      <w:rFonts w:ascii="Times New Roman" w:eastAsia="Calibri" w:hAnsi="Times New Roman" w:cs="Times New Roman"/>
      <w:sz w:val="24"/>
    </w:rPr>
  </w:style>
  <w:style w:type="paragraph" w:customStyle="1" w:styleId="TableBody">
    <w:name w:val="Table Body"/>
    <w:basedOn w:val="Normal"/>
    <w:link w:val="TableBodyChar"/>
    <w:uiPriority w:val="39"/>
    <w:qFormat/>
    <w:rsid w:val="00B41BFF"/>
    <w:pPr>
      <w:widowControl w:val="0"/>
      <w:spacing w:after="80" w:line="240" w:lineRule="auto"/>
    </w:pPr>
    <w:rPr>
      <w:rFonts w:ascii="Futura Std Book" w:eastAsia="Times New Roman" w:hAnsi="Futura Std Book" w:cs="Times New Roman"/>
      <w:sz w:val="18"/>
      <w:szCs w:val="20"/>
    </w:rPr>
  </w:style>
  <w:style w:type="character" w:customStyle="1" w:styleId="TableBodyChar">
    <w:name w:val="Table Body Char"/>
    <w:basedOn w:val="DefaultParagraphFont"/>
    <w:link w:val="TableBody"/>
    <w:uiPriority w:val="39"/>
    <w:rsid w:val="00B41BFF"/>
    <w:rPr>
      <w:rFonts w:ascii="Futura Std Book" w:eastAsia="Times New Roman" w:hAnsi="Futura Std Book" w:cs="Times New Roman"/>
      <w:sz w:val="18"/>
      <w:szCs w:val="20"/>
    </w:rPr>
  </w:style>
  <w:style w:type="paragraph" w:styleId="Caption">
    <w:name w:val="caption"/>
    <w:aliases w:val="Tabelkop"/>
    <w:basedOn w:val="Normal"/>
    <w:next w:val="Normal"/>
    <w:link w:val="CaptionChar"/>
    <w:uiPriority w:val="35"/>
    <w:qFormat/>
    <w:rsid w:val="00B41BFF"/>
    <w:pPr>
      <w:keepNext/>
      <w:keepLines/>
      <w:spacing w:before="360" w:after="240" w:line="240" w:lineRule="auto"/>
      <w:ind w:left="1083" w:hanging="1083"/>
    </w:pPr>
    <w:rPr>
      <w:rFonts w:ascii="Arial" w:eastAsia="Times New Roman" w:hAnsi="Arial" w:cs="Times New Roman"/>
      <w:b/>
      <w:sz w:val="20"/>
      <w:szCs w:val="20"/>
    </w:rPr>
  </w:style>
  <w:style w:type="character" w:customStyle="1" w:styleId="CaptionChar">
    <w:name w:val="Caption Char"/>
    <w:aliases w:val="Tabelkop Char"/>
    <w:link w:val="Caption"/>
    <w:uiPriority w:val="35"/>
    <w:rsid w:val="00B41BFF"/>
    <w:rPr>
      <w:rFonts w:ascii="Arial" w:eastAsia="Times New Roman" w:hAnsi="Arial" w:cs="Times New Roman"/>
      <w:b/>
      <w:sz w:val="20"/>
      <w:szCs w:val="20"/>
    </w:rPr>
  </w:style>
  <w:style w:type="paragraph" w:customStyle="1" w:styleId="ReportText">
    <w:name w:val="Report Text"/>
    <w:rsid w:val="00B41BFF"/>
    <w:pPr>
      <w:spacing w:after="0" w:line="288" w:lineRule="auto"/>
      <w:jc w:val="both"/>
    </w:pPr>
    <w:rPr>
      <w:rFonts w:ascii="Arial" w:eastAsia="MS Mincho" w:hAnsi="Arial" w:cs="Times New Roman"/>
      <w:szCs w:val="20"/>
    </w:rPr>
  </w:style>
  <w:style w:type="paragraph" w:styleId="Header">
    <w:name w:val="header"/>
    <w:basedOn w:val="Normal"/>
    <w:link w:val="HeaderChar"/>
    <w:uiPriority w:val="99"/>
    <w:unhideWhenUsed/>
    <w:rsid w:val="00C04B18"/>
    <w:pPr>
      <w:tabs>
        <w:tab w:val="center" w:pos="4513"/>
        <w:tab w:val="right" w:pos="9026"/>
      </w:tabs>
      <w:spacing w:after="0" w:line="240" w:lineRule="auto"/>
    </w:pPr>
  </w:style>
  <w:style w:type="character" w:customStyle="1" w:styleId="HeaderChar">
    <w:name w:val="Header Char"/>
    <w:basedOn w:val="DefaultParagraphFont"/>
    <w:link w:val="Header"/>
    <w:uiPriority w:val="99"/>
    <w:rsid w:val="00C04B18"/>
  </w:style>
  <w:style w:type="paragraph" w:styleId="Footer">
    <w:name w:val="footer"/>
    <w:basedOn w:val="Normal"/>
    <w:link w:val="FooterChar"/>
    <w:uiPriority w:val="99"/>
    <w:unhideWhenUsed/>
    <w:rsid w:val="00C04B18"/>
    <w:pPr>
      <w:tabs>
        <w:tab w:val="center" w:pos="4513"/>
        <w:tab w:val="right" w:pos="9026"/>
      </w:tabs>
      <w:spacing w:after="0" w:line="240" w:lineRule="auto"/>
    </w:pPr>
  </w:style>
  <w:style w:type="character" w:customStyle="1" w:styleId="FooterChar">
    <w:name w:val="Footer Char"/>
    <w:basedOn w:val="DefaultParagraphFont"/>
    <w:link w:val="Footer"/>
    <w:uiPriority w:val="99"/>
    <w:rsid w:val="00C04B18"/>
  </w:style>
  <w:style w:type="paragraph" w:styleId="NormalWeb">
    <w:name w:val="Normal (Web)"/>
    <w:basedOn w:val="Normal"/>
    <w:uiPriority w:val="99"/>
    <w:semiHidden/>
    <w:unhideWhenUsed/>
    <w:rsid w:val="00C04B1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3Char">
    <w:name w:val="Heading 3 Char"/>
    <w:basedOn w:val="DefaultParagraphFont"/>
    <w:link w:val="Heading3"/>
    <w:uiPriority w:val="9"/>
    <w:semiHidden/>
    <w:rsid w:val="00FD6C1D"/>
    <w:rPr>
      <w:rFonts w:asciiTheme="majorHAnsi" w:eastAsiaTheme="majorEastAsia" w:hAnsiTheme="majorHAnsi" w:cstheme="majorBidi"/>
      <w:color w:val="1F4D78" w:themeColor="accent1" w:themeShade="7F"/>
      <w:sz w:val="24"/>
      <w:szCs w:val="24"/>
    </w:rPr>
  </w:style>
  <w:style w:type="character" w:styleId="FollowedHyperlink">
    <w:name w:val="FollowedHyperlink"/>
    <w:basedOn w:val="DefaultParagraphFont"/>
    <w:uiPriority w:val="99"/>
    <w:semiHidden/>
    <w:unhideWhenUsed/>
    <w:rsid w:val="000C0A6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106279">
      <w:bodyDiv w:val="1"/>
      <w:marLeft w:val="0"/>
      <w:marRight w:val="0"/>
      <w:marTop w:val="0"/>
      <w:marBottom w:val="0"/>
      <w:divBdr>
        <w:top w:val="none" w:sz="0" w:space="0" w:color="auto"/>
        <w:left w:val="none" w:sz="0" w:space="0" w:color="auto"/>
        <w:bottom w:val="none" w:sz="0" w:space="0" w:color="auto"/>
        <w:right w:val="none" w:sz="0" w:space="0" w:color="auto"/>
      </w:divBdr>
    </w:div>
    <w:div w:id="347676471">
      <w:bodyDiv w:val="1"/>
      <w:marLeft w:val="0"/>
      <w:marRight w:val="0"/>
      <w:marTop w:val="0"/>
      <w:marBottom w:val="0"/>
      <w:divBdr>
        <w:top w:val="none" w:sz="0" w:space="0" w:color="auto"/>
        <w:left w:val="none" w:sz="0" w:space="0" w:color="auto"/>
        <w:bottom w:val="none" w:sz="0" w:space="0" w:color="auto"/>
        <w:right w:val="none" w:sz="0" w:space="0" w:color="auto"/>
      </w:divBdr>
    </w:div>
    <w:div w:id="364257029">
      <w:bodyDiv w:val="1"/>
      <w:marLeft w:val="0"/>
      <w:marRight w:val="0"/>
      <w:marTop w:val="0"/>
      <w:marBottom w:val="0"/>
      <w:divBdr>
        <w:top w:val="none" w:sz="0" w:space="0" w:color="auto"/>
        <w:left w:val="none" w:sz="0" w:space="0" w:color="auto"/>
        <w:bottom w:val="none" w:sz="0" w:space="0" w:color="auto"/>
        <w:right w:val="none" w:sz="0" w:space="0" w:color="auto"/>
      </w:divBdr>
    </w:div>
    <w:div w:id="487526348">
      <w:bodyDiv w:val="1"/>
      <w:marLeft w:val="0"/>
      <w:marRight w:val="0"/>
      <w:marTop w:val="0"/>
      <w:marBottom w:val="0"/>
      <w:divBdr>
        <w:top w:val="none" w:sz="0" w:space="0" w:color="auto"/>
        <w:left w:val="none" w:sz="0" w:space="0" w:color="auto"/>
        <w:bottom w:val="none" w:sz="0" w:space="0" w:color="auto"/>
        <w:right w:val="none" w:sz="0" w:space="0" w:color="auto"/>
      </w:divBdr>
    </w:div>
    <w:div w:id="523715606">
      <w:bodyDiv w:val="1"/>
      <w:marLeft w:val="0"/>
      <w:marRight w:val="0"/>
      <w:marTop w:val="0"/>
      <w:marBottom w:val="0"/>
      <w:divBdr>
        <w:top w:val="none" w:sz="0" w:space="0" w:color="auto"/>
        <w:left w:val="none" w:sz="0" w:space="0" w:color="auto"/>
        <w:bottom w:val="none" w:sz="0" w:space="0" w:color="auto"/>
        <w:right w:val="none" w:sz="0" w:space="0" w:color="auto"/>
      </w:divBdr>
    </w:div>
    <w:div w:id="654799389">
      <w:bodyDiv w:val="1"/>
      <w:marLeft w:val="0"/>
      <w:marRight w:val="0"/>
      <w:marTop w:val="0"/>
      <w:marBottom w:val="0"/>
      <w:divBdr>
        <w:top w:val="none" w:sz="0" w:space="0" w:color="auto"/>
        <w:left w:val="none" w:sz="0" w:space="0" w:color="auto"/>
        <w:bottom w:val="none" w:sz="0" w:space="0" w:color="auto"/>
        <w:right w:val="none" w:sz="0" w:space="0" w:color="auto"/>
      </w:divBdr>
    </w:div>
    <w:div w:id="710154595">
      <w:bodyDiv w:val="1"/>
      <w:marLeft w:val="0"/>
      <w:marRight w:val="0"/>
      <w:marTop w:val="0"/>
      <w:marBottom w:val="0"/>
      <w:divBdr>
        <w:top w:val="none" w:sz="0" w:space="0" w:color="auto"/>
        <w:left w:val="none" w:sz="0" w:space="0" w:color="auto"/>
        <w:bottom w:val="none" w:sz="0" w:space="0" w:color="auto"/>
        <w:right w:val="none" w:sz="0" w:space="0" w:color="auto"/>
      </w:divBdr>
    </w:div>
    <w:div w:id="822967088">
      <w:bodyDiv w:val="1"/>
      <w:marLeft w:val="0"/>
      <w:marRight w:val="0"/>
      <w:marTop w:val="0"/>
      <w:marBottom w:val="0"/>
      <w:divBdr>
        <w:top w:val="none" w:sz="0" w:space="0" w:color="auto"/>
        <w:left w:val="none" w:sz="0" w:space="0" w:color="auto"/>
        <w:bottom w:val="none" w:sz="0" w:space="0" w:color="auto"/>
        <w:right w:val="none" w:sz="0" w:space="0" w:color="auto"/>
      </w:divBdr>
    </w:div>
    <w:div w:id="987516964">
      <w:bodyDiv w:val="1"/>
      <w:marLeft w:val="0"/>
      <w:marRight w:val="0"/>
      <w:marTop w:val="0"/>
      <w:marBottom w:val="0"/>
      <w:divBdr>
        <w:top w:val="none" w:sz="0" w:space="0" w:color="auto"/>
        <w:left w:val="none" w:sz="0" w:space="0" w:color="auto"/>
        <w:bottom w:val="none" w:sz="0" w:space="0" w:color="auto"/>
        <w:right w:val="none" w:sz="0" w:space="0" w:color="auto"/>
      </w:divBdr>
    </w:div>
    <w:div w:id="1501309969">
      <w:bodyDiv w:val="1"/>
      <w:marLeft w:val="0"/>
      <w:marRight w:val="0"/>
      <w:marTop w:val="0"/>
      <w:marBottom w:val="0"/>
      <w:divBdr>
        <w:top w:val="none" w:sz="0" w:space="0" w:color="auto"/>
        <w:left w:val="none" w:sz="0" w:space="0" w:color="auto"/>
        <w:bottom w:val="none" w:sz="0" w:space="0" w:color="auto"/>
        <w:right w:val="none" w:sz="0" w:space="0" w:color="auto"/>
      </w:divBdr>
    </w:div>
    <w:div w:id="1694261005">
      <w:bodyDiv w:val="1"/>
      <w:marLeft w:val="0"/>
      <w:marRight w:val="0"/>
      <w:marTop w:val="0"/>
      <w:marBottom w:val="0"/>
      <w:divBdr>
        <w:top w:val="none" w:sz="0" w:space="0" w:color="auto"/>
        <w:left w:val="none" w:sz="0" w:space="0" w:color="auto"/>
        <w:bottom w:val="none" w:sz="0" w:space="0" w:color="auto"/>
        <w:right w:val="none" w:sz="0" w:space="0" w:color="auto"/>
      </w:divBdr>
    </w:div>
    <w:div w:id="1989243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CF00F3-BD39-44CD-88E5-94BA3D528A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Pages>
  <Words>29523</Words>
  <Characters>168283</Characters>
  <Application>Microsoft Office Word</Application>
  <DocSecurity>0</DocSecurity>
  <Lines>1402</Lines>
  <Paragraphs>394</Paragraphs>
  <ScaleCrop>false</ScaleCrop>
  <HeadingPairs>
    <vt:vector size="2" baseType="variant">
      <vt:variant>
        <vt:lpstr>Title</vt:lpstr>
      </vt:variant>
      <vt:variant>
        <vt:i4>1</vt:i4>
      </vt:variant>
    </vt:vector>
  </HeadingPairs>
  <TitlesOfParts>
    <vt:vector size="1" baseType="lpstr">
      <vt:lpstr/>
    </vt:vector>
  </TitlesOfParts>
  <Company>University of Cambridge</Company>
  <LinksUpToDate>false</LinksUpToDate>
  <CharactersWithSpaces>197412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Eleanor Winpenny</dc:creator>
  <cp:lastModifiedBy>Eleanor Winpenny</cp:lastModifiedBy>
  <cp:revision>10</cp:revision>
  <cp:lastPrinted>2016-09-22T14:01:00Z</cp:lastPrinted>
  <dcterms:created xsi:type="dcterms:W3CDTF">2016-09-22T13:54:00Z</dcterms:created>
  <dcterms:modified xsi:type="dcterms:W3CDTF">2016-10-11T13:47:00Z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6th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16th edition (author-date)</vt:lpwstr>
  </property>
  <property fmtid="{D5CDD505-2E9C-101B-9397-08002B2CF9AE}" pid="13" name="Mendeley Recent Style Id 5_1">
    <vt:lpwstr>http://www.zotero.org/styles/ieee</vt:lpwstr>
  </property>
  <property fmtid="{D5CDD505-2E9C-101B-9397-08002B2CF9AE}" pid="14" name="Mendeley Recent Style Name 5_1">
    <vt:lpwstr>IEEE</vt:lpwstr>
  </property>
  <property fmtid="{D5CDD505-2E9C-101B-9397-08002B2CF9AE}" pid="15" name="Mendeley Recent Style Id 6_1">
    <vt:lpwstr>http://www.zotero.org/styles/international-journal-of-behavioral-nutrition-and-physical-activity</vt:lpwstr>
  </property>
  <property fmtid="{D5CDD505-2E9C-101B-9397-08002B2CF9AE}" pid="16" name="Mendeley Recent Style Name 6_1">
    <vt:lpwstr>International Journal of Behavioral Nutrition and Physical Activity</vt:lpwstr>
  </property>
  <property fmtid="{D5CDD505-2E9C-101B-9397-08002B2CF9AE}" pid="17" name="Mendeley Recent Style Id 7_1">
    <vt:lpwstr>http://www.zotero.org/styles/journal-of-internal-medicine</vt:lpwstr>
  </property>
  <property fmtid="{D5CDD505-2E9C-101B-9397-08002B2CF9AE}" pid="18" name="Mendeley Recent Style Name 7_1">
    <vt:lpwstr>Journal of Internal Medicine</vt:lpwstr>
  </property>
  <property fmtid="{D5CDD505-2E9C-101B-9397-08002B2CF9AE}" pid="19" name="Mendeley Recent Style Id 8_1">
    <vt:lpwstr>http://www.zotero.org/styles/modern-humanities-research-association</vt:lpwstr>
  </property>
  <property fmtid="{D5CDD505-2E9C-101B-9397-08002B2CF9AE}" pid="20" name="Mendeley Recent Style Name 8_1">
    <vt:lpwstr>Modern Humanities Research Association 3rd edition (note with bibliography)</vt:lpwstr>
  </property>
  <property fmtid="{D5CDD505-2E9C-101B-9397-08002B2CF9AE}" pid="21" name="Mendeley Recent Style Id 9_1">
    <vt:lpwstr>http://www.zotero.org/styles/journal-of-internal-medicine_custom</vt:lpwstr>
  </property>
  <property fmtid="{D5CDD505-2E9C-101B-9397-08002B2CF9AE}" pid="22" name="Mendeley Recent Style Name 9_1">
    <vt:lpwstr>ObesityReviews</vt:lpwstr>
  </property>
  <property fmtid="{D5CDD505-2E9C-101B-9397-08002B2CF9AE}" pid="23" name="Mendeley Citation Style_1">
    <vt:lpwstr>http://www.zotero.org/styles/american-medical-association</vt:lpwstr>
  </property>
  <property fmtid="{D5CDD505-2E9C-101B-9397-08002B2CF9AE}" pid="24" name="Mendeley Unique User Id_1">
    <vt:lpwstr>69aa4625-1692-3532-af45-31ed21976386</vt:lpwstr>
  </property>
</Properties>
</file>