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244" w:rsidRDefault="007F077E" w:rsidP="00A64244">
      <w:pPr>
        <w:jc w:val="center"/>
        <w:rPr>
          <w:b/>
        </w:rPr>
      </w:pPr>
      <w:r>
        <w:rPr>
          <w:b/>
        </w:rPr>
        <w:t xml:space="preserve">Additional file 1: </w:t>
      </w:r>
      <w:bookmarkStart w:id="0" w:name="_GoBack"/>
      <w:bookmarkEnd w:id="0"/>
      <w:r w:rsidR="00A64244">
        <w:rPr>
          <w:b/>
        </w:rPr>
        <w:t>Details of participant sample for editors and reviewers</w:t>
      </w:r>
    </w:p>
    <w:p w:rsidR="00E3141B" w:rsidRPr="00A64244" w:rsidRDefault="00E3141B" w:rsidP="00A64244">
      <w:pPr>
        <w:pStyle w:val="ListParagraph"/>
        <w:numPr>
          <w:ilvl w:val="0"/>
          <w:numId w:val="1"/>
        </w:numPr>
        <w:rPr>
          <w:b/>
        </w:rPr>
      </w:pPr>
      <w:r w:rsidRPr="00A64244">
        <w:rPr>
          <w:b/>
        </w:rPr>
        <w:t>How the sample was recruited</w:t>
      </w:r>
    </w:p>
    <w:p w:rsidR="00E3141B" w:rsidRPr="00E3141B" w:rsidRDefault="00E3141B">
      <w:r w:rsidRPr="00E3141B">
        <w:t>Details of how the sample was recruited are provided in the methods section:</w:t>
      </w:r>
    </w:p>
    <w:p w:rsidR="00535C2D" w:rsidRDefault="00535C2D" w:rsidP="00535C2D">
      <w:r>
        <w:t>Data source</w:t>
      </w:r>
    </w:p>
    <w:p w:rsidR="00535C2D" w:rsidRDefault="00535C2D" w:rsidP="00535C2D">
      <w:r>
        <w:t xml:space="preserve">The Fenland Study is a population-based cohort study investigating interactions between genetic and lifestyle factors in determining obesity and diabetes. The study recruited adults born between 1950 and 1975 from general practice lists in Cambridgeshire, United Kingdom (UK), between 2005 and 2015 </w:t>
      </w:r>
      <w:r>
        <w:fldChar w:fldCharType="begin"/>
      </w:r>
      <w:r w:rsidR="00304F0D">
        <w:instrText xml:space="preserve"> ADDIN EN.CITE &lt;EndNote&gt;&lt;Cite&gt;&lt;Author&gt;De Lucia Rolfe&lt;/Author&gt;&lt;Year&gt;2010&lt;/Year&gt;&lt;RecNum&gt;535&lt;/RecNum&gt;&lt;DisplayText&gt;[1]&lt;/DisplayText&gt;&lt;record&gt;&lt;rec-number&gt;535&lt;/rec-number&gt;&lt;foreign-keys&gt;&lt;key app="EN" db-id="dw9e0esxo2vt2xez997v95z7t55vvx25ster" timestamp="1484910928"&gt;535&lt;/key&gt;&lt;/foreign-keys&gt;&lt;ref-type name="Journal Article"&gt;17&lt;/ref-type&gt;&lt;contributors&gt;&lt;authors&gt;&lt;author&gt;de Lucia Rolfe, Emanuella&lt;/author&gt;&lt;author&gt;Loos, Ruth J. F.&lt;/author&gt;&lt;author&gt;Druet, Céline&lt;/author&gt;&lt;author&gt;Stolk, Ronald P.&lt;/author&gt;&lt;author&gt;Ekelund, Ulf&lt;/author&gt;&lt;author&gt;Griffin, Simon J.&lt;/author&gt;&lt;author&gt;Forouhi, Nita G.&lt;/author&gt;&lt;author&gt;Wareham, Nicholas J.&lt;/author&gt;&lt;author&gt;Ong, Ken K.&lt;/author&gt;&lt;/authors&gt;&lt;/contributors&gt;&lt;titles&gt;&lt;title&gt;Association between birth weight and visceral fat in adults&lt;/title&gt;&lt;secondary-title&gt;American Journal of Clinical Nutrition&lt;/secondary-title&gt;&lt;/titles&gt;&lt;periodical&gt;&lt;full-title&gt;American Journal of Clinical Nutrition&lt;/full-title&gt;&lt;abbr-1&gt;Am. J. Clin. Nutr.&lt;/abbr-1&gt;&lt;abbr-2&gt;Am J Clin Nutr&lt;/abbr-2&gt;&lt;/periodical&gt;&lt;pages&gt;347-352&lt;/pages&gt;&lt;volume&gt;92&lt;/volume&gt;&lt;number&gt;2&lt;/number&gt;&lt;dates&gt;&lt;year&gt;2010&lt;/year&gt;&lt;pub-dates&gt;&lt;date&gt;August 1, 2010&lt;/date&gt;&lt;/pub-dates&gt;&lt;/dates&gt;&lt;urls&gt;&lt;related-urls&gt;&lt;url&gt;http://ajcn.nutrition.org/content/92/2/347.abstract&lt;/url&gt;&lt;/related-urls&gt;&lt;/urls&gt;&lt;electronic-resource-num&gt;10.3945/ajcn.2010.29247&lt;/electronic-resource-num&gt;&lt;/record&gt;&lt;/Cite&gt;&lt;/EndNote&gt;</w:instrText>
      </w:r>
      <w:r>
        <w:fldChar w:fldCharType="separate"/>
      </w:r>
      <w:r w:rsidR="00304F0D">
        <w:rPr>
          <w:noProof/>
        </w:rPr>
        <w:t>[1]</w:t>
      </w:r>
      <w:r>
        <w:fldChar w:fldCharType="end"/>
      </w:r>
      <w:r>
        <w:t xml:space="preserve">. Participants were invited to attend one of three clinical sites in Cambridgeshire to take part in a detailed assessment. A total of 12,434 participants undertook baseline assessment, which involved a range of clinical, biological and anthropometric measurements, and completion of questionnaires. The data collection tools are available online </w:t>
      </w:r>
      <w:r>
        <w:fldChar w:fldCharType="begin"/>
      </w:r>
      <w:r w:rsidR="00304F0D">
        <w:instrText xml:space="preserve"> ADDIN EN.CITE &lt;EndNote&gt;&lt;Cite&gt;&lt;Author&gt;MRC Epidemiology Unit&lt;/Author&gt;&lt;Year&gt;2014&lt;/Year&gt;&lt;RecNum&gt;689&lt;/RecNum&gt;&lt;DisplayText&gt;[2]&lt;/DisplayText&gt;&lt;record&gt;&lt;rec-number&gt;689&lt;/rec-number&gt;&lt;foreign-keys&gt;&lt;key app="EN" db-id="dw9e0esxo2vt2xez997v95z7t55vvx25ster" timestamp="1493927740"&gt;689&lt;/key&gt;&lt;/foreign-keys&gt;&lt;ref-type name="Web Page"&gt;12&lt;/ref-type&gt;&lt;contributors&gt;&lt;authors&gt;&lt;author&gt;MRC Epidemiology Unit,&lt;/author&gt;&lt;/authors&gt;&lt;/contributors&gt;&lt;titles&gt;&lt;title&gt;Fenland Study&lt;/title&gt;&lt;/titles&gt;&lt;number&gt;04 May 2017&lt;/number&gt;&lt;dates&gt;&lt;year&gt;2014&lt;/year&gt;&lt;/dates&gt;&lt;urls&gt;&lt;related-urls&gt;&lt;url&gt;http://epi-meta.medschl.cam.ac.uk/includes/fenland/fenland.html&lt;/url&gt;&lt;/related-urls&gt;&lt;/urls&gt;&lt;/record&gt;&lt;/Cite&gt;&lt;/EndNote&gt;</w:instrText>
      </w:r>
      <w:r>
        <w:fldChar w:fldCharType="separate"/>
      </w:r>
      <w:r w:rsidR="00304F0D">
        <w:rPr>
          <w:noProof/>
        </w:rPr>
        <w:t>[2]</w:t>
      </w:r>
      <w:r>
        <w:fldChar w:fldCharType="end"/>
      </w:r>
      <w:r>
        <w:t>.</w:t>
      </w:r>
    </w:p>
    <w:p w:rsidR="00535C2D" w:rsidRDefault="00535C2D" w:rsidP="00535C2D">
      <w:r>
        <w:t>Study exclusion criteria included previously diagnosed diabetes, psychosis, terminal illness, pregnancy, and inability to walk unaided. The Fenland study was approved by the Health Research Authority National Research Ethics Service Committee – East of England Cambridge Central – and performed in accordance with the Declaration of Helsinki. All participants provided written informed consent to participate in the study.</w:t>
      </w:r>
    </w:p>
    <w:p w:rsidR="00E3141B" w:rsidRPr="00E3141B" w:rsidRDefault="00E3141B" w:rsidP="00535C2D">
      <w:pPr>
        <w:rPr>
          <w:b/>
        </w:rPr>
      </w:pPr>
    </w:p>
    <w:p w:rsidR="00E3141B" w:rsidRPr="00A64244" w:rsidRDefault="00E3141B" w:rsidP="00A64244">
      <w:pPr>
        <w:pStyle w:val="ListParagraph"/>
        <w:numPr>
          <w:ilvl w:val="0"/>
          <w:numId w:val="1"/>
        </w:numPr>
        <w:rPr>
          <w:b/>
        </w:rPr>
      </w:pPr>
      <w:r w:rsidRPr="00A64244">
        <w:rPr>
          <w:b/>
        </w:rPr>
        <w:t>How representative the sample was of the target group</w:t>
      </w:r>
    </w:p>
    <w:p w:rsidR="00E3141B" w:rsidRDefault="004D2471">
      <w:r>
        <w:t xml:space="preserve">Fenland study participants </w:t>
      </w:r>
      <w:r>
        <w:rPr>
          <w:rFonts w:cs="AdvPSA88A"/>
        </w:rPr>
        <w:t xml:space="preserve">were recruited between the ages of 29 and 64 years, and therefore do not represent the full age range of the UK population. People with </w:t>
      </w:r>
      <w:r>
        <w:t>previously diagnosed diabetes, psychosis, terminal illness, pregnancy, and inability to walk unaided were excluded. Participants were recruited from general practice lists, and therefore those not registered with a practice were not eligible for recruitment. The Fenland study sample was otherwise representative of the population of Cambridgeshire, UK.</w:t>
      </w:r>
    </w:p>
    <w:p w:rsidR="004D2471" w:rsidRDefault="004D2471">
      <w:pPr>
        <w:rPr>
          <w:rFonts w:cs="AdvPSA88A"/>
        </w:rPr>
      </w:pPr>
      <w:r>
        <w:t>We did not have access to data on the response rate of potential study participants to invitations to take part in the Fenland study.</w:t>
      </w:r>
    </w:p>
    <w:p w:rsidR="004D2471" w:rsidRPr="00E3141B" w:rsidRDefault="004D2471"/>
    <w:p w:rsidR="00E3141B" w:rsidRPr="00A64244" w:rsidRDefault="00E3141B" w:rsidP="00A64244">
      <w:pPr>
        <w:pStyle w:val="ListParagraph"/>
        <w:numPr>
          <w:ilvl w:val="0"/>
          <w:numId w:val="1"/>
        </w:numPr>
        <w:rPr>
          <w:b/>
        </w:rPr>
      </w:pPr>
      <w:r w:rsidRPr="00A64244">
        <w:rPr>
          <w:b/>
        </w:rPr>
        <w:t>How the analysed sample differed from the recruited sample</w:t>
      </w:r>
    </w:p>
    <w:p w:rsidR="00AA23B2" w:rsidRPr="00AA23B2" w:rsidRDefault="00AA23B2">
      <w:r>
        <w:t xml:space="preserve">The analytic sample (n=11,396) differed in some respects from the recruited Fenland study sample (n=12,434). These differences are shown in </w:t>
      </w:r>
      <w:r w:rsidR="00A64244">
        <w:t>the table in Additional file 2</w:t>
      </w:r>
      <w:r>
        <w:t>.</w:t>
      </w:r>
    </w:p>
    <w:p w:rsidR="0029533B" w:rsidRDefault="0029533B">
      <w:pPr>
        <w:rPr>
          <w:b/>
        </w:rPr>
      </w:pPr>
    </w:p>
    <w:p w:rsidR="00E3141B" w:rsidRPr="00A64244" w:rsidRDefault="00E3141B" w:rsidP="00A64244">
      <w:pPr>
        <w:pStyle w:val="ListParagraph"/>
        <w:numPr>
          <w:ilvl w:val="0"/>
          <w:numId w:val="1"/>
        </w:numPr>
        <w:rPr>
          <w:b/>
        </w:rPr>
      </w:pPr>
      <w:r w:rsidRPr="00A64244">
        <w:rPr>
          <w:b/>
        </w:rPr>
        <w:t>How any missing data were handled</w:t>
      </w:r>
    </w:p>
    <w:p w:rsidR="00304F0D" w:rsidRDefault="00535C2D" w:rsidP="00535C2D">
      <w:r>
        <w:t>All analyses were on a complete case basis. Thus, participants with missing data on any of the variables described were excluded (n=1,038), leaving 11,396 participants (91.7% total cohort) in the analysis.</w:t>
      </w:r>
    </w:p>
    <w:p w:rsidR="00304F0D" w:rsidRPr="00304F0D" w:rsidRDefault="00304F0D" w:rsidP="00535C2D">
      <w:pPr>
        <w:rPr>
          <w:b/>
        </w:rPr>
      </w:pPr>
      <w:r w:rsidRPr="00304F0D">
        <w:rPr>
          <w:b/>
        </w:rPr>
        <w:lastRenderedPageBreak/>
        <w:t>References</w:t>
      </w:r>
    </w:p>
    <w:p w:rsidR="00304F0D" w:rsidRPr="00304F0D" w:rsidRDefault="00304F0D" w:rsidP="00304F0D">
      <w:pPr>
        <w:pStyle w:val="EndNoteBibliography"/>
        <w:spacing w:after="0"/>
        <w:ind w:left="720" w:hanging="720"/>
      </w:pPr>
      <w:r>
        <w:fldChar w:fldCharType="begin"/>
      </w:r>
      <w:r>
        <w:instrText xml:space="preserve"> ADDIN EN.REFLIST </w:instrText>
      </w:r>
      <w:r>
        <w:fldChar w:fldCharType="separate"/>
      </w:r>
      <w:r w:rsidRPr="00304F0D">
        <w:t>1.</w:t>
      </w:r>
      <w:r w:rsidRPr="00304F0D">
        <w:tab/>
        <w:t>de Lucia Rolfe E, Loos RJF, Druet C, Stolk RP, Ekelund U, Griffin SJ, et al. Association between birth weight and visceral fat in adults. Am J Clin Nutr. 2010;92:347-352.</w:t>
      </w:r>
    </w:p>
    <w:p w:rsidR="00304F0D" w:rsidRPr="00304F0D" w:rsidRDefault="00304F0D" w:rsidP="00304F0D">
      <w:pPr>
        <w:pStyle w:val="EndNoteBibliography"/>
        <w:ind w:left="720" w:hanging="720"/>
      </w:pPr>
      <w:r w:rsidRPr="00304F0D">
        <w:t>2.</w:t>
      </w:r>
      <w:r w:rsidRPr="00304F0D">
        <w:tab/>
        <w:t xml:space="preserve">MRC Epidemiology Unit. Fenland Study. 2014. </w:t>
      </w:r>
      <w:hyperlink r:id="rId6" w:history="1">
        <w:r w:rsidRPr="00304F0D">
          <w:rPr>
            <w:rStyle w:val="Hyperlink"/>
          </w:rPr>
          <w:t>http://epi-meta.medschl.cam.ac.uk/includes/fenland/fenland.html</w:t>
        </w:r>
      </w:hyperlink>
      <w:r w:rsidRPr="00304F0D">
        <w:t>. Accessed 04 May 2017.</w:t>
      </w:r>
    </w:p>
    <w:p w:rsidR="00801C9E" w:rsidRPr="00801C9E" w:rsidRDefault="00304F0D" w:rsidP="00535C2D">
      <w:r>
        <w:fldChar w:fldCharType="end"/>
      </w:r>
    </w:p>
    <w:sectPr w:rsidR="00801C9E" w:rsidRPr="00801C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dvPSA88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12AD8"/>
    <w:multiLevelType w:val="hybridMultilevel"/>
    <w:tmpl w:val="4F7238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_Central_-_IJBNPA-3&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9e0esxo2vt2xez997v95z7t55vvx25ster&quot;&gt;Cooking literature phase 1&lt;record-ids&gt;&lt;item&gt;535&lt;/item&gt;&lt;item&gt;689&lt;/item&gt;&lt;/record-ids&gt;&lt;/item&gt;&lt;/Libraries&gt;"/>
  </w:docVars>
  <w:rsids>
    <w:rsidRoot w:val="00E3141B"/>
    <w:rsid w:val="00125BFD"/>
    <w:rsid w:val="0029533B"/>
    <w:rsid w:val="00304F0D"/>
    <w:rsid w:val="004254EF"/>
    <w:rsid w:val="004D2471"/>
    <w:rsid w:val="00535C2D"/>
    <w:rsid w:val="00765F19"/>
    <w:rsid w:val="007F077E"/>
    <w:rsid w:val="00801C9E"/>
    <w:rsid w:val="008969E1"/>
    <w:rsid w:val="00A64244"/>
    <w:rsid w:val="00AA23B2"/>
    <w:rsid w:val="00AE18B8"/>
    <w:rsid w:val="00D41B8D"/>
    <w:rsid w:val="00E3141B"/>
    <w:rsid w:val="00E37826"/>
    <w:rsid w:val="00F97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141B"/>
    <w:rPr>
      <w:strike w:val="0"/>
      <w:dstrike w:val="0"/>
      <w:color w:val="0070BB"/>
      <w:u w:val="none"/>
      <w:effect w:val="none"/>
    </w:rPr>
  </w:style>
  <w:style w:type="paragraph" w:styleId="ListParagraph">
    <w:name w:val="List Paragraph"/>
    <w:basedOn w:val="Normal"/>
    <w:uiPriority w:val="34"/>
    <w:qFormat/>
    <w:rsid w:val="00A64244"/>
    <w:pPr>
      <w:ind w:left="720"/>
      <w:contextualSpacing/>
    </w:pPr>
  </w:style>
  <w:style w:type="paragraph" w:customStyle="1" w:styleId="EndNoteBibliographyTitle">
    <w:name w:val="EndNote Bibliography Title"/>
    <w:basedOn w:val="Normal"/>
    <w:link w:val="EndNoteBibliographyTitleChar"/>
    <w:rsid w:val="00304F0D"/>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04F0D"/>
    <w:rPr>
      <w:rFonts w:ascii="Calibri" w:hAnsi="Calibri"/>
      <w:noProof/>
      <w:lang w:val="en-US"/>
    </w:rPr>
  </w:style>
  <w:style w:type="paragraph" w:customStyle="1" w:styleId="EndNoteBibliography">
    <w:name w:val="EndNote Bibliography"/>
    <w:basedOn w:val="Normal"/>
    <w:link w:val="EndNoteBibliographyChar"/>
    <w:rsid w:val="00304F0D"/>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304F0D"/>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141B"/>
    <w:rPr>
      <w:strike w:val="0"/>
      <w:dstrike w:val="0"/>
      <w:color w:val="0070BB"/>
      <w:u w:val="none"/>
      <w:effect w:val="none"/>
    </w:rPr>
  </w:style>
  <w:style w:type="paragraph" w:styleId="ListParagraph">
    <w:name w:val="List Paragraph"/>
    <w:basedOn w:val="Normal"/>
    <w:uiPriority w:val="34"/>
    <w:qFormat/>
    <w:rsid w:val="00A64244"/>
    <w:pPr>
      <w:ind w:left="720"/>
      <w:contextualSpacing/>
    </w:pPr>
  </w:style>
  <w:style w:type="paragraph" w:customStyle="1" w:styleId="EndNoteBibliographyTitle">
    <w:name w:val="EndNote Bibliography Title"/>
    <w:basedOn w:val="Normal"/>
    <w:link w:val="EndNoteBibliographyTitleChar"/>
    <w:rsid w:val="00304F0D"/>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04F0D"/>
    <w:rPr>
      <w:rFonts w:ascii="Calibri" w:hAnsi="Calibri"/>
      <w:noProof/>
      <w:lang w:val="en-US"/>
    </w:rPr>
  </w:style>
  <w:style w:type="paragraph" w:customStyle="1" w:styleId="EndNoteBibliography">
    <w:name w:val="EndNote Bibliography"/>
    <w:basedOn w:val="Normal"/>
    <w:link w:val="EndNoteBibliographyChar"/>
    <w:rsid w:val="00304F0D"/>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304F0D"/>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pi-meta.medschl.cam.ac.uk/includes/fenland/fenland.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 Mills</dc:creator>
  <cp:lastModifiedBy>Susanna Mills</cp:lastModifiedBy>
  <cp:revision>2</cp:revision>
  <dcterms:created xsi:type="dcterms:W3CDTF">2017-05-12T16:12:00Z</dcterms:created>
  <dcterms:modified xsi:type="dcterms:W3CDTF">2017-05-12T16:12:00Z</dcterms:modified>
</cp:coreProperties>
</file>