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13587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947"/>
        <w:gridCol w:w="1520"/>
        <w:gridCol w:w="1520"/>
        <w:gridCol w:w="1520"/>
        <w:gridCol w:w="1520"/>
        <w:gridCol w:w="1520"/>
        <w:gridCol w:w="1520"/>
        <w:gridCol w:w="1520"/>
      </w:tblGrid>
      <w:tr w:rsidR="00B152E1" w:rsidRPr="00EA5516" w:rsidTr="00B152E1">
        <w:trPr>
          <w:trHeight w:val="227"/>
        </w:trPr>
        <w:tc>
          <w:tcPr>
            <w:tcW w:w="2947" w:type="dxa"/>
            <w:shd w:val="clear" w:color="auto" w:fill="auto"/>
          </w:tcPr>
          <w:p w:rsidR="00B152E1" w:rsidRPr="00EA5516" w:rsidRDefault="00B152E1" w:rsidP="00EA5516">
            <w:pPr>
              <w:contextualSpacing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EA5516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First author (year)</w:t>
            </w:r>
          </w:p>
        </w:tc>
        <w:tc>
          <w:tcPr>
            <w:tcW w:w="1520" w:type="dxa"/>
            <w:shd w:val="clear" w:color="auto" w:fill="auto"/>
            <w:noWrap/>
          </w:tcPr>
          <w:p w:rsidR="00B152E1" w:rsidRPr="00EA5516" w:rsidRDefault="00B152E1" w:rsidP="00EA5516">
            <w:pPr>
              <w:contextualSpacing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EA5516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Sequence generation</w:t>
            </w:r>
          </w:p>
        </w:tc>
        <w:tc>
          <w:tcPr>
            <w:tcW w:w="1520" w:type="dxa"/>
            <w:shd w:val="clear" w:color="auto" w:fill="auto"/>
            <w:noWrap/>
          </w:tcPr>
          <w:p w:rsidR="00B152E1" w:rsidRPr="00EA5516" w:rsidRDefault="00B152E1" w:rsidP="00EA5516">
            <w:pPr>
              <w:contextualSpacing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EA5516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Allocation concealment</w:t>
            </w:r>
          </w:p>
        </w:tc>
        <w:tc>
          <w:tcPr>
            <w:tcW w:w="1520" w:type="dxa"/>
            <w:shd w:val="clear" w:color="auto" w:fill="auto"/>
            <w:noWrap/>
          </w:tcPr>
          <w:p w:rsidR="00B152E1" w:rsidRPr="00EA5516" w:rsidRDefault="00B152E1" w:rsidP="00B152E1">
            <w:pPr>
              <w:contextualSpacing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EA5516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 xml:space="preserve">Blinding </w:t>
            </w:r>
            <w:r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 xml:space="preserve">of participants and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personnel</w:t>
            </w:r>
            <w:r>
              <w:rPr>
                <w:rFonts w:ascii="Times New Roman" w:eastAsia="Times New Roman" w:hAnsi="Times New Roman" w:cs="Times New Roman"/>
                <w:color w:val="000000"/>
                <w:vertAlign w:val="superscript"/>
                <w:lang w:eastAsia="en-GB"/>
              </w:rPr>
              <w:t>i</w:t>
            </w:r>
            <w:proofErr w:type="spellEnd"/>
          </w:p>
        </w:tc>
        <w:tc>
          <w:tcPr>
            <w:tcW w:w="1520" w:type="dxa"/>
          </w:tcPr>
          <w:p w:rsidR="00B152E1" w:rsidRPr="00EA5516" w:rsidRDefault="00B152E1" w:rsidP="00EA5516">
            <w:pPr>
              <w:contextualSpacing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 xml:space="preserve">Blinding of </w:t>
            </w:r>
            <w:r w:rsidRPr="00B152E1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 xml:space="preserve">outcome </w:t>
            </w:r>
            <w:proofErr w:type="spellStart"/>
            <w:r w:rsidRPr="00B152E1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assessors</w:t>
            </w:r>
            <w:r w:rsidR="00A50383">
              <w:rPr>
                <w:rFonts w:ascii="Times New Roman" w:eastAsia="Times New Roman" w:hAnsi="Times New Roman" w:cs="Times New Roman"/>
                <w:color w:val="000000"/>
                <w:vertAlign w:val="superscript"/>
                <w:lang w:eastAsia="en-GB"/>
              </w:rPr>
              <w:t>ii</w:t>
            </w:r>
            <w:proofErr w:type="spellEnd"/>
          </w:p>
        </w:tc>
        <w:tc>
          <w:tcPr>
            <w:tcW w:w="1520" w:type="dxa"/>
            <w:shd w:val="clear" w:color="auto" w:fill="auto"/>
            <w:noWrap/>
          </w:tcPr>
          <w:p w:rsidR="00B152E1" w:rsidRPr="00EA5516" w:rsidRDefault="00B152E1" w:rsidP="00EA5516">
            <w:pPr>
              <w:contextualSpacing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EA5516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 xml:space="preserve">Incomplete outcome </w:t>
            </w:r>
            <w:proofErr w:type="spellStart"/>
            <w:r w:rsidRPr="00EA5516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data</w:t>
            </w:r>
            <w:r>
              <w:rPr>
                <w:rFonts w:ascii="Times New Roman" w:eastAsia="Times New Roman" w:hAnsi="Times New Roman" w:cs="Times New Roman"/>
                <w:color w:val="000000"/>
                <w:vertAlign w:val="superscript"/>
                <w:lang w:eastAsia="en-GB"/>
              </w:rPr>
              <w:t>ii</w:t>
            </w:r>
            <w:r w:rsidR="00A50383">
              <w:rPr>
                <w:rFonts w:ascii="Times New Roman" w:eastAsia="Times New Roman" w:hAnsi="Times New Roman" w:cs="Times New Roman"/>
                <w:color w:val="000000"/>
                <w:vertAlign w:val="superscript"/>
                <w:lang w:eastAsia="en-GB"/>
              </w:rPr>
              <w:t>i</w:t>
            </w:r>
            <w:proofErr w:type="spellEnd"/>
          </w:p>
        </w:tc>
        <w:tc>
          <w:tcPr>
            <w:tcW w:w="1520" w:type="dxa"/>
            <w:shd w:val="clear" w:color="auto" w:fill="auto"/>
            <w:noWrap/>
          </w:tcPr>
          <w:p w:rsidR="00B152E1" w:rsidRPr="00EA5516" w:rsidRDefault="00B152E1" w:rsidP="00EA5516">
            <w:pPr>
              <w:contextualSpacing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EA5516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Selective outcome</w:t>
            </w:r>
          </w:p>
        </w:tc>
        <w:tc>
          <w:tcPr>
            <w:tcW w:w="1520" w:type="dxa"/>
            <w:shd w:val="clear" w:color="auto" w:fill="auto"/>
            <w:noWrap/>
          </w:tcPr>
          <w:p w:rsidR="00B152E1" w:rsidRPr="00EA5516" w:rsidRDefault="00B152E1" w:rsidP="00EA5516">
            <w:pPr>
              <w:contextualSpacing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EA5516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 xml:space="preserve">Other source of </w:t>
            </w:r>
            <w:proofErr w:type="spellStart"/>
            <w:r w:rsidRPr="00EA5516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bias</w:t>
            </w:r>
            <w:r w:rsidR="00A50383">
              <w:rPr>
                <w:rFonts w:ascii="Times New Roman" w:eastAsia="Times New Roman" w:hAnsi="Times New Roman" w:cs="Times New Roman"/>
                <w:color w:val="000000"/>
                <w:vertAlign w:val="superscript"/>
                <w:lang w:eastAsia="en-GB"/>
              </w:rPr>
              <w:t>iv</w:t>
            </w:r>
            <w:proofErr w:type="spellEnd"/>
          </w:p>
        </w:tc>
      </w:tr>
      <w:tr w:rsidR="00B152E1" w:rsidRPr="00EA5516" w:rsidTr="00B152E1">
        <w:trPr>
          <w:trHeight w:val="227"/>
        </w:trPr>
        <w:tc>
          <w:tcPr>
            <w:tcW w:w="13587" w:type="dxa"/>
            <w:gridSpan w:val="8"/>
          </w:tcPr>
          <w:p w:rsidR="00B152E1" w:rsidRPr="00425C78" w:rsidRDefault="00B152E1" w:rsidP="006526DF">
            <w:pPr>
              <w:contextualSpacing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425C78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Experimental studies</w:t>
            </w:r>
          </w:p>
        </w:tc>
      </w:tr>
      <w:tr w:rsidR="00B152E1" w:rsidRPr="00EA5516" w:rsidTr="00B152E1">
        <w:trPr>
          <w:trHeight w:val="70"/>
        </w:trPr>
        <w:tc>
          <w:tcPr>
            <w:tcW w:w="2947" w:type="dxa"/>
            <w:shd w:val="clear" w:color="auto" w:fill="auto"/>
          </w:tcPr>
          <w:p w:rsidR="00B152E1" w:rsidRPr="00EA5516" w:rsidRDefault="00B152E1" w:rsidP="00B152E1">
            <w:pPr>
              <w:contextualSpacing/>
              <w:rPr>
                <w:rFonts w:ascii="Times New Roman" w:eastAsia="Times New Roman" w:hAnsi="Times New Roman" w:cs="Times New Roman"/>
                <w:b w:val="0"/>
                <w:color w:val="000000"/>
                <w:lang w:eastAsia="en-GB"/>
              </w:rPr>
            </w:pPr>
            <w:proofErr w:type="spellStart"/>
            <w:r w:rsidRPr="00EA5516">
              <w:rPr>
                <w:rFonts w:ascii="Times New Roman" w:eastAsia="Times New Roman" w:hAnsi="Times New Roman" w:cs="Times New Roman"/>
                <w:b w:val="0"/>
                <w:color w:val="000000"/>
                <w:lang w:eastAsia="en-GB"/>
              </w:rPr>
              <w:t>Albarracin</w:t>
            </w:r>
            <w:proofErr w:type="spellEnd"/>
            <w:r w:rsidRPr="00EA5516">
              <w:rPr>
                <w:rFonts w:ascii="Times New Roman" w:eastAsia="Times New Roman" w:hAnsi="Times New Roman" w:cs="Times New Roman"/>
                <w:b w:val="0"/>
                <w:color w:val="000000"/>
                <w:lang w:eastAsia="en-GB"/>
              </w:rPr>
              <w:t xml:space="preserve"> (2009); Study 1</w:t>
            </w:r>
          </w:p>
        </w:tc>
        <w:tc>
          <w:tcPr>
            <w:tcW w:w="1520" w:type="dxa"/>
            <w:shd w:val="clear" w:color="auto" w:fill="auto"/>
            <w:noWrap/>
          </w:tcPr>
          <w:p w:rsidR="00B152E1" w:rsidRPr="00EA5516" w:rsidRDefault="00B152E1" w:rsidP="00B152E1">
            <w:pPr>
              <w:contextualSpacing/>
              <w:rPr>
                <w:rFonts w:ascii="Times New Roman" w:eastAsia="Times New Roman" w:hAnsi="Times New Roman" w:cs="Times New Roman"/>
                <w:b w:val="0"/>
                <w:color w:val="000000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b w:val="0"/>
                <w:color w:val="000000"/>
                <w:lang w:eastAsia="en-GB"/>
              </w:rPr>
              <w:t xml:space="preserve">High </w:t>
            </w:r>
            <w:r w:rsidRPr="00EA5516">
              <w:rPr>
                <w:rFonts w:ascii="Times New Roman" w:eastAsia="Times New Roman" w:hAnsi="Times New Roman" w:cs="Times New Roman"/>
                <w:b w:val="0"/>
                <w:color w:val="000000"/>
                <w:lang w:eastAsia="en-GB"/>
              </w:rPr>
              <w:t>risk</w:t>
            </w:r>
          </w:p>
        </w:tc>
        <w:tc>
          <w:tcPr>
            <w:tcW w:w="1520" w:type="dxa"/>
            <w:shd w:val="clear" w:color="auto" w:fill="auto"/>
            <w:noWrap/>
          </w:tcPr>
          <w:p w:rsidR="00B152E1" w:rsidRPr="00EA5516" w:rsidRDefault="00B152E1" w:rsidP="00B152E1">
            <w:pPr>
              <w:contextualSpacing/>
              <w:rPr>
                <w:rFonts w:ascii="Times New Roman" w:eastAsia="Times New Roman" w:hAnsi="Times New Roman" w:cs="Times New Roman"/>
                <w:b w:val="0"/>
                <w:color w:val="000000"/>
                <w:lang w:eastAsia="en-GB"/>
              </w:rPr>
            </w:pPr>
            <w:r w:rsidRPr="00EA5516">
              <w:rPr>
                <w:rFonts w:ascii="Times New Roman" w:eastAsia="Times New Roman" w:hAnsi="Times New Roman" w:cs="Times New Roman"/>
                <w:b w:val="0"/>
                <w:color w:val="000000"/>
                <w:lang w:eastAsia="en-GB"/>
              </w:rPr>
              <w:t>Unclear risk</w:t>
            </w:r>
          </w:p>
        </w:tc>
        <w:tc>
          <w:tcPr>
            <w:tcW w:w="1520" w:type="dxa"/>
            <w:shd w:val="clear" w:color="auto" w:fill="auto"/>
            <w:noWrap/>
          </w:tcPr>
          <w:p w:rsidR="00B152E1" w:rsidRPr="00B152E1" w:rsidRDefault="00B152E1" w:rsidP="00B152E1">
            <w:pPr>
              <w:contextualSpacing/>
              <w:rPr>
                <w:rFonts w:ascii="Times New Roman" w:eastAsia="Times New Roman" w:hAnsi="Times New Roman" w:cs="Times New Roman"/>
                <w:b w:val="0"/>
                <w:color w:val="000000"/>
                <w:lang w:eastAsia="en-GB"/>
              </w:rPr>
            </w:pPr>
            <w:r w:rsidRPr="00B152E1">
              <w:rPr>
                <w:rFonts w:ascii="Times New Roman" w:eastAsia="Times New Roman" w:hAnsi="Times New Roman" w:cs="Times New Roman"/>
                <w:b w:val="0"/>
                <w:color w:val="000000"/>
                <w:lang w:eastAsia="en-GB"/>
              </w:rPr>
              <w:t>High risk</w:t>
            </w:r>
          </w:p>
        </w:tc>
        <w:tc>
          <w:tcPr>
            <w:tcW w:w="1520" w:type="dxa"/>
          </w:tcPr>
          <w:p w:rsidR="00B152E1" w:rsidRPr="00B152E1" w:rsidRDefault="00B152E1" w:rsidP="00B152E1">
            <w:pPr>
              <w:rPr>
                <w:rFonts w:ascii="Times New Roman" w:hAnsi="Times New Roman" w:cs="Times New Roman"/>
                <w:b w:val="0"/>
              </w:rPr>
            </w:pPr>
            <w:r w:rsidRPr="00B152E1">
              <w:rPr>
                <w:rFonts w:ascii="Times New Roman" w:hAnsi="Times New Roman" w:cs="Times New Roman"/>
                <w:b w:val="0"/>
              </w:rPr>
              <w:t>High risk</w:t>
            </w:r>
          </w:p>
        </w:tc>
        <w:tc>
          <w:tcPr>
            <w:tcW w:w="1520" w:type="dxa"/>
            <w:shd w:val="clear" w:color="auto" w:fill="auto"/>
            <w:noWrap/>
          </w:tcPr>
          <w:p w:rsidR="00B152E1" w:rsidRPr="00EA5516" w:rsidRDefault="00B152E1" w:rsidP="00B152E1">
            <w:pPr>
              <w:contextualSpacing/>
              <w:rPr>
                <w:rFonts w:ascii="Times New Roman" w:eastAsia="Times New Roman" w:hAnsi="Times New Roman" w:cs="Times New Roman"/>
                <w:b w:val="0"/>
                <w:color w:val="000000"/>
                <w:lang w:eastAsia="en-GB"/>
              </w:rPr>
            </w:pPr>
            <w:r w:rsidRPr="00EA5516">
              <w:rPr>
                <w:rFonts w:ascii="Times New Roman" w:eastAsia="Times New Roman" w:hAnsi="Times New Roman" w:cs="Times New Roman"/>
                <w:b w:val="0"/>
                <w:color w:val="000000"/>
                <w:lang w:eastAsia="en-GB"/>
              </w:rPr>
              <w:t>Low risk</w:t>
            </w:r>
          </w:p>
        </w:tc>
        <w:tc>
          <w:tcPr>
            <w:tcW w:w="1520" w:type="dxa"/>
            <w:shd w:val="clear" w:color="auto" w:fill="auto"/>
            <w:noWrap/>
          </w:tcPr>
          <w:p w:rsidR="00B152E1" w:rsidRPr="00EA5516" w:rsidRDefault="00B152E1" w:rsidP="00B152E1">
            <w:pPr>
              <w:contextualSpacing/>
              <w:rPr>
                <w:rFonts w:ascii="Times New Roman" w:eastAsia="Times New Roman" w:hAnsi="Times New Roman" w:cs="Times New Roman"/>
                <w:b w:val="0"/>
                <w:color w:val="000000"/>
                <w:lang w:eastAsia="en-GB"/>
              </w:rPr>
            </w:pPr>
            <w:r w:rsidRPr="00EA5516">
              <w:rPr>
                <w:rFonts w:ascii="Times New Roman" w:eastAsia="Times New Roman" w:hAnsi="Times New Roman" w:cs="Times New Roman"/>
                <w:b w:val="0"/>
                <w:color w:val="000000"/>
                <w:lang w:eastAsia="en-GB"/>
              </w:rPr>
              <w:t>Low risk</w:t>
            </w:r>
          </w:p>
        </w:tc>
        <w:tc>
          <w:tcPr>
            <w:tcW w:w="1520" w:type="dxa"/>
            <w:shd w:val="clear" w:color="auto" w:fill="auto"/>
            <w:noWrap/>
          </w:tcPr>
          <w:p w:rsidR="00B152E1" w:rsidRPr="00EA5516" w:rsidRDefault="00B152E1" w:rsidP="00B152E1">
            <w:pPr>
              <w:contextualSpacing/>
              <w:rPr>
                <w:rFonts w:ascii="Times New Roman" w:eastAsia="Times New Roman" w:hAnsi="Times New Roman" w:cs="Times New Roman"/>
                <w:b w:val="0"/>
                <w:color w:val="000000"/>
                <w:lang w:eastAsia="en-GB"/>
              </w:rPr>
            </w:pPr>
            <w:r w:rsidRPr="00EA5516">
              <w:rPr>
                <w:rFonts w:ascii="Times New Roman" w:eastAsia="Times New Roman" w:hAnsi="Times New Roman" w:cs="Times New Roman"/>
                <w:b w:val="0"/>
                <w:color w:val="000000"/>
                <w:lang w:eastAsia="en-GB"/>
              </w:rPr>
              <w:t>High risk</w:t>
            </w:r>
          </w:p>
        </w:tc>
      </w:tr>
      <w:tr w:rsidR="00B152E1" w:rsidRPr="00EA5516" w:rsidTr="00B152E1">
        <w:trPr>
          <w:trHeight w:val="227"/>
        </w:trPr>
        <w:tc>
          <w:tcPr>
            <w:tcW w:w="2947" w:type="dxa"/>
            <w:shd w:val="clear" w:color="auto" w:fill="auto"/>
          </w:tcPr>
          <w:p w:rsidR="00B152E1" w:rsidRPr="00EA5516" w:rsidRDefault="00B152E1" w:rsidP="00B152E1">
            <w:pPr>
              <w:contextualSpacing/>
              <w:rPr>
                <w:rFonts w:ascii="Times New Roman" w:eastAsia="Times New Roman" w:hAnsi="Times New Roman" w:cs="Times New Roman"/>
                <w:b w:val="0"/>
                <w:color w:val="000000"/>
                <w:lang w:eastAsia="en-GB"/>
              </w:rPr>
            </w:pPr>
            <w:proofErr w:type="spellStart"/>
            <w:r w:rsidRPr="00EA5516">
              <w:rPr>
                <w:rFonts w:ascii="Times New Roman" w:eastAsia="MS Mincho" w:hAnsi="Times New Roman" w:cs="Times New Roman"/>
                <w:b w:val="0"/>
                <w:color w:val="000000"/>
                <w:lang w:val="en-CA"/>
              </w:rPr>
              <w:t>Albarracin</w:t>
            </w:r>
            <w:proofErr w:type="spellEnd"/>
            <w:r w:rsidRPr="00EA5516">
              <w:rPr>
                <w:rFonts w:ascii="Times New Roman" w:eastAsia="MS Mincho" w:hAnsi="Times New Roman" w:cs="Times New Roman"/>
                <w:b w:val="0"/>
                <w:color w:val="000000"/>
                <w:lang w:val="en-CA"/>
              </w:rPr>
              <w:t xml:space="preserve"> (2009); Study 2</w:t>
            </w:r>
          </w:p>
        </w:tc>
        <w:tc>
          <w:tcPr>
            <w:tcW w:w="1520" w:type="dxa"/>
            <w:shd w:val="clear" w:color="auto" w:fill="auto"/>
            <w:noWrap/>
          </w:tcPr>
          <w:p w:rsidR="00B152E1" w:rsidRPr="00EA5516" w:rsidRDefault="00B152E1" w:rsidP="00B152E1">
            <w:pPr>
              <w:contextualSpacing/>
              <w:rPr>
                <w:rFonts w:ascii="Times New Roman" w:eastAsia="Times New Roman" w:hAnsi="Times New Roman" w:cs="Times New Roman"/>
                <w:b w:val="0"/>
                <w:color w:val="000000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b w:val="0"/>
                <w:color w:val="000000"/>
                <w:lang w:eastAsia="en-GB"/>
              </w:rPr>
              <w:t>High</w:t>
            </w:r>
            <w:r w:rsidRPr="00EA5516">
              <w:rPr>
                <w:rFonts w:ascii="Times New Roman" w:eastAsia="Times New Roman" w:hAnsi="Times New Roman" w:cs="Times New Roman"/>
                <w:b w:val="0"/>
                <w:color w:val="000000"/>
                <w:lang w:eastAsia="en-GB"/>
              </w:rPr>
              <w:t xml:space="preserve"> risk</w:t>
            </w:r>
          </w:p>
        </w:tc>
        <w:tc>
          <w:tcPr>
            <w:tcW w:w="1520" w:type="dxa"/>
            <w:shd w:val="clear" w:color="auto" w:fill="auto"/>
            <w:noWrap/>
          </w:tcPr>
          <w:p w:rsidR="00B152E1" w:rsidRPr="00EA5516" w:rsidRDefault="00B152E1" w:rsidP="00B152E1">
            <w:pPr>
              <w:contextualSpacing/>
              <w:rPr>
                <w:rFonts w:ascii="Times New Roman" w:eastAsia="Times New Roman" w:hAnsi="Times New Roman" w:cs="Times New Roman"/>
                <w:b w:val="0"/>
                <w:color w:val="000000"/>
                <w:lang w:eastAsia="en-GB"/>
              </w:rPr>
            </w:pPr>
            <w:r w:rsidRPr="00EA5516">
              <w:rPr>
                <w:rFonts w:ascii="Times New Roman" w:eastAsia="Times New Roman" w:hAnsi="Times New Roman" w:cs="Times New Roman"/>
                <w:b w:val="0"/>
                <w:color w:val="000000"/>
                <w:lang w:eastAsia="en-GB"/>
              </w:rPr>
              <w:t>Unclear risk</w:t>
            </w:r>
          </w:p>
        </w:tc>
        <w:tc>
          <w:tcPr>
            <w:tcW w:w="1520" w:type="dxa"/>
            <w:shd w:val="clear" w:color="auto" w:fill="auto"/>
            <w:noWrap/>
          </w:tcPr>
          <w:p w:rsidR="00B152E1" w:rsidRPr="00B152E1" w:rsidRDefault="00B152E1" w:rsidP="00B152E1">
            <w:pPr>
              <w:contextualSpacing/>
              <w:rPr>
                <w:rFonts w:ascii="Times New Roman" w:eastAsia="Times New Roman" w:hAnsi="Times New Roman" w:cs="Times New Roman"/>
                <w:b w:val="0"/>
                <w:color w:val="000000"/>
                <w:lang w:eastAsia="en-GB"/>
              </w:rPr>
            </w:pPr>
            <w:r w:rsidRPr="00B152E1">
              <w:rPr>
                <w:rFonts w:ascii="Times New Roman" w:eastAsia="Times New Roman" w:hAnsi="Times New Roman" w:cs="Times New Roman"/>
                <w:b w:val="0"/>
                <w:color w:val="000000"/>
                <w:lang w:eastAsia="en-GB"/>
              </w:rPr>
              <w:t>High risk</w:t>
            </w:r>
          </w:p>
        </w:tc>
        <w:tc>
          <w:tcPr>
            <w:tcW w:w="1520" w:type="dxa"/>
          </w:tcPr>
          <w:p w:rsidR="00B152E1" w:rsidRPr="00B152E1" w:rsidRDefault="00B152E1" w:rsidP="00B152E1">
            <w:pPr>
              <w:rPr>
                <w:rFonts w:ascii="Times New Roman" w:hAnsi="Times New Roman" w:cs="Times New Roman"/>
                <w:b w:val="0"/>
              </w:rPr>
            </w:pPr>
            <w:r w:rsidRPr="00B152E1">
              <w:rPr>
                <w:rFonts w:ascii="Times New Roman" w:hAnsi="Times New Roman" w:cs="Times New Roman"/>
                <w:b w:val="0"/>
              </w:rPr>
              <w:t>High risk</w:t>
            </w:r>
          </w:p>
        </w:tc>
        <w:tc>
          <w:tcPr>
            <w:tcW w:w="1520" w:type="dxa"/>
            <w:shd w:val="clear" w:color="auto" w:fill="auto"/>
            <w:noWrap/>
          </w:tcPr>
          <w:p w:rsidR="00B152E1" w:rsidRPr="00EA5516" w:rsidRDefault="00B152E1" w:rsidP="00B152E1">
            <w:pPr>
              <w:contextualSpacing/>
              <w:rPr>
                <w:rFonts w:ascii="Times New Roman" w:eastAsia="Times New Roman" w:hAnsi="Times New Roman" w:cs="Times New Roman"/>
                <w:b w:val="0"/>
                <w:color w:val="000000"/>
                <w:lang w:eastAsia="en-GB"/>
              </w:rPr>
            </w:pPr>
            <w:r w:rsidRPr="00EA5516">
              <w:rPr>
                <w:rFonts w:ascii="Times New Roman" w:eastAsia="Times New Roman" w:hAnsi="Times New Roman" w:cs="Times New Roman"/>
                <w:b w:val="0"/>
                <w:color w:val="000000"/>
                <w:lang w:eastAsia="en-GB"/>
              </w:rPr>
              <w:t>Low risk</w:t>
            </w:r>
          </w:p>
        </w:tc>
        <w:tc>
          <w:tcPr>
            <w:tcW w:w="1520" w:type="dxa"/>
            <w:shd w:val="clear" w:color="auto" w:fill="auto"/>
            <w:noWrap/>
          </w:tcPr>
          <w:p w:rsidR="00B152E1" w:rsidRPr="00EA5516" w:rsidRDefault="00B152E1" w:rsidP="00B152E1">
            <w:pPr>
              <w:contextualSpacing/>
              <w:rPr>
                <w:rFonts w:ascii="Times New Roman" w:eastAsia="Times New Roman" w:hAnsi="Times New Roman" w:cs="Times New Roman"/>
                <w:b w:val="0"/>
                <w:color w:val="000000"/>
                <w:lang w:eastAsia="en-GB"/>
              </w:rPr>
            </w:pPr>
            <w:r w:rsidRPr="00EA5516">
              <w:rPr>
                <w:rFonts w:ascii="Times New Roman" w:eastAsia="Times New Roman" w:hAnsi="Times New Roman" w:cs="Times New Roman"/>
                <w:b w:val="0"/>
                <w:color w:val="000000"/>
                <w:lang w:eastAsia="en-GB"/>
              </w:rPr>
              <w:t>Low risk</w:t>
            </w:r>
          </w:p>
        </w:tc>
        <w:tc>
          <w:tcPr>
            <w:tcW w:w="1520" w:type="dxa"/>
            <w:shd w:val="clear" w:color="auto" w:fill="auto"/>
            <w:noWrap/>
          </w:tcPr>
          <w:p w:rsidR="00B152E1" w:rsidRPr="00EA5516" w:rsidRDefault="00B152E1" w:rsidP="00B152E1">
            <w:pPr>
              <w:contextualSpacing/>
              <w:rPr>
                <w:rFonts w:ascii="Times New Roman" w:eastAsia="Times New Roman" w:hAnsi="Times New Roman" w:cs="Times New Roman"/>
                <w:b w:val="0"/>
                <w:color w:val="000000"/>
                <w:lang w:eastAsia="en-GB"/>
              </w:rPr>
            </w:pPr>
            <w:r w:rsidRPr="00EA5516">
              <w:rPr>
                <w:rFonts w:ascii="Times New Roman" w:eastAsia="Times New Roman" w:hAnsi="Times New Roman" w:cs="Times New Roman"/>
                <w:b w:val="0"/>
                <w:color w:val="000000"/>
                <w:lang w:eastAsia="en-GB"/>
              </w:rPr>
              <w:t>High risk</w:t>
            </w:r>
          </w:p>
        </w:tc>
      </w:tr>
      <w:tr w:rsidR="00B152E1" w:rsidRPr="00EA5516" w:rsidTr="00B152E1">
        <w:trPr>
          <w:trHeight w:val="227"/>
        </w:trPr>
        <w:tc>
          <w:tcPr>
            <w:tcW w:w="2947" w:type="dxa"/>
            <w:shd w:val="clear" w:color="auto" w:fill="auto"/>
          </w:tcPr>
          <w:p w:rsidR="00B152E1" w:rsidRPr="00EA5516" w:rsidRDefault="00B152E1" w:rsidP="00B152E1">
            <w:pPr>
              <w:contextualSpacing/>
              <w:rPr>
                <w:rFonts w:ascii="Times New Roman" w:eastAsia="Times New Roman" w:hAnsi="Times New Roman" w:cs="Times New Roman"/>
                <w:b w:val="0"/>
                <w:color w:val="000000"/>
                <w:lang w:eastAsia="en-GB"/>
              </w:rPr>
            </w:pPr>
            <w:r w:rsidRPr="00EA5516">
              <w:rPr>
                <w:rFonts w:ascii="Times New Roman" w:eastAsia="MS Mincho" w:hAnsi="Times New Roman" w:cs="Times New Roman"/>
                <w:b w:val="0"/>
                <w:color w:val="000000"/>
                <w:lang w:val="en-CA"/>
              </w:rPr>
              <w:t>Boland (2013); Study 2</w:t>
            </w:r>
          </w:p>
        </w:tc>
        <w:tc>
          <w:tcPr>
            <w:tcW w:w="1520" w:type="dxa"/>
            <w:shd w:val="clear" w:color="auto" w:fill="auto"/>
            <w:noWrap/>
          </w:tcPr>
          <w:p w:rsidR="00B152E1" w:rsidRPr="00EA5516" w:rsidRDefault="00B152E1" w:rsidP="00B152E1">
            <w:pPr>
              <w:contextualSpacing/>
              <w:rPr>
                <w:rFonts w:ascii="Times New Roman" w:eastAsia="Times New Roman" w:hAnsi="Times New Roman" w:cs="Times New Roman"/>
                <w:b w:val="0"/>
                <w:color w:val="000000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b w:val="0"/>
                <w:color w:val="000000"/>
                <w:lang w:eastAsia="en-GB"/>
              </w:rPr>
              <w:t>High</w:t>
            </w:r>
            <w:r w:rsidRPr="00EA5516">
              <w:rPr>
                <w:rFonts w:ascii="Times New Roman" w:eastAsia="Times New Roman" w:hAnsi="Times New Roman" w:cs="Times New Roman"/>
                <w:b w:val="0"/>
                <w:color w:val="000000"/>
                <w:lang w:eastAsia="en-GB"/>
              </w:rPr>
              <w:t xml:space="preserve"> risk</w:t>
            </w:r>
          </w:p>
        </w:tc>
        <w:tc>
          <w:tcPr>
            <w:tcW w:w="1520" w:type="dxa"/>
            <w:shd w:val="clear" w:color="auto" w:fill="auto"/>
            <w:noWrap/>
          </w:tcPr>
          <w:p w:rsidR="00B152E1" w:rsidRPr="00EA5516" w:rsidRDefault="00B152E1" w:rsidP="00B152E1">
            <w:pPr>
              <w:contextualSpacing/>
              <w:rPr>
                <w:rFonts w:ascii="Times New Roman" w:eastAsia="Times New Roman" w:hAnsi="Times New Roman" w:cs="Times New Roman"/>
                <w:b w:val="0"/>
                <w:color w:val="000000"/>
                <w:lang w:eastAsia="en-GB"/>
              </w:rPr>
            </w:pPr>
            <w:r w:rsidRPr="00EA5516">
              <w:rPr>
                <w:rFonts w:ascii="Times New Roman" w:eastAsia="Times New Roman" w:hAnsi="Times New Roman" w:cs="Times New Roman"/>
                <w:b w:val="0"/>
                <w:color w:val="000000"/>
                <w:lang w:eastAsia="en-GB"/>
              </w:rPr>
              <w:t>Unclear risk</w:t>
            </w:r>
          </w:p>
        </w:tc>
        <w:tc>
          <w:tcPr>
            <w:tcW w:w="1520" w:type="dxa"/>
            <w:shd w:val="clear" w:color="auto" w:fill="auto"/>
            <w:noWrap/>
          </w:tcPr>
          <w:p w:rsidR="00B152E1" w:rsidRPr="00B152E1" w:rsidRDefault="00B152E1" w:rsidP="00B152E1">
            <w:pPr>
              <w:contextualSpacing/>
              <w:rPr>
                <w:rFonts w:ascii="Times New Roman" w:eastAsia="Times New Roman" w:hAnsi="Times New Roman" w:cs="Times New Roman"/>
                <w:b w:val="0"/>
                <w:color w:val="000000"/>
                <w:lang w:eastAsia="en-GB"/>
              </w:rPr>
            </w:pPr>
            <w:r w:rsidRPr="00B152E1">
              <w:rPr>
                <w:rFonts w:ascii="Times New Roman" w:eastAsia="Times New Roman" w:hAnsi="Times New Roman" w:cs="Times New Roman"/>
                <w:b w:val="0"/>
                <w:color w:val="000000"/>
                <w:lang w:eastAsia="en-GB"/>
              </w:rPr>
              <w:t>Low risk</w:t>
            </w:r>
          </w:p>
        </w:tc>
        <w:tc>
          <w:tcPr>
            <w:tcW w:w="1520" w:type="dxa"/>
          </w:tcPr>
          <w:p w:rsidR="00B152E1" w:rsidRPr="00B152E1" w:rsidRDefault="00B152E1" w:rsidP="00B152E1">
            <w:pPr>
              <w:rPr>
                <w:rFonts w:ascii="Times New Roman" w:hAnsi="Times New Roman" w:cs="Times New Roman"/>
                <w:b w:val="0"/>
              </w:rPr>
            </w:pPr>
            <w:r w:rsidRPr="00B152E1">
              <w:rPr>
                <w:rFonts w:ascii="Times New Roman" w:hAnsi="Times New Roman" w:cs="Times New Roman"/>
                <w:b w:val="0"/>
              </w:rPr>
              <w:t>High risk</w:t>
            </w:r>
          </w:p>
        </w:tc>
        <w:tc>
          <w:tcPr>
            <w:tcW w:w="1520" w:type="dxa"/>
            <w:shd w:val="clear" w:color="auto" w:fill="auto"/>
            <w:noWrap/>
          </w:tcPr>
          <w:p w:rsidR="00B152E1" w:rsidRPr="00EA5516" w:rsidRDefault="00B152E1" w:rsidP="00B152E1">
            <w:pPr>
              <w:contextualSpacing/>
              <w:rPr>
                <w:rFonts w:ascii="Times New Roman" w:eastAsia="Times New Roman" w:hAnsi="Times New Roman" w:cs="Times New Roman"/>
                <w:b w:val="0"/>
                <w:color w:val="000000"/>
                <w:lang w:eastAsia="en-GB"/>
              </w:rPr>
            </w:pPr>
            <w:r w:rsidRPr="00EA5516">
              <w:rPr>
                <w:rFonts w:ascii="Times New Roman" w:eastAsia="Times New Roman" w:hAnsi="Times New Roman" w:cs="Times New Roman"/>
                <w:b w:val="0"/>
                <w:color w:val="000000"/>
                <w:lang w:eastAsia="en-GB"/>
              </w:rPr>
              <w:t>Low risk</w:t>
            </w:r>
          </w:p>
        </w:tc>
        <w:tc>
          <w:tcPr>
            <w:tcW w:w="1520" w:type="dxa"/>
            <w:shd w:val="clear" w:color="auto" w:fill="auto"/>
            <w:noWrap/>
          </w:tcPr>
          <w:p w:rsidR="00B152E1" w:rsidRPr="00EA5516" w:rsidRDefault="00B152E1" w:rsidP="00B152E1">
            <w:pPr>
              <w:contextualSpacing/>
              <w:rPr>
                <w:rFonts w:ascii="Times New Roman" w:eastAsia="Times New Roman" w:hAnsi="Times New Roman" w:cs="Times New Roman"/>
                <w:b w:val="0"/>
                <w:color w:val="000000"/>
                <w:lang w:eastAsia="en-GB"/>
              </w:rPr>
            </w:pPr>
            <w:r w:rsidRPr="00EA5516">
              <w:rPr>
                <w:rFonts w:ascii="Times New Roman" w:eastAsia="Times New Roman" w:hAnsi="Times New Roman" w:cs="Times New Roman"/>
                <w:b w:val="0"/>
                <w:color w:val="000000"/>
                <w:lang w:eastAsia="en-GB"/>
              </w:rPr>
              <w:t>Low risk</w:t>
            </w:r>
          </w:p>
        </w:tc>
        <w:tc>
          <w:tcPr>
            <w:tcW w:w="1520" w:type="dxa"/>
            <w:shd w:val="clear" w:color="auto" w:fill="auto"/>
            <w:noWrap/>
          </w:tcPr>
          <w:p w:rsidR="00B152E1" w:rsidRPr="00EA5516" w:rsidRDefault="00B152E1" w:rsidP="00B152E1">
            <w:pPr>
              <w:contextualSpacing/>
              <w:rPr>
                <w:rFonts w:ascii="Times New Roman" w:eastAsia="Times New Roman" w:hAnsi="Times New Roman" w:cs="Times New Roman"/>
                <w:b w:val="0"/>
                <w:color w:val="000000"/>
                <w:lang w:eastAsia="en-GB"/>
              </w:rPr>
            </w:pPr>
            <w:r w:rsidRPr="00EA5516">
              <w:rPr>
                <w:rFonts w:ascii="Times New Roman" w:eastAsia="Times New Roman" w:hAnsi="Times New Roman" w:cs="Times New Roman"/>
                <w:b w:val="0"/>
                <w:color w:val="000000"/>
                <w:lang w:eastAsia="en-GB"/>
              </w:rPr>
              <w:t>High risk</w:t>
            </w:r>
          </w:p>
        </w:tc>
      </w:tr>
      <w:tr w:rsidR="00B152E1" w:rsidRPr="00EA5516" w:rsidTr="00B152E1">
        <w:trPr>
          <w:trHeight w:val="227"/>
        </w:trPr>
        <w:tc>
          <w:tcPr>
            <w:tcW w:w="2947" w:type="dxa"/>
            <w:shd w:val="clear" w:color="auto" w:fill="auto"/>
          </w:tcPr>
          <w:p w:rsidR="00B152E1" w:rsidRPr="00EA5516" w:rsidRDefault="00B152E1" w:rsidP="00B152E1">
            <w:pPr>
              <w:contextualSpacing/>
              <w:rPr>
                <w:rFonts w:ascii="Times New Roman" w:eastAsia="MS Mincho" w:hAnsi="Times New Roman" w:cs="Times New Roman"/>
                <w:b w:val="0"/>
                <w:color w:val="000000"/>
                <w:lang w:val="en-CA"/>
              </w:rPr>
            </w:pPr>
            <w:r w:rsidRPr="00EA5516">
              <w:rPr>
                <w:rFonts w:ascii="Times New Roman" w:eastAsia="MS Mincho" w:hAnsi="Times New Roman" w:cs="Times New Roman"/>
                <w:b w:val="0"/>
                <w:color w:val="000000"/>
                <w:lang w:val="en-CA"/>
              </w:rPr>
              <w:t>Bourn (2015)</w:t>
            </w:r>
          </w:p>
        </w:tc>
        <w:tc>
          <w:tcPr>
            <w:tcW w:w="1520" w:type="dxa"/>
            <w:shd w:val="clear" w:color="auto" w:fill="auto"/>
            <w:noWrap/>
          </w:tcPr>
          <w:p w:rsidR="00B152E1" w:rsidRPr="00EA5516" w:rsidRDefault="00B152E1" w:rsidP="00B152E1">
            <w:pPr>
              <w:contextualSpacing/>
              <w:rPr>
                <w:rFonts w:ascii="Times New Roman" w:eastAsia="Times New Roman" w:hAnsi="Times New Roman" w:cs="Times New Roman"/>
                <w:b w:val="0"/>
                <w:color w:val="000000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b w:val="0"/>
                <w:color w:val="000000"/>
                <w:lang w:eastAsia="en-GB"/>
              </w:rPr>
              <w:t>High</w:t>
            </w:r>
            <w:r w:rsidRPr="00EA5516">
              <w:rPr>
                <w:rFonts w:ascii="Times New Roman" w:eastAsia="Times New Roman" w:hAnsi="Times New Roman" w:cs="Times New Roman"/>
                <w:b w:val="0"/>
                <w:color w:val="000000"/>
                <w:lang w:eastAsia="en-GB"/>
              </w:rPr>
              <w:t xml:space="preserve"> risk</w:t>
            </w:r>
          </w:p>
        </w:tc>
        <w:tc>
          <w:tcPr>
            <w:tcW w:w="1520" w:type="dxa"/>
            <w:shd w:val="clear" w:color="auto" w:fill="auto"/>
            <w:noWrap/>
          </w:tcPr>
          <w:p w:rsidR="00B152E1" w:rsidRPr="00EA5516" w:rsidRDefault="00B152E1" w:rsidP="00B152E1">
            <w:pPr>
              <w:contextualSpacing/>
              <w:rPr>
                <w:rFonts w:ascii="Times New Roman" w:eastAsia="Times New Roman" w:hAnsi="Times New Roman" w:cs="Times New Roman"/>
                <w:b w:val="0"/>
                <w:color w:val="000000"/>
                <w:lang w:eastAsia="en-GB"/>
              </w:rPr>
            </w:pPr>
            <w:r w:rsidRPr="00EA5516">
              <w:rPr>
                <w:rFonts w:ascii="Times New Roman" w:eastAsia="Times New Roman" w:hAnsi="Times New Roman" w:cs="Times New Roman"/>
                <w:b w:val="0"/>
                <w:color w:val="000000"/>
                <w:lang w:eastAsia="en-GB"/>
              </w:rPr>
              <w:t>Unclear risk</w:t>
            </w:r>
          </w:p>
        </w:tc>
        <w:tc>
          <w:tcPr>
            <w:tcW w:w="1520" w:type="dxa"/>
            <w:shd w:val="clear" w:color="auto" w:fill="auto"/>
            <w:noWrap/>
          </w:tcPr>
          <w:p w:rsidR="00B152E1" w:rsidRPr="00B152E1" w:rsidRDefault="00B152E1" w:rsidP="00B152E1">
            <w:pPr>
              <w:contextualSpacing/>
              <w:rPr>
                <w:rFonts w:ascii="Times New Roman" w:eastAsia="Times New Roman" w:hAnsi="Times New Roman" w:cs="Times New Roman"/>
                <w:b w:val="0"/>
                <w:color w:val="000000"/>
                <w:lang w:eastAsia="en-GB"/>
              </w:rPr>
            </w:pPr>
            <w:r w:rsidRPr="00B152E1">
              <w:rPr>
                <w:rFonts w:ascii="Times New Roman" w:eastAsia="Times New Roman" w:hAnsi="Times New Roman" w:cs="Times New Roman"/>
                <w:b w:val="0"/>
                <w:color w:val="000000"/>
                <w:lang w:eastAsia="en-GB"/>
              </w:rPr>
              <w:t>High risk</w:t>
            </w:r>
          </w:p>
        </w:tc>
        <w:tc>
          <w:tcPr>
            <w:tcW w:w="1520" w:type="dxa"/>
          </w:tcPr>
          <w:p w:rsidR="00B152E1" w:rsidRPr="00B152E1" w:rsidRDefault="00B152E1" w:rsidP="00B152E1">
            <w:pPr>
              <w:rPr>
                <w:rFonts w:ascii="Times New Roman" w:hAnsi="Times New Roman" w:cs="Times New Roman"/>
                <w:b w:val="0"/>
              </w:rPr>
            </w:pPr>
            <w:r w:rsidRPr="00B152E1">
              <w:rPr>
                <w:rFonts w:ascii="Times New Roman" w:hAnsi="Times New Roman" w:cs="Times New Roman"/>
                <w:b w:val="0"/>
              </w:rPr>
              <w:t>High risk</w:t>
            </w:r>
          </w:p>
        </w:tc>
        <w:tc>
          <w:tcPr>
            <w:tcW w:w="1520" w:type="dxa"/>
            <w:shd w:val="clear" w:color="auto" w:fill="auto"/>
            <w:noWrap/>
          </w:tcPr>
          <w:p w:rsidR="00B152E1" w:rsidRPr="00EA5516" w:rsidRDefault="00B152E1" w:rsidP="00B152E1">
            <w:pPr>
              <w:contextualSpacing/>
              <w:rPr>
                <w:rFonts w:ascii="Times New Roman" w:eastAsia="Times New Roman" w:hAnsi="Times New Roman" w:cs="Times New Roman"/>
                <w:b w:val="0"/>
                <w:color w:val="000000"/>
                <w:lang w:eastAsia="en-GB"/>
              </w:rPr>
            </w:pPr>
            <w:r w:rsidRPr="00EA5516">
              <w:rPr>
                <w:rFonts w:ascii="Times New Roman" w:eastAsia="Times New Roman" w:hAnsi="Times New Roman" w:cs="Times New Roman"/>
                <w:b w:val="0"/>
                <w:color w:val="000000"/>
                <w:lang w:eastAsia="en-GB"/>
              </w:rPr>
              <w:t>Low risk</w:t>
            </w:r>
          </w:p>
        </w:tc>
        <w:tc>
          <w:tcPr>
            <w:tcW w:w="1520" w:type="dxa"/>
            <w:shd w:val="clear" w:color="auto" w:fill="auto"/>
            <w:noWrap/>
          </w:tcPr>
          <w:p w:rsidR="00B152E1" w:rsidRPr="00EA5516" w:rsidRDefault="00B152E1" w:rsidP="00B152E1">
            <w:pPr>
              <w:contextualSpacing/>
              <w:rPr>
                <w:rFonts w:ascii="Times New Roman" w:eastAsia="Times New Roman" w:hAnsi="Times New Roman" w:cs="Times New Roman"/>
                <w:b w:val="0"/>
                <w:color w:val="000000"/>
                <w:lang w:eastAsia="en-GB"/>
              </w:rPr>
            </w:pPr>
            <w:r w:rsidRPr="00EA5516">
              <w:rPr>
                <w:rFonts w:ascii="Times New Roman" w:eastAsia="Times New Roman" w:hAnsi="Times New Roman" w:cs="Times New Roman"/>
                <w:b w:val="0"/>
                <w:color w:val="000000"/>
                <w:lang w:eastAsia="en-GB"/>
              </w:rPr>
              <w:t>Low risk</w:t>
            </w:r>
          </w:p>
        </w:tc>
        <w:tc>
          <w:tcPr>
            <w:tcW w:w="1520" w:type="dxa"/>
            <w:shd w:val="clear" w:color="auto" w:fill="auto"/>
            <w:noWrap/>
          </w:tcPr>
          <w:p w:rsidR="00B152E1" w:rsidRPr="00EA5516" w:rsidRDefault="00B152E1" w:rsidP="00B152E1">
            <w:pPr>
              <w:contextualSpacing/>
              <w:rPr>
                <w:rFonts w:ascii="Times New Roman" w:eastAsia="Times New Roman" w:hAnsi="Times New Roman" w:cs="Times New Roman"/>
                <w:b w:val="0"/>
                <w:color w:val="000000"/>
                <w:lang w:eastAsia="en-GB"/>
              </w:rPr>
            </w:pPr>
            <w:r w:rsidRPr="00EA5516">
              <w:rPr>
                <w:rFonts w:ascii="Times New Roman" w:eastAsia="Times New Roman" w:hAnsi="Times New Roman" w:cs="Times New Roman"/>
                <w:b w:val="0"/>
                <w:color w:val="000000"/>
                <w:lang w:eastAsia="en-GB"/>
              </w:rPr>
              <w:t>High risk</w:t>
            </w:r>
          </w:p>
        </w:tc>
      </w:tr>
      <w:tr w:rsidR="00B152E1" w:rsidRPr="00EA5516" w:rsidTr="00B152E1">
        <w:trPr>
          <w:trHeight w:val="227"/>
        </w:trPr>
        <w:tc>
          <w:tcPr>
            <w:tcW w:w="2947" w:type="dxa"/>
            <w:shd w:val="clear" w:color="auto" w:fill="auto"/>
          </w:tcPr>
          <w:p w:rsidR="00B152E1" w:rsidRPr="00EA5516" w:rsidRDefault="00B152E1" w:rsidP="00B152E1">
            <w:pPr>
              <w:contextualSpacing/>
              <w:rPr>
                <w:rFonts w:ascii="Times New Roman" w:eastAsia="Times New Roman" w:hAnsi="Times New Roman" w:cs="Times New Roman"/>
                <w:b w:val="0"/>
                <w:color w:val="000000"/>
                <w:lang w:eastAsia="en-GB"/>
              </w:rPr>
            </w:pPr>
            <w:r w:rsidRPr="00EA5516">
              <w:rPr>
                <w:rFonts w:ascii="Times New Roman" w:eastAsia="Times New Roman" w:hAnsi="Times New Roman" w:cs="Times New Roman"/>
                <w:b w:val="0"/>
                <w:color w:val="000000"/>
                <w:lang w:eastAsia="en-GB"/>
              </w:rPr>
              <w:t>Boyce (2013)</w:t>
            </w:r>
          </w:p>
        </w:tc>
        <w:tc>
          <w:tcPr>
            <w:tcW w:w="1520" w:type="dxa"/>
            <w:shd w:val="clear" w:color="auto" w:fill="auto"/>
            <w:noWrap/>
          </w:tcPr>
          <w:p w:rsidR="00B152E1" w:rsidRPr="00EA5516" w:rsidRDefault="00B152E1" w:rsidP="00B152E1">
            <w:pPr>
              <w:contextualSpacing/>
              <w:rPr>
                <w:rFonts w:ascii="Times New Roman" w:eastAsia="Times New Roman" w:hAnsi="Times New Roman" w:cs="Times New Roman"/>
                <w:b w:val="0"/>
                <w:color w:val="000000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b w:val="0"/>
                <w:color w:val="000000"/>
                <w:lang w:eastAsia="en-GB"/>
              </w:rPr>
              <w:t>High</w:t>
            </w:r>
            <w:r w:rsidRPr="00EA5516">
              <w:rPr>
                <w:rFonts w:ascii="Times New Roman" w:eastAsia="Times New Roman" w:hAnsi="Times New Roman" w:cs="Times New Roman"/>
                <w:b w:val="0"/>
                <w:color w:val="000000"/>
                <w:lang w:eastAsia="en-GB"/>
              </w:rPr>
              <w:t xml:space="preserve"> risk</w:t>
            </w:r>
          </w:p>
        </w:tc>
        <w:tc>
          <w:tcPr>
            <w:tcW w:w="1520" w:type="dxa"/>
            <w:shd w:val="clear" w:color="auto" w:fill="auto"/>
            <w:noWrap/>
          </w:tcPr>
          <w:p w:rsidR="00B152E1" w:rsidRPr="00EA5516" w:rsidRDefault="00B152E1" w:rsidP="00B152E1">
            <w:pPr>
              <w:contextualSpacing/>
              <w:rPr>
                <w:rFonts w:ascii="Times New Roman" w:eastAsia="Times New Roman" w:hAnsi="Times New Roman" w:cs="Times New Roman"/>
                <w:b w:val="0"/>
                <w:color w:val="000000"/>
                <w:lang w:eastAsia="en-GB"/>
              </w:rPr>
            </w:pPr>
            <w:r w:rsidRPr="00EA5516">
              <w:rPr>
                <w:rFonts w:ascii="Times New Roman" w:eastAsia="Times New Roman" w:hAnsi="Times New Roman" w:cs="Times New Roman"/>
                <w:b w:val="0"/>
                <w:color w:val="000000"/>
                <w:lang w:eastAsia="en-GB"/>
              </w:rPr>
              <w:t>Unclear risk</w:t>
            </w:r>
          </w:p>
        </w:tc>
        <w:tc>
          <w:tcPr>
            <w:tcW w:w="1520" w:type="dxa"/>
            <w:shd w:val="clear" w:color="auto" w:fill="auto"/>
            <w:noWrap/>
          </w:tcPr>
          <w:p w:rsidR="00B152E1" w:rsidRPr="00B152E1" w:rsidRDefault="00B152E1" w:rsidP="00B152E1">
            <w:pPr>
              <w:contextualSpacing/>
              <w:rPr>
                <w:rFonts w:ascii="Times New Roman" w:eastAsia="Times New Roman" w:hAnsi="Times New Roman" w:cs="Times New Roman"/>
                <w:b w:val="0"/>
                <w:color w:val="000000"/>
                <w:lang w:eastAsia="en-GB"/>
              </w:rPr>
            </w:pPr>
            <w:r w:rsidRPr="00B152E1">
              <w:rPr>
                <w:rFonts w:ascii="Times New Roman" w:eastAsia="Times New Roman" w:hAnsi="Times New Roman" w:cs="Times New Roman"/>
                <w:b w:val="0"/>
                <w:color w:val="000000"/>
                <w:lang w:eastAsia="en-GB"/>
              </w:rPr>
              <w:t>Low risk</w:t>
            </w:r>
          </w:p>
        </w:tc>
        <w:tc>
          <w:tcPr>
            <w:tcW w:w="1520" w:type="dxa"/>
          </w:tcPr>
          <w:p w:rsidR="00B152E1" w:rsidRPr="00B152E1" w:rsidRDefault="00B152E1" w:rsidP="00B152E1">
            <w:pPr>
              <w:rPr>
                <w:rFonts w:ascii="Times New Roman" w:hAnsi="Times New Roman" w:cs="Times New Roman"/>
                <w:b w:val="0"/>
              </w:rPr>
            </w:pPr>
            <w:r w:rsidRPr="00B152E1">
              <w:rPr>
                <w:rFonts w:ascii="Times New Roman" w:hAnsi="Times New Roman" w:cs="Times New Roman"/>
                <w:b w:val="0"/>
              </w:rPr>
              <w:t>High risk</w:t>
            </w:r>
          </w:p>
        </w:tc>
        <w:tc>
          <w:tcPr>
            <w:tcW w:w="1520" w:type="dxa"/>
            <w:shd w:val="clear" w:color="auto" w:fill="auto"/>
            <w:noWrap/>
          </w:tcPr>
          <w:p w:rsidR="00B152E1" w:rsidRPr="00EA5516" w:rsidRDefault="00B152E1" w:rsidP="00B152E1">
            <w:pPr>
              <w:contextualSpacing/>
              <w:rPr>
                <w:rFonts w:ascii="Times New Roman" w:eastAsia="Times New Roman" w:hAnsi="Times New Roman" w:cs="Times New Roman"/>
                <w:b w:val="0"/>
                <w:color w:val="000000"/>
                <w:lang w:eastAsia="en-GB"/>
              </w:rPr>
            </w:pPr>
            <w:r w:rsidRPr="00EA5516">
              <w:rPr>
                <w:rFonts w:ascii="Times New Roman" w:eastAsia="Times New Roman" w:hAnsi="Times New Roman" w:cs="Times New Roman"/>
                <w:b w:val="0"/>
                <w:color w:val="000000"/>
                <w:lang w:eastAsia="en-GB"/>
              </w:rPr>
              <w:t>High risk</w:t>
            </w:r>
          </w:p>
        </w:tc>
        <w:tc>
          <w:tcPr>
            <w:tcW w:w="1520" w:type="dxa"/>
            <w:shd w:val="clear" w:color="auto" w:fill="auto"/>
            <w:noWrap/>
          </w:tcPr>
          <w:p w:rsidR="00B152E1" w:rsidRPr="00EA5516" w:rsidRDefault="00B152E1" w:rsidP="00B152E1">
            <w:pPr>
              <w:contextualSpacing/>
              <w:rPr>
                <w:rFonts w:ascii="Times New Roman" w:eastAsia="Times New Roman" w:hAnsi="Times New Roman" w:cs="Times New Roman"/>
                <w:b w:val="0"/>
                <w:color w:val="000000"/>
                <w:lang w:eastAsia="en-GB"/>
              </w:rPr>
            </w:pPr>
            <w:r w:rsidRPr="00EA5516">
              <w:rPr>
                <w:rFonts w:ascii="Times New Roman" w:eastAsia="Times New Roman" w:hAnsi="Times New Roman" w:cs="Times New Roman"/>
                <w:b w:val="0"/>
                <w:color w:val="000000"/>
                <w:lang w:eastAsia="en-GB"/>
              </w:rPr>
              <w:t>Low risk</w:t>
            </w:r>
          </w:p>
        </w:tc>
        <w:tc>
          <w:tcPr>
            <w:tcW w:w="1520" w:type="dxa"/>
            <w:shd w:val="clear" w:color="auto" w:fill="auto"/>
            <w:noWrap/>
          </w:tcPr>
          <w:p w:rsidR="00B152E1" w:rsidRPr="00EA5516" w:rsidRDefault="00B152E1" w:rsidP="00B152E1">
            <w:pPr>
              <w:contextualSpacing/>
              <w:rPr>
                <w:rFonts w:ascii="Times New Roman" w:eastAsia="Times New Roman" w:hAnsi="Times New Roman" w:cs="Times New Roman"/>
                <w:b w:val="0"/>
                <w:color w:val="000000"/>
                <w:lang w:eastAsia="en-GB"/>
              </w:rPr>
            </w:pPr>
            <w:r w:rsidRPr="00EA5516">
              <w:rPr>
                <w:rFonts w:ascii="Times New Roman" w:eastAsia="Times New Roman" w:hAnsi="Times New Roman" w:cs="Times New Roman"/>
                <w:b w:val="0"/>
                <w:color w:val="000000"/>
                <w:lang w:eastAsia="en-GB"/>
              </w:rPr>
              <w:t>Low risk</w:t>
            </w:r>
          </w:p>
        </w:tc>
      </w:tr>
      <w:tr w:rsidR="00B152E1" w:rsidRPr="00EA5516" w:rsidTr="00B152E1">
        <w:trPr>
          <w:trHeight w:val="227"/>
        </w:trPr>
        <w:tc>
          <w:tcPr>
            <w:tcW w:w="2947" w:type="dxa"/>
            <w:shd w:val="clear" w:color="auto" w:fill="auto"/>
          </w:tcPr>
          <w:p w:rsidR="00B152E1" w:rsidRPr="00EA5516" w:rsidRDefault="00B152E1" w:rsidP="00B152E1">
            <w:pPr>
              <w:contextualSpacing/>
              <w:rPr>
                <w:rFonts w:ascii="Times New Roman" w:eastAsia="Times New Roman" w:hAnsi="Times New Roman" w:cs="Times New Roman"/>
                <w:b w:val="0"/>
                <w:color w:val="000000"/>
                <w:lang w:eastAsia="en-GB"/>
              </w:rPr>
            </w:pPr>
            <w:r w:rsidRPr="00EA5516">
              <w:rPr>
                <w:rFonts w:ascii="Times New Roman" w:eastAsia="Times New Roman" w:hAnsi="Times New Roman" w:cs="Times New Roman"/>
                <w:b w:val="0"/>
                <w:color w:val="000000"/>
                <w:lang w:eastAsia="en-GB"/>
              </w:rPr>
              <w:t>Boyce (2014)</w:t>
            </w:r>
          </w:p>
        </w:tc>
        <w:tc>
          <w:tcPr>
            <w:tcW w:w="1520" w:type="dxa"/>
            <w:shd w:val="clear" w:color="auto" w:fill="auto"/>
            <w:noWrap/>
          </w:tcPr>
          <w:p w:rsidR="00B152E1" w:rsidRPr="00EA5516" w:rsidRDefault="00B152E1" w:rsidP="00B152E1">
            <w:pPr>
              <w:contextualSpacing/>
              <w:rPr>
                <w:rFonts w:ascii="Times New Roman" w:eastAsia="Times New Roman" w:hAnsi="Times New Roman" w:cs="Times New Roman"/>
                <w:b w:val="0"/>
                <w:color w:val="000000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b w:val="0"/>
                <w:color w:val="000000"/>
                <w:lang w:eastAsia="en-GB"/>
              </w:rPr>
              <w:t>High</w:t>
            </w:r>
            <w:r w:rsidRPr="00EA5516">
              <w:rPr>
                <w:rFonts w:ascii="Times New Roman" w:eastAsia="Times New Roman" w:hAnsi="Times New Roman" w:cs="Times New Roman"/>
                <w:b w:val="0"/>
                <w:color w:val="000000"/>
                <w:lang w:eastAsia="en-GB"/>
              </w:rPr>
              <w:t xml:space="preserve"> risk</w:t>
            </w:r>
          </w:p>
        </w:tc>
        <w:tc>
          <w:tcPr>
            <w:tcW w:w="1520" w:type="dxa"/>
            <w:shd w:val="clear" w:color="auto" w:fill="auto"/>
            <w:noWrap/>
          </w:tcPr>
          <w:p w:rsidR="00B152E1" w:rsidRPr="00EA5516" w:rsidRDefault="00B152E1" w:rsidP="00B152E1">
            <w:pPr>
              <w:contextualSpacing/>
              <w:rPr>
                <w:rFonts w:ascii="Times New Roman" w:eastAsia="Times New Roman" w:hAnsi="Times New Roman" w:cs="Times New Roman"/>
                <w:b w:val="0"/>
                <w:color w:val="000000"/>
                <w:lang w:eastAsia="en-GB"/>
              </w:rPr>
            </w:pPr>
            <w:r w:rsidRPr="00EA5516">
              <w:rPr>
                <w:rFonts w:ascii="Times New Roman" w:eastAsia="Times New Roman" w:hAnsi="Times New Roman" w:cs="Times New Roman"/>
                <w:b w:val="0"/>
                <w:color w:val="000000"/>
                <w:lang w:eastAsia="en-GB"/>
              </w:rPr>
              <w:t>Unclear risk</w:t>
            </w:r>
          </w:p>
        </w:tc>
        <w:tc>
          <w:tcPr>
            <w:tcW w:w="1520" w:type="dxa"/>
            <w:shd w:val="clear" w:color="auto" w:fill="auto"/>
            <w:noWrap/>
          </w:tcPr>
          <w:p w:rsidR="00B152E1" w:rsidRPr="00B152E1" w:rsidRDefault="00B152E1" w:rsidP="00B152E1">
            <w:pPr>
              <w:contextualSpacing/>
              <w:rPr>
                <w:rFonts w:ascii="Times New Roman" w:eastAsia="Times New Roman" w:hAnsi="Times New Roman" w:cs="Times New Roman"/>
                <w:b w:val="0"/>
                <w:color w:val="000000"/>
                <w:lang w:eastAsia="en-GB"/>
              </w:rPr>
            </w:pPr>
            <w:r w:rsidRPr="00B152E1">
              <w:rPr>
                <w:rFonts w:ascii="Times New Roman" w:eastAsia="Times New Roman" w:hAnsi="Times New Roman" w:cs="Times New Roman"/>
                <w:b w:val="0"/>
                <w:color w:val="000000"/>
                <w:lang w:eastAsia="en-GB"/>
              </w:rPr>
              <w:t>Low risk</w:t>
            </w:r>
          </w:p>
        </w:tc>
        <w:tc>
          <w:tcPr>
            <w:tcW w:w="1520" w:type="dxa"/>
          </w:tcPr>
          <w:p w:rsidR="00B152E1" w:rsidRPr="00B152E1" w:rsidRDefault="00B152E1" w:rsidP="00B152E1">
            <w:pPr>
              <w:rPr>
                <w:rFonts w:ascii="Times New Roman" w:hAnsi="Times New Roman" w:cs="Times New Roman"/>
                <w:b w:val="0"/>
              </w:rPr>
            </w:pPr>
            <w:r w:rsidRPr="00B152E1">
              <w:rPr>
                <w:rFonts w:ascii="Times New Roman" w:hAnsi="Times New Roman" w:cs="Times New Roman"/>
                <w:b w:val="0"/>
              </w:rPr>
              <w:t>High risk</w:t>
            </w:r>
          </w:p>
        </w:tc>
        <w:tc>
          <w:tcPr>
            <w:tcW w:w="1520" w:type="dxa"/>
            <w:shd w:val="clear" w:color="auto" w:fill="auto"/>
            <w:noWrap/>
          </w:tcPr>
          <w:p w:rsidR="00B152E1" w:rsidRPr="00EA5516" w:rsidRDefault="00B152E1" w:rsidP="00B152E1">
            <w:pPr>
              <w:contextualSpacing/>
              <w:rPr>
                <w:rFonts w:ascii="Times New Roman" w:eastAsia="Times New Roman" w:hAnsi="Times New Roman" w:cs="Times New Roman"/>
                <w:b w:val="0"/>
                <w:color w:val="000000"/>
                <w:lang w:eastAsia="en-GB"/>
              </w:rPr>
            </w:pPr>
            <w:r w:rsidRPr="00EA5516">
              <w:rPr>
                <w:rFonts w:ascii="Times New Roman" w:eastAsia="Times New Roman" w:hAnsi="Times New Roman" w:cs="Times New Roman"/>
                <w:b w:val="0"/>
                <w:color w:val="000000"/>
                <w:lang w:eastAsia="en-GB"/>
              </w:rPr>
              <w:t>High risk</w:t>
            </w:r>
          </w:p>
        </w:tc>
        <w:tc>
          <w:tcPr>
            <w:tcW w:w="1520" w:type="dxa"/>
            <w:shd w:val="clear" w:color="auto" w:fill="auto"/>
            <w:noWrap/>
          </w:tcPr>
          <w:p w:rsidR="00B152E1" w:rsidRPr="00EA5516" w:rsidRDefault="00B152E1" w:rsidP="00B152E1">
            <w:pPr>
              <w:contextualSpacing/>
              <w:rPr>
                <w:rFonts w:ascii="Times New Roman" w:eastAsia="Times New Roman" w:hAnsi="Times New Roman" w:cs="Times New Roman"/>
                <w:b w:val="0"/>
                <w:color w:val="000000"/>
                <w:lang w:eastAsia="en-GB"/>
              </w:rPr>
            </w:pPr>
            <w:r w:rsidRPr="00EA5516">
              <w:rPr>
                <w:rFonts w:ascii="Times New Roman" w:eastAsia="Times New Roman" w:hAnsi="Times New Roman" w:cs="Times New Roman"/>
                <w:b w:val="0"/>
                <w:color w:val="000000"/>
                <w:lang w:eastAsia="en-GB"/>
              </w:rPr>
              <w:t>Low risk</w:t>
            </w:r>
          </w:p>
        </w:tc>
        <w:tc>
          <w:tcPr>
            <w:tcW w:w="1520" w:type="dxa"/>
            <w:shd w:val="clear" w:color="auto" w:fill="auto"/>
            <w:noWrap/>
          </w:tcPr>
          <w:p w:rsidR="00B152E1" w:rsidRPr="00EA5516" w:rsidRDefault="00B152E1" w:rsidP="00B152E1">
            <w:pPr>
              <w:contextualSpacing/>
              <w:rPr>
                <w:rFonts w:ascii="Times New Roman" w:eastAsia="Times New Roman" w:hAnsi="Times New Roman" w:cs="Times New Roman"/>
                <w:b w:val="0"/>
                <w:color w:val="000000"/>
                <w:lang w:eastAsia="en-GB"/>
              </w:rPr>
            </w:pPr>
            <w:r w:rsidRPr="00EA5516">
              <w:rPr>
                <w:rFonts w:ascii="Times New Roman" w:eastAsia="Times New Roman" w:hAnsi="Times New Roman" w:cs="Times New Roman"/>
                <w:b w:val="0"/>
                <w:color w:val="000000"/>
                <w:lang w:eastAsia="en-GB"/>
              </w:rPr>
              <w:t>High risk</w:t>
            </w:r>
          </w:p>
        </w:tc>
      </w:tr>
      <w:tr w:rsidR="00B152E1" w:rsidRPr="00EA5516" w:rsidTr="00B152E1">
        <w:trPr>
          <w:trHeight w:val="227"/>
        </w:trPr>
        <w:tc>
          <w:tcPr>
            <w:tcW w:w="2947" w:type="dxa"/>
            <w:shd w:val="clear" w:color="auto" w:fill="auto"/>
          </w:tcPr>
          <w:p w:rsidR="00B152E1" w:rsidRPr="00EA5516" w:rsidRDefault="00B152E1" w:rsidP="00B152E1">
            <w:pPr>
              <w:contextualSpacing/>
              <w:rPr>
                <w:rFonts w:ascii="Times New Roman" w:eastAsia="Times New Roman" w:hAnsi="Times New Roman" w:cs="Times New Roman"/>
                <w:b w:val="0"/>
                <w:color w:val="000000"/>
                <w:lang w:eastAsia="en-GB"/>
              </w:rPr>
            </w:pPr>
            <w:r w:rsidRPr="00EA5516">
              <w:rPr>
                <w:rFonts w:ascii="Times New Roman" w:eastAsia="Times New Roman" w:hAnsi="Times New Roman" w:cs="Times New Roman"/>
                <w:b w:val="0"/>
                <w:color w:val="000000"/>
                <w:lang w:eastAsia="en-GB"/>
              </w:rPr>
              <w:t>Brunner (2012); Study 1</w:t>
            </w:r>
          </w:p>
        </w:tc>
        <w:tc>
          <w:tcPr>
            <w:tcW w:w="1520" w:type="dxa"/>
            <w:shd w:val="clear" w:color="auto" w:fill="auto"/>
            <w:noWrap/>
          </w:tcPr>
          <w:p w:rsidR="00B152E1" w:rsidRPr="00EA5516" w:rsidRDefault="00B152E1" w:rsidP="00B152E1">
            <w:pPr>
              <w:contextualSpacing/>
              <w:rPr>
                <w:rFonts w:ascii="Times New Roman" w:eastAsia="Times New Roman" w:hAnsi="Times New Roman" w:cs="Times New Roman"/>
                <w:b w:val="0"/>
                <w:color w:val="000000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b w:val="0"/>
                <w:color w:val="000000"/>
                <w:lang w:eastAsia="en-GB"/>
              </w:rPr>
              <w:t>High</w:t>
            </w:r>
            <w:r w:rsidRPr="00EA5516">
              <w:rPr>
                <w:rFonts w:ascii="Times New Roman" w:eastAsia="Times New Roman" w:hAnsi="Times New Roman" w:cs="Times New Roman"/>
                <w:b w:val="0"/>
                <w:color w:val="000000"/>
                <w:lang w:eastAsia="en-GB"/>
              </w:rPr>
              <w:t xml:space="preserve"> risk</w:t>
            </w:r>
          </w:p>
        </w:tc>
        <w:tc>
          <w:tcPr>
            <w:tcW w:w="1520" w:type="dxa"/>
            <w:shd w:val="clear" w:color="auto" w:fill="auto"/>
            <w:noWrap/>
          </w:tcPr>
          <w:p w:rsidR="00B152E1" w:rsidRPr="00EA5516" w:rsidRDefault="00B152E1" w:rsidP="00B152E1">
            <w:pPr>
              <w:contextualSpacing/>
              <w:rPr>
                <w:rFonts w:ascii="Times New Roman" w:eastAsia="Times New Roman" w:hAnsi="Times New Roman" w:cs="Times New Roman"/>
                <w:b w:val="0"/>
                <w:color w:val="000000"/>
                <w:lang w:eastAsia="en-GB"/>
              </w:rPr>
            </w:pPr>
            <w:r w:rsidRPr="00EA5516">
              <w:rPr>
                <w:rFonts w:ascii="Times New Roman" w:eastAsia="Times New Roman" w:hAnsi="Times New Roman" w:cs="Times New Roman"/>
                <w:b w:val="0"/>
                <w:color w:val="000000"/>
                <w:lang w:eastAsia="en-GB"/>
              </w:rPr>
              <w:t>Unclear risk</w:t>
            </w:r>
          </w:p>
        </w:tc>
        <w:tc>
          <w:tcPr>
            <w:tcW w:w="1520" w:type="dxa"/>
            <w:shd w:val="clear" w:color="auto" w:fill="auto"/>
            <w:noWrap/>
          </w:tcPr>
          <w:p w:rsidR="00B152E1" w:rsidRPr="00B152E1" w:rsidRDefault="00B152E1" w:rsidP="00B152E1">
            <w:pPr>
              <w:contextualSpacing/>
              <w:rPr>
                <w:rFonts w:ascii="Times New Roman" w:eastAsia="Times New Roman" w:hAnsi="Times New Roman" w:cs="Times New Roman"/>
                <w:b w:val="0"/>
                <w:color w:val="000000"/>
                <w:lang w:eastAsia="en-GB"/>
              </w:rPr>
            </w:pPr>
            <w:r w:rsidRPr="00B152E1">
              <w:rPr>
                <w:rFonts w:ascii="Times New Roman" w:eastAsia="Times New Roman" w:hAnsi="Times New Roman" w:cs="Times New Roman"/>
                <w:b w:val="0"/>
                <w:color w:val="000000"/>
                <w:lang w:eastAsia="en-GB"/>
              </w:rPr>
              <w:t>High risk</w:t>
            </w:r>
          </w:p>
        </w:tc>
        <w:tc>
          <w:tcPr>
            <w:tcW w:w="1520" w:type="dxa"/>
          </w:tcPr>
          <w:p w:rsidR="00B152E1" w:rsidRPr="00B152E1" w:rsidRDefault="00B152E1" w:rsidP="00B152E1">
            <w:pPr>
              <w:rPr>
                <w:rFonts w:ascii="Times New Roman" w:hAnsi="Times New Roman" w:cs="Times New Roman"/>
                <w:b w:val="0"/>
              </w:rPr>
            </w:pPr>
            <w:r w:rsidRPr="00B152E1">
              <w:rPr>
                <w:rFonts w:ascii="Times New Roman" w:hAnsi="Times New Roman" w:cs="Times New Roman"/>
                <w:b w:val="0"/>
              </w:rPr>
              <w:t>High risk</w:t>
            </w:r>
          </w:p>
        </w:tc>
        <w:tc>
          <w:tcPr>
            <w:tcW w:w="1520" w:type="dxa"/>
            <w:shd w:val="clear" w:color="auto" w:fill="auto"/>
            <w:noWrap/>
          </w:tcPr>
          <w:p w:rsidR="00B152E1" w:rsidRPr="00EA5516" w:rsidRDefault="00B152E1" w:rsidP="00B152E1">
            <w:pPr>
              <w:contextualSpacing/>
              <w:rPr>
                <w:rFonts w:ascii="Times New Roman" w:eastAsia="Times New Roman" w:hAnsi="Times New Roman" w:cs="Times New Roman"/>
                <w:b w:val="0"/>
                <w:color w:val="000000"/>
                <w:lang w:eastAsia="en-GB"/>
              </w:rPr>
            </w:pPr>
            <w:r w:rsidRPr="00EA5516">
              <w:rPr>
                <w:rFonts w:ascii="Times New Roman" w:eastAsia="Times New Roman" w:hAnsi="Times New Roman" w:cs="Times New Roman"/>
                <w:b w:val="0"/>
                <w:color w:val="000000"/>
                <w:lang w:eastAsia="en-GB"/>
              </w:rPr>
              <w:t>Low risk</w:t>
            </w:r>
          </w:p>
        </w:tc>
        <w:tc>
          <w:tcPr>
            <w:tcW w:w="1520" w:type="dxa"/>
            <w:shd w:val="clear" w:color="auto" w:fill="auto"/>
            <w:noWrap/>
          </w:tcPr>
          <w:p w:rsidR="00B152E1" w:rsidRPr="00EA5516" w:rsidRDefault="00B152E1" w:rsidP="00B152E1">
            <w:pPr>
              <w:contextualSpacing/>
              <w:rPr>
                <w:rFonts w:ascii="Times New Roman" w:eastAsia="Times New Roman" w:hAnsi="Times New Roman" w:cs="Times New Roman"/>
                <w:b w:val="0"/>
                <w:color w:val="000000"/>
                <w:lang w:eastAsia="en-GB"/>
              </w:rPr>
            </w:pPr>
            <w:r w:rsidRPr="00EA5516">
              <w:rPr>
                <w:rFonts w:ascii="Times New Roman" w:eastAsia="Times New Roman" w:hAnsi="Times New Roman" w:cs="Times New Roman"/>
                <w:b w:val="0"/>
                <w:color w:val="000000"/>
                <w:lang w:eastAsia="en-GB"/>
              </w:rPr>
              <w:t>Low risk</w:t>
            </w:r>
          </w:p>
        </w:tc>
        <w:tc>
          <w:tcPr>
            <w:tcW w:w="1520" w:type="dxa"/>
            <w:shd w:val="clear" w:color="auto" w:fill="auto"/>
            <w:noWrap/>
          </w:tcPr>
          <w:p w:rsidR="00B152E1" w:rsidRPr="00EA5516" w:rsidRDefault="00B152E1" w:rsidP="00B152E1">
            <w:pPr>
              <w:contextualSpacing/>
              <w:rPr>
                <w:rFonts w:ascii="Times New Roman" w:eastAsia="Times New Roman" w:hAnsi="Times New Roman" w:cs="Times New Roman"/>
                <w:b w:val="0"/>
                <w:color w:val="000000"/>
                <w:lang w:eastAsia="en-GB"/>
              </w:rPr>
            </w:pPr>
            <w:r w:rsidRPr="00EA5516">
              <w:rPr>
                <w:rFonts w:ascii="Times New Roman" w:eastAsia="Times New Roman" w:hAnsi="Times New Roman" w:cs="Times New Roman"/>
                <w:b w:val="0"/>
                <w:color w:val="000000"/>
                <w:lang w:eastAsia="en-GB"/>
              </w:rPr>
              <w:t>High risk</w:t>
            </w:r>
          </w:p>
        </w:tc>
      </w:tr>
      <w:tr w:rsidR="00B152E1" w:rsidRPr="00EA5516" w:rsidTr="00B152E1">
        <w:trPr>
          <w:trHeight w:val="227"/>
        </w:trPr>
        <w:tc>
          <w:tcPr>
            <w:tcW w:w="2947" w:type="dxa"/>
            <w:shd w:val="clear" w:color="auto" w:fill="auto"/>
          </w:tcPr>
          <w:p w:rsidR="00B152E1" w:rsidRPr="00EA5516" w:rsidRDefault="00B152E1" w:rsidP="00B152E1">
            <w:pPr>
              <w:contextualSpacing/>
              <w:rPr>
                <w:rFonts w:ascii="Times New Roman" w:eastAsia="Times New Roman" w:hAnsi="Times New Roman" w:cs="Times New Roman"/>
                <w:b w:val="0"/>
                <w:color w:val="000000"/>
                <w:lang w:eastAsia="en-GB"/>
              </w:rPr>
            </w:pPr>
            <w:r w:rsidRPr="00EA5516">
              <w:rPr>
                <w:rFonts w:ascii="Times New Roman" w:eastAsia="Times New Roman" w:hAnsi="Times New Roman" w:cs="Times New Roman"/>
                <w:b w:val="0"/>
                <w:color w:val="000000"/>
                <w:lang w:eastAsia="en-GB"/>
              </w:rPr>
              <w:t>Buckland (2013)</w:t>
            </w:r>
          </w:p>
        </w:tc>
        <w:tc>
          <w:tcPr>
            <w:tcW w:w="1520" w:type="dxa"/>
            <w:shd w:val="clear" w:color="auto" w:fill="auto"/>
            <w:noWrap/>
          </w:tcPr>
          <w:p w:rsidR="00B152E1" w:rsidRPr="00EA5516" w:rsidRDefault="00B152E1" w:rsidP="00B152E1">
            <w:pPr>
              <w:contextualSpacing/>
              <w:rPr>
                <w:rFonts w:ascii="Times New Roman" w:eastAsia="Times New Roman" w:hAnsi="Times New Roman" w:cs="Times New Roman"/>
                <w:b w:val="0"/>
                <w:color w:val="000000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b w:val="0"/>
                <w:color w:val="000000"/>
                <w:lang w:eastAsia="en-GB"/>
              </w:rPr>
              <w:t>High</w:t>
            </w:r>
            <w:r w:rsidRPr="00EA5516">
              <w:rPr>
                <w:rFonts w:ascii="Times New Roman" w:eastAsia="Times New Roman" w:hAnsi="Times New Roman" w:cs="Times New Roman"/>
                <w:b w:val="0"/>
                <w:color w:val="000000"/>
                <w:lang w:eastAsia="en-GB"/>
              </w:rPr>
              <w:t xml:space="preserve"> risk</w:t>
            </w:r>
          </w:p>
        </w:tc>
        <w:tc>
          <w:tcPr>
            <w:tcW w:w="1520" w:type="dxa"/>
            <w:shd w:val="clear" w:color="auto" w:fill="auto"/>
            <w:noWrap/>
          </w:tcPr>
          <w:p w:rsidR="00B152E1" w:rsidRPr="00EA5516" w:rsidRDefault="00B152E1" w:rsidP="00B152E1">
            <w:pPr>
              <w:contextualSpacing/>
              <w:rPr>
                <w:rFonts w:ascii="Times New Roman" w:eastAsia="Times New Roman" w:hAnsi="Times New Roman" w:cs="Times New Roman"/>
                <w:b w:val="0"/>
                <w:color w:val="000000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b w:val="0"/>
                <w:color w:val="000000"/>
                <w:lang w:eastAsia="en-GB"/>
              </w:rPr>
              <w:t>Low risk</w:t>
            </w:r>
          </w:p>
        </w:tc>
        <w:tc>
          <w:tcPr>
            <w:tcW w:w="1520" w:type="dxa"/>
            <w:shd w:val="clear" w:color="auto" w:fill="auto"/>
            <w:noWrap/>
          </w:tcPr>
          <w:p w:rsidR="00B152E1" w:rsidRPr="00B152E1" w:rsidRDefault="00B152E1" w:rsidP="00B152E1">
            <w:pPr>
              <w:contextualSpacing/>
              <w:rPr>
                <w:rFonts w:ascii="Times New Roman" w:eastAsia="Times New Roman" w:hAnsi="Times New Roman" w:cs="Times New Roman"/>
                <w:b w:val="0"/>
                <w:color w:val="000000"/>
                <w:lang w:eastAsia="en-GB"/>
              </w:rPr>
            </w:pPr>
            <w:r w:rsidRPr="00B152E1">
              <w:rPr>
                <w:rFonts w:ascii="Times New Roman" w:eastAsia="Times New Roman" w:hAnsi="Times New Roman" w:cs="Times New Roman"/>
                <w:b w:val="0"/>
                <w:color w:val="000000"/>
                <w:lang w:eastAsia="en-GB"/>
              </w:rPr>
              <w:t>Low risk</w:t>
            </w:r>
          </w:p>
        </w:tc>
        <w:tc>
          <w:tcPr>
            <w:tcW w:w="1520" w:type="dxa"/>
          </w:tcPr>
          <w:p w:rsidR="00B152E1" w:rsidRPr="00B152E1" w:rsidRDefault="00B152E1" w:rsidP="00B152E1">
            <w:pPr>
              <w:rPr>
                <w:rFonts w:ascii="Times New Roman" w:hAnsi="Times New Roman" w:cs="Times New Roman"/>
                <w:b w:val="0"/>
              </w:rPr>
            </w:pPr>
            <w:r w:rsidRPr="00B152E1">
              <w:rPr>
                <w:rFonts w:ascii="Times New Roman" w:hAnsi="Times New Roman" w:cs="Times New Roman"/>
                <w:b w:val="0"/>
              </w:rPr>
              <w:t>High risk</w:t>
            </w:r>
          </w:p>
        </w:tc>
        <w:tc>
          <w:tcPr>
            <w:tcW w:w="1520" w:type="dxa"/>
            <w:shd w:val="clear" w:color="auto" w:fill="auto"/>
            <w:noWrap/>
          </w:tcPr>
          <w:p w:rsidR="00B152E1" w:rsidRPr="00EA5516" w:rsidRDefault="00B152E1" w:rsidP="00B152E1">
            <w:pPr>
              <w:contextualSpacing/>
              <w:rPr>
                <w:rFonts w:ascii="Times New Roman" w:eastAsia="Times New Roman" w:hAnsi="Times New Roman" w:cs="Times New Roman"/>
                <w:b w:val="0"/>
                <w:color w:val="000000"/>
                <w:lang w:eastAsia="en-GB"/>
              </w:rPr>
            </w:pPr>
            <w:r w:rsidRPr="00EA5516">
              <w:rPr>
                <w:rFonts w:ascii="Times New Roman" w:eastAsia="Times New Roman" w:hAnsi="Times New Roman" w:cs="Times New Roman"/>
                <w:b w:val="0"/>
                <w:color w:val="000000"/>
                <w:lang w:eastAsia="en-GB"/>
              </w:rPr>
              <w:t>Low risk</w:t>
            </w:r>
          </w:p>
        </w:tc>
        <w:tc>
          <w:tcPr>
            <w:tcW w:w="1520" w:type="dxa"/>
            <w:shd w:val="clear" w:color="auto" w:fill="auto"/>
            <w:noWrap/>
          </w:tcPr>
          <w:p w:rsidR="00B152E1" w:rsidRPr="00EA5516" w:rsidRDefault="00B152E1" w:rsidP="00B152E1">
            <w:pPr>
              <w:contextualSpacing/>
              <w:rPr>
                <w:rFonts w:ascii="Times New Roman" w:eastAsia="Times New Roman" w:hAnsi="Times New Roman" w:cs="Times New Roman"/>
                <w:b w:val="0"/>
                <w:color w:val="000000"/>
                <w:lang w:eastAsia="en-GB"/>
              </w:rPr>
            </w:pPr>
            <w:r w:rsidRPr="00EA5516">
              <w:rPr>
                <w:rFonts w:ascii="Times New Roman" w:eastAsia="Times New Roman" w:hAnsi="Times New Roman" w:cs="Times New Roman"/>
                <w:b w:val="0"/>
                <w:color w:val="000000"/>
                <w:lang w:eastAsia="en-GB"/>
              </w:rPr>
              <w:t>Low risk</w:t>
            </w:r>
          </w:p>
        </w:tc>
        <w:tc>
          <w:tcPr>
            <w:tcW w:w="1520" w:type="dxa"/>
            <w:shd w:val="clear" w:color="auto" w:fill="auto"/>
            <w:noWrap/>
          </w:tcPr>
          <w:p w:rsidR="00B152E1" w:rsidRPr="00EA5516" w:rsidRDefault="00B152E1" w:rsidP="00B152E1">
            <w:pPr>
              <w:contextualSpacing/>
              <w:rPr>
                <w:rFonts w:ascii="Times New Roman" w:eastAsia="Times New Roman" w:hAnsi="Times New Roman" w:cs="Times New Roman"/>
                <w:b w:val="0"/>
                <w:color w:val="000000"/>
                <w:lang w:eastAsia="en-GB"/>
              </w:rPr>
            </w:pPr>
            <w:r w:rsidRPr="00EA5516">
              <w:rPr>
                <w:rFonts w:ascii="Times New Roman" w:eastAsia="Times New Roman" w:hAnsi="Times New Roman" w:cs="Times New Roman"/>
                <w:b w:val="0"/>
                <w:color w:val="000000"/>
                <w:lang w:eastAsia="en-GB"/>
              </w:rPr>
              <w:t>Low risk</w:t>
            </w:r>
          </w:p>
        </w:tc>
      </w:tr>
      <w:tr w:rsidR="00B152E1" w:rsidRPr="00EA5516" w:rsidTr="00B152E1">
        <w:trPr>
          <w:trHeight w:val="227"/>
        </w:trPr>
        <w:tc>
          <w:tcPr>
            <w:tcW w:w="2947" w:type="dxa"/>
            <w:shd w:val="clear" w:color="auto" w:fill="auto"/>
          </w:tcPr>
          <w:p w:rsidR="00B152E1" w:rsidRPr="00EA5516" w:rsidRDefault="00B152E1" w:rsidP="00B152E1">
            <w:pPr>
              <w:contextualSpacing/>
              <w:rPr>
                <w:rFonts w:ascii="Times New Roman" w:eastAsia="Times New Roman" w:hAnsi="Times New Roman" w:cs="Times New Roman"/>
                <w:b w:val="0"/>
                <w:color w:val="000000"/>
                <w:lang w:eastAsia="en-GB"/>
              </w:rPr>
            </w:pPr>
            <w:r w:rsidRPr="00EA5516">
              <w:rPr>
                <w:rFonts w:ascii="Times New Roman" w:eastAsia="Times New Roman" w:hAnsi="Times New Roman" w:cs="Times New Roman"/>
                <w:b w:val="0"/>
                <w:color w:val="000000"/>
                <w:lang w:eastAsia="en-GB"/>
              </w:rPr>
              <w:t>Buckland (2014)</w:t>
            </w:r>
          </w:p>
        </w:tc>
        <w:tc>
          <w:tcPr>
            <w:tcW w:w="1520" w:type="dxa"/>
            <w:shd w:val="clear" w:color="auto" w:fill="auto"/>
            <w:noWrap/>
          </w:tcPr>
          <w:p w:rsidR="00B152E1" w:rsidRPr="00EA5516" w:rsidRDefault="00B152E1" w:rsidP="00B152E1">
            <w:pPr>
              <w:contextualSpacing/>
              <w:rPr>
                <w:rFonts w:ascii="Times New Roman" w:eastAsia="Times New Roman" w:hAnsi="Times New Roman" w:cs="Times New Roman"/>
                <w:b w:val="0"/>
                <w:color w:val="000000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b w:val="0"/>
                <w:color w:val="000000"/>
                <w:lang w:eastAsia="en-GB"/>
              </w:rPr>
              <w:t>High</w:t>
            </w:r>
            <w:r w:rsidRPr="00EA5516">
              <w:rPr>
                <w:rFonts w:ascii="Times New Roman" w:eastAsia="Times New Roman" w:hAnsi="Times New Roman" w:cs="Times New Roman"/>
                <w:b w:val="0"/>
                <w:color w:val="000000"/>
                <w:lang w:eastAsia="en-GB"/>
              </w:rPr>
              <w:t xml:space="preserve"> risk</w:t>
            </w:r>
          </w:p>
        </w:tc>
        <w:tc>
          <w:tcPr>
            <w:tcW w:w="1520" w:type="dxa"/>
            <w:shd w:val="clear" w:color="auto" w:fill="auto"/>
            <w:noWrap/>
          </w:tcPr>
          <w:p w:rsidR="00B152E1" w:rsidRPr="00EA5516" w:rsidRDefault="00B152E1" w:rsidP="00B152E1">
            <w:pPr>
              <w:contextualSpacing/>
              <w:rPr>
                <w:rFonts w:ascii="Times New Roman" w:eastAsia="Times New Roman" w:hAnsi="Times New Roman" w:cs="Times New Roman"/>
                <w:b w:val="0"/>
                <w:color w:val="000000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b w:val="0"/>
                <w:color w:val="000000"/>
                <w:lang w:eastAsia="en-GB"/>
              </w:rPr>
              <w:t xml:space="preserve">High </w:t>
            </w:r>
            <w:proofErr w:type="spellStart"/>
            <w:r>
              <w:rPr>
                <w:rFonts w:ascii="Times New Roman" w:eastAsia="Times New Roman" w:hAnsi="Times New Roman" w:cs="Times New Roman"/>
                <w:b w:val="0"/>
                <w:color w:val="000000"/>
                <w:lang w:eastAsia="en-GB"/>
              </w:rPr>
              <w:t>risk</w:t>
            </w:r>
            <w:r w:rsidRPr="006526DF">
              <w:rPr>
                <w:rFonts w:ascii="Times New Roman" w:eastAsia="Times New Roman" w:hAnsi="Times New Roman" w:cs="Times New Roman"/>
                <w:b w:val="0"/>
                <w:color w:val="000000"/>
                <w:vertAlign w:val="superscript"/>
                <w:lang w:eastAsia="en-GB"/>
              </w:rPr>
              <w:t>v</w:t>
            </w:r>
            <w:proofErr w:type="spellEnd"/>
          </w:p>
        </w:tc>
        <w:tc>
          <w:tcPr>
            <w:tcW w:w="1520" w:type="dxa"/>
            <w:shd w:val="clear" w:color="auto" w:fill="auto"/>
            <w:noWrap/>
          </w:tcPr>
          <w:p w:rsidR="00B152E1" w:rsidRPr="00B152E1" w:rsidRDefault="00B152E1" w:rsidP="00B152E1">
            <w:pPr>
              <w:contextualSpacing/>
              <w:rPr>
                <w:rFonts w:ascii="Times New Roman" w:eastAsia="Times New Roman" w:hAnsi="Times New Roman" w:cs="Times New Roman"/>
                <w:b w:val="0"/>
                <w:color w:val="000000"/>
                <w:lang w:eastAsia="en-GB"/>
              </w:rPr>
            </w:pPr>
            <w:r w:rsidRPr="00B152E1">
              <w:rPr>
                <w:rFonts w:ascii="Times New Roman" w:eastAsia="Times New Roman" w:hAnsi="Times New Roman" w:cs="Times New Roman"/>
                <w:b w:val="0"/>
                <w:color w:val="000000"/>
                <w:lang w:eastAsia="en-GB"/>
              </w:rPr>
              <w:t>Low risk</w:t>
            </w:r>
          </w:p>
        </w:tc>
        <w:tc>
          <w:tcPr>
            <w:tcW w:w="1520" w:type="dxa"/>
          </w:tcPr>
          <w:p w:rsidR="00B152E1" w:rsidRPr="00B152E1" w:rsidRDefault="00B152E1" w:rsidP="00B152E1">
            <w:pPr>
              <w:rPr>
                <w:rFonts w:ascii="Times New Roman" w:hAnsi="Times New Roman" w:cs="Times New Roman"/>
                <w:b w:val="0"/>
              </w:rPr>
            </w:pPr>
            <w:r w:rsidRPr="00B152E1">
              <w:rPr>
                <w:rFonts w:ascii="Times New Roman" w:hAnsi="Times New Roman" w:cs="Times New Roman"/>
                <w:b w:val="0"/>
              </w:rPr>
              <w:t>High risk</w:t>
            </w:r>
          </w:p>
        </w:tc>
        <w:tc>
          <w:tcPr>
            <w:tcW w:w="1520" w:type="dxa"/>
            <w:shd w:val="clear" w:color="auto" w:fill="auto"/>
            <w:noWrap/>
          </w:tcPr>
          <w:p w:rsidR="00B152E1" w:rsidRPr="00EA5516" w:rsidRDefault="00B152E1" w:rsidP="00B152E1">
            <w:pPr>
              <w:contextualSpacing/>
              <w:rPr>
                <w:rFonts w:ascii="Times New Roman" w:eastAsia="Times New Roman" w:hAnsi="Times New Roman" w:cs="Times New Roman"/>
                <w:b w:val="0"/>
                <w:color w:val="000000"/>
                <w:lang w:eastAsia="en-GB"/>
              </w:rPr>
            </w:pPr>
            <w:r w:rsidRPr="00EA5516">
              <w:rPr>
                <w:rFonts w:ascii="Times New Roman" w:eastAsia="Times New Roman" w:hAnsi="Times New Roman" w:cs="Times New Roman"/>
                <w:b w:val="0"/>
                <w:color w:val="000000"/>
                <w:lang w:eastAsia="en-GB"/>
              </w:rPr>
              <w:t>Low risk</w:t>
            </w:r>
          </w:p>
        </w:tc>
        <w:tc>
          <w:tcPr>
            <w:tcW w:w="1520" w:type="dxa"/>
            <w:shd w:val="clear" w:color="auto" w:fill="auto"/>
            <w:noWrap/>
          </w:tcPr>
          <w:p w:rsidR="00B152E1" w:rsidRPr="00EA5516" w:rsidRDefault="00B152E1" w:rsidP="00B152E1">
            <w:pPr>
              <w:contextualSpacing/>
              <w:rPr>
                <w:rFonts w:ascii="Times New Roman" w:eastAsia="Times New Roman" w:hAnsi="Times New Roman" w:cs="Times New Roman"/>
                <w:b w:val="0"/>
                <w:color w:val="000000"/>
                <w:lang w:eastAsia="en-GB"/>
              </w:rPr>
            </w:pPr>
            <w:r w:rsidRPr="00EA5516">
              <w:rPr>
                <w:rFonts w:ascii="Times New Roman" w:eastAsia="Times New Roman" w:hAnsi="Times New Roman" w:cs="Times New Roman"/>
                <w:b w:val="0"/>
                <w:color w:val="000000"/>
                <w:lang w:eastAsia="en-GB"/>
              </w:rPr>
              <w:t>Low risk</w:t>
            </w:r>
          </w:p>
        </w:tc>
        <w:tc>
          <w:tcPr>
            <w:tcW w:w="1520" w:type="dxa"/>
            <w:shd w:val="clear" w:color="auto" w:fill="auto"/>
            <w:noWrap/>
          </w:tcPr>
          <w:p w:rsidR="00B152E1" w:rsidRPr="00EA5516" w:rsidRDefault="00B152E1" w:rsidP="00B152E1">
            <w:pPr>
              <w:contextualSpacing/>
              <w:rPr>
                <w:rFonts w:ascii="Times New Roman" w:eastAsia="Times New Roman" w:hAnsi="Times New Roman" w:cs="Times New Roman"/>
                <w:b w:val="0"/>
                <w:color w:val="000000"/>
                <w:lang w:eastAsia="en-GB"/>
              </w:rPr>
            </w:pPr>
            <w:r w:rsidRPr="00EA5516">
              <w:rPr>
                <w:rFonts w:ascii="Times New Roman" w:eastAsia="Times New Roman" w:hAnsi="Times New Roman" w:cs="Times New Roman"/>
                <w:b w:val="0"/>
                <w:color w:val="000000"/>
                <w:lang w:eastAsia="en-GB"/>
              </w:rPr>
              <w:t>Low risk</w:t>
            </w:r>
          </w:p>
        </w:tc>
      </w:tr>
      <w:tr w:rsidR="00B152E1" w:rsidRPr="00EA5516" w:rsidTr="00B152E1">
        <w:trPr>
          <w:trHeight w:val="227"/>
        </w:trPr>
        <w:tc>
          <w:tcPr>
            <w:tcW w:w="2947" w:type="dxa"/>
            <w:shd w:val="clear" w:color="auto" w:fill="auto"/>
          </w:tcPr>
          <w:p w:rsidR="00B152E1" w:rsidRPr="00EA5516" w:rsidRDefault="00B152E1" w:rsidP="00B152E1">
            <w:pPr>
              <w:contextualSpacing/>
              <w:rPr>
                <w:rFonts w:ascii="Times New Roman" w:eastAsia="Times New Roman" w:hAnsi="Times New Roman" w:cs="Times New Roman"/>
                <w:b w:val="0"/>
                <w:color w:val="000000"/>
                <w:lang w:eastAsia="en-GB"/>
              </w:rPr>
            </w:pPr>
            <w:r w:rsidRPr="00EA5516">
              <w:rPr>
                <w:rFonts w:ascii="Times New Roman" w:eastAsia="Times New Roman" w:hAnsi="Times New Roman" w:cs="Times New Roman"/>
                <w:b w:val="0"/>
                <w:color w:val="000000"/>
                <w:lang w:eastAsia="en-GB"/>
              </w:rPr>
              <w:t>Buckland (unpublished)</w:t>
            </w:r>
          </w:p>
        </w:tc>
        <w:tc>
          <w:tcPr>
            <w:tcW w:w="1520" w:type="dxa"/>
            <w:shd w:val="clear" w:color="auto" w:fill="auto"/>
            <w:noWrap/>
          </w:tcPr>
          <w:p w:rsidR="00B152E1" w:rsidRPr="00EA5516" w:rsidRDefault="00B152E1" w:rsidP="00B152E1">
            <w:pPr>
              <w:contextualSpacing/>
              <w:rPr>
                <w:rFonts w:ascii="Times New Roman" w:eastAsia="Times New Roman" w:hAnsi="Times New Roman" w:cs="Times New Roman"/>
                <w:b w:val="0"/>
                <w:color w:val="000000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b w:val="0"/>
                <w:color w:val="000000"/>
                <w:lang w:eastAsia="en-GB"/>
              </w:rPr>
              <w:t>High</w:t>
            </w:r>
            <w:r w:rsidRPr="00EA5516">
              <w:rPr>
                <w:rFonts w:ascii="Times New Roman" w:eastAsia="Times New Roman" w:hAnsi="Times New Roman" w:cs="Times New Roman"/>
                <w:b w:val="0"/>
                <w:color w:val="000000"/>
                <w:lang w:eastAsia="en-GB"/>
              </w:rPr>
              <w:t xml:space="preserve"> risk</w:t>
            </w:r>
          </w:p>
        </w:tc>
        <w:tc>
          <w:tcPr>
            <w:tcW w:w="1520" w:type="dxa"/>
            <w:shd w:val="clear" w:color="auto" w:fill="auto"/>
            <w:noWrap/>
          </w:tcPr>
          <w:p w:rsidR="00B152E1" w:rsidRPr="00EA5516" w:rsidRDefault="00B152E1" w:rsidP="00B152E1">
            <w:pPr>
              <w:contextualSpacing/>
              <w:rPr>
                <w:rFonts w:ascii="Times New Roman" w:eastAsia="Times New Roman" w:hAnsi="Times New Roman" w:cs="Times New Roman"/>
                <w:b w:val="0"/>
                <w:color w:val="000000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b w:val="0"/>
                <w:color w:val="000000"/>
                <w:lang w:eastAsia="en-GB"/>
              </w:rPr>
              <w:t>Low risk</w:t>
            </w:r>
          </w:p>
        </w:tc>
        <w:tc>
          <w:tcPr>
            <w:tcW w:w="1520" w:type="dxa"/>
            <w:shd w:val="clear" w:color="auto" w:fill="auto"/>
            <w:noWrap/>
          </w:tcPr>
          <w:p w:rsidR="00B152E1" w:rsidRPr="00B152E1" w:rsidRDefault="00B152E1" w:rsidP="00B152E1">
            <w:pPr>
              <w:contextualSpacing/>
              <w:rPr>
                <w:rFonts w:ascii="Times New Roman" w:eastAsia="Times New Roman" w:hAnsi="Times New Roman" w:cs="Times New Roman"/>
                <w:b w:val="0"/>
                <w:color w:val="000000"/>
                <w:lang w:eastAsia="en-GB"/>
              </w:rPr>
            </w:pPr>
            <w:r w:rsidRPr="00B152E1">
              <w:rPr>
                <w:rFonts w:ascii="Times New Roman" w:eastAsia="Times New Roman" w:hAnsi="Times New Roman" w:cs="Times New Roman"/>
                <w:b w:val="0"/>
                <w:color w:val="000000"/>
                <w:lang w:eastAsia="en-GB"/>
              </w:rPr>
              <w:t>Low risk</w:t>
            </w:r>
          </w:p>
        </w:tc>
        <w:tc>
          <w:tcPr>
            <w:tcW w:w="1520" w:type="dxa"/>
          </w:tcPr>
          <w:p w:rsidR="00B152E1" w:rsidRPr="00B152E1" w:rsidRDefault="00B152E1" w:rsidP="00B152E1">
            <w:pPr>
              <w:rPr>
                <w:rFonts w:ascii="Times New Roman" w:hAnsi="Times New Roman" w:cs="Times New Roman"/>
                <w:b w:val="0"/>
              </w:rPr>
            </w:pPr>
            <w:r w:rsidRPr="00B152E1">
              <w:rPr>
                <w:rFonts w:ascii="Times New Roman" w:hAnsi="Times New Roman" w:cs="Times New Roman"/>
                <w:b w:val="0"/>
              </w:rPr>
              <w:t>High risk</w:t>
            </w:r>
          </w:p>
        </w:tc>
        <w:tc>
          <w:tcPr>
            <w:tcW w:w="1520" w:type="dxa"/>
            <w:shd w:val="clear" w:color="auto" w:fill="auto"/>
            <w:noWrap/>
          </w:tcPr>
          <w:p w:rsidR="00B152E1" w:rsidRPr="00EA5516" w:rsidRDefault="00B152E1" w:rsidP="00B152E1">
            <w:pPr>
              <w:contextualSpacing/>
              <w:rPr>
                <w:rFonts w:ascii="Times New Roman" w:eastAsia="Times New Roman" w:hAnsi="Times New Roman" w:cs="Times New Roman"/>
                <w:b w:val="0"/>
                <w:color w:val="000000"/>
                <w:lang w:eastAsia="en-GB"/>
              </w:rPr>
            </w:pPr>
            <w:r w:rsidRPr="00EA5516">
              <w:rPr>
                <w:rFonts w:ascii="Times New Roman" w:eastAsia="Times New Roman" w:hAnsi="Times New Roman" w:cs="Times New Roman"/>
                <w:b w:val="0"/>
                <w:color w:val="000000"/>
                <w:lang w:eastAsia="en-GB"/>
              </w:rPr>
              <w:t>Low risk</w:t>
            </w:r>
          </w:p>
        </w:tc>
        <w:tc>
          <w:tcPr>
            <w:tcW w:w="1520" w:type="dxa"/>
            <w:shd w:val="clear" w:color="auto" w:fill="auto"/>
            <w:noWrap/>
          </w:tcPr>
          <w:p w:rsidR="00B152E1" w:rsidRPr="00EA5516" w:rsidRDefault="00B152E1" w:rsidP="00B152E1">
            <w:pPr>
              <w:contextualSpacing/>
              <w:rPr>
                <w:rFonts w:ascii="Times New Roman" w:eastAsia="Times New Roman" w:hAnsi="Times New Roman" w:cs="Times New Roman"/>
                <w:b w:val="0"/>
                <w:color w:val="000000"/>
                <w:lang w:eastAsia="en-GB"/>
              </w:rPr>
            </w:pPr>
            <w:r w:rsidRPr="00EA5516">
              <w:rPr>
                <w:rFonts w:ascii="Times New Roman" w:eastAsia="Times New Roman" w:hAnsi="Times New Roman" w:cs="Times New Roman"/>
                <w:b w:val="0"/>
                <w:color w:val="000000"/>
                <w:lang w:eastAsia="en-GB"/>
              </w:rPr>
              <w:t>Low risk</w:t>
            </w:r>
          </w:p>
        </w:tc>
        <w:tc>
          <w:tcPr>
            <w:tcW w:w="1520" w:type="dxa"/>
            <w:shd w:val="clear" w:color="auto" w:fill="auto"/>
            <w:noWrap/>
          </w:tcPr>
          <w:p w:rsidR="00B152E1" w:rsidRPr="00EA5516" w:rsidRDefault="00B152E1" w:rsidP="00B152E1">
            <w:pPr>
              <w:contextualSpacing/>
              <w:rPr>
                <w:rFonts w:ascii="Times New Roman" w:eastAsia="Times New Roman" w:hAnsi="Times New Roman" w:cs="Times New Roman"/>
                <w:b w:val="0"/>
                <w:color w:val="000000"/>
                <w:lang w:eastAsia="en-GB"/>
              </w:rPr>
            </w:pPr>
            <w:r w:rsidRPr="00EA5516">
              <w:rPr>
                <w:rFonts w:ascii="Times New Roman" w:eastAsia="Times New Roman" w:hAnsi="Times New Roman" w:cs="Times New Roman"/>
                <w:b w:val="0"/>
                <w:color w:val="000000"/>
                <w:lang w:eastAsia="en-GB"/>
              </w:rPr>
              <w:t>Low risk</w:t>
            </w:r>
          </w:p>
        </w:tc>
      </w:tr>
      <w:tr w:rsidR="00B152E1" w:rsidRPr="00EA5516" w:rsidTr="00B152E1">
        <w:trPr>
          <w:trHeight w:val="227"/>
        </w:trPr>
        <w:tc>
          <w:tcPr>
            <w:tcW w:w="2947" w:type="dxa"/>
            <w:shd w:val="clear" w:color="auto" w:fill="auto"/>
          </w:tcPr>
          <w:p w:rsidR="00B152E1" w:rsidRPr="00EA5516" w:rsidRDefault="00B152E1" w:rsidP="00B152E1">
            <w:pPr>
              <w:contextualSpacing/>
              <w:rPr>
                <w:rFonts w:ascii="Times New Roman" w:eastAsia="Times New Roman" w:hAnsi="Times New Roman" w:cs="Times New Roman"/>
                <w:b w:val="0"/>
                <w:color w:val="000000"/>
                <w:lang w:eastAsia="en-GB"/>
              </w:rPr>
            </w:pPr>
            <w:r w:rsidRPr="00EA5516">
              <w:rPr>
                <w:rFonts w:ascii="Times New Roman" w:eastAsia="MS Mincho" w:hAnsi="Times New Roman" w:cs="Times New Roman"/>
                <w:b w:val="0"/>
                <w:color w:val="000000"/>
                <w:lang w:val="en-CA"/>
              </w:rPr>
              <w:t>Harris (2009)</w:t>
            </w:r>
          </w:p>
        </w:tc>
        <w:tc>
          <w:tcPr>
            <w:tcW w:w="1520" w:type="dxa"/>
            <w:shd w:val="clear" w:color="auto" w:fill="auto"/>
            <w:noWrap/>
          </w:tcPr>
          <w:p w:rsidR="00B152E1" w:rsidRPr="00EA5516" w:rsidRDefault="00B152E1" w:rsidP="00B152E1">
            <w:pPr>
              <w:contextualSpacing/>
              <w:rPr>
                <w:rFonts w:ascii="Times New Roman" w:eastAsia="Times New Roman" w:hAnsi="Times New Roman" w:cs="Times New Roman"/>
                <w:b w:val="0"/>
                <w:color w:val="000000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b w:val="0"/>
                <w:color w:val="000000"/>
                <w:lang w:eastAsia="en-GB"/>
              </w:rPr>
              <w:t>High</w:t>
            </w:r>
            <w:r w:rsidRPr="00EA5516">
              <w:rPr>
                <w:rFonts w:ascii="Times New Roman" w:eastAsia="Times New Roman" w:hAnsi="Times New Roman" w:cs="Times New Roman"/>
                <w:b w:val="0"/>
                <w:color w:val="000000"/>
                <w:lang w:eastAsia="en-GB"/>
              </w:rPr>
              <w:t xml:space="preserve"> risk</w:t>
            </w:r>
          </w:p>
        </w:tc>
        <w:tc>
          <w:tcPr>
            <w:tcW w:w="1520" w:type="dxa"/>
            <w:shd w:val="clear" w:color="auto" w:fill="auto"/>
            <w:noWrap/>
          </w:tcPr>
          <w:p w:rsidR="00B152E1" w:rsidRPr="00EA5516" w:rsidRDefault="00B152E1" w:rsidP="00B152E1">
            <w:pPr>
              <w:contextualSpacing/>
              <w:rPr>
                <w:rFonts w:ascii="Times New Roman" w:eastAsia="Times New Roman" w:hAnsi="Times New Roman" w:cs="Times New Roman"/>
                <w:b w:val="0"/>
                <w:color w:val="000000"/>
                <w:lang w:eastAsia="en-GB"/>
              </w:rPr>
            </w:pPr>
            <w:r w:rsidRPr="00EA5516">
              <w:rPr>
                <w:rFonts w:ascii="Times New Roman" w:eastAsia="Times New Roman" w:hAnsi="Times New Roman" w:cs="Times New Roman"/>
                <w:b w:val="0"/>
                <w:color w:val="000000"/>
                <w:lang w:eastAsia="en-GB"/>
              </w:rPr>
              <w:t>Unclear risk</w:t>
            </w:r>
          </w:p>
        </w:tc>
        <w:tc>
          <w:tcPr>
            <w:tcW w:w="1520" w:type="dxa"/>
            <w:shd w:val="clear" w:color="auto" w:fill="auto"/>
            <w:noWrap/>
          </w:tcPr>
          <w:p w:rsidR="00B152E1" w:rsidRPr="00B152E1" w:rsidRDefault="00B152E1" w:rsidP="00B152E1">
            <w:pPr>
              <w:contextualSpacing/>
              <w:rPr>
                <w:rFonts w:ascii="Times New Roman" w:eastAsia="Times New Roman" w:hAnsi="Times New Roman" w:cs="Times New Roman"/>
                <w:b w:val="0"/>
                <w:color w:val="000000"/>
                <w:lang w:eastAsia="en-GB"/>
              </w:rPr>
            </w:pPr>
            <w:r w:rsidRPr="00B152E1">
              <w:rPr>
                <w:rFonts w:ascii="Times New Roman" w:eastAsia="Times New Roman" w:hAnsi="Times New Roman" w:cs="Times New Roman"/>
                <w:b w:val="0"/>
                <w:color w:val="000000"/>
                <w:lang w:eastAsia="en-GB"/>
              </w:rPr>
              <w:t>Low risk</w:t>
            </w:r>
          </w:p>
        </w:tc>
        <w:tc>
          <w:tcPr>
            <w:tcW w:w="1520" w:type="dxa"/>
          </w:tcPr>
          <w:p w:rsidR="00B152E1" w:rsidRPr="00B152E1" w:rsidRDefault="00B152E1" w:rsidP="00B152E1">
            <w:pPr>
              <w:rPr>
                <w:rFonts w:ascii="Times New Roman" w:hAnsi="Times New Roman" w:cs="Times New Roman"/>
                <w:b w:val="0"/>
              </w:rPr>
            </w:pPr>
            <w:r w:rsidRPr="00B152E1">
              <w:rPr>
                <w:rFonts w:ascii="Times New Roman" w:hAnsi="Times New Roman" w:cs="Times New Roman"/>
                <w:b w:val="0"/>
              </w:rPr>
              <w:t>Unclear risk</w:t>
            </w:r>
          </w:p>
        </w:tc>
        <w:tc>
          <w:tcPr>
            <w:tcW w:w="1520" w:type="dxa"/>
            <w:shd w:val="clear" w:color="auto" w:fill="auto"/>
            <w:noWrap/>
          </w:tcPr>
          <w:p w:rsidR="00B152E1" w:rsidRPr="00EA5516" w:rsidRDefault="00B152E1" w:rsidP="00B152E1">
            <w:pPr>
              <w:contextualSpacing/>
              <w:rPr>
                <w:rFonts w:ascii="Times New Roman" w:eastAsia="Times New Roman" w:hAnsi="Times New Roman" w:cs="Times New Roman"/>
                <w:b w:val="0"/>
                <w:color w:val="000000"/>
                <w:lang w:eastAsia="en-GB"/>
              </w:rPr>
            </w:pPr>
            <w:r w:rsidRPr="00EA5516">
              <w:rPr>
                <w:rFonts w:ascii="Times New Roman" w:eastAsia="Times New Roman" w:hAnsi="Times New Roman" w:cs="Times New Roman"/>
                <w:b w:val="0"/>
                <w:color w:val="000000"/>
                <w:lang w:eastAsia="en-GB"/>
              </w:rPr>
              <w:t>Low risk</w:t>
            </w:r>
          </w:p>
        </w:tc>
        <w:tc>
          <w:tcPr>
            <w:tcW w:w="1520" w:type="dxa"/>
            <w:shd w:val="clear" w:color="auto" w:fill="auto"/>
            <w:noWrap/>
          </w:tcPr>
          <w:p w:rsidR="00B152E1" w:rsidRPr="00EA5516" w:rsidRDefault="00B152E1" w:rsidP="00B152E1">
            <w:pPr>
              <w:contextualSpacing/>
              <w:rPr>
                <w:rFonts w:ascii="Times New Roman" w:eastAsia="Times New Roman" w:hAnsi="Times New Roman" w:cs="Times New Roman"/>
                <w:b w:val="0"/>
                <w:color w:val="000000"/>
                <w:lang w:eastAsia="en-GB"/>
              </w:rPr>
            </w:pPr>
            <w:r w:rsidRPr="00EA5516">
              <w:rPr>
                <w:rFonts w:ascii="Times New Roman" w:eastAsia="Times New Roman" w:hAnsi="Times New Roman" w:cs="Times New Roman"/>
                <w:b w:val="0"/>
                <w:color w:val="000000"/>
                <w:lang w:eastAsia="en-GB"/>
              </w:rPr>
              <w:t>Low risk</w:t>
            </w:r>
          </w:p>
        </w:tc>
        <w:tc>
          <w:tcPr>
            <w:tcW w:w="1520" w:type="dxa"/>
            <w:shd w:val="clear" w:color="auto" w:fill="auto"/>
            <w:noWrap/>
          </w:tcPr>
          <w:p w:rsidR="00B152E1" w:rsidRPr="00EA5516" w:rsidRDefault="00B152E1" w:rsidP="00B152E1">
            <w:pPr>
              <w:contextualSpacing/>
              <w:rPr>
                <w:rFonts w:ascii="Times New Roman" w:eastAsia="Times New Roman" w:hAnsi="Times New Roman" w:cs="Times New Roman"/>
                <w:b w:val="0"/>
                <w:color w:val="000000"/>
                <w:lang w:eastAsia="en-GB"/>
              </w:rPr>
            </w:pPr>
            <w:r w:rsidRPr="00EA5516">
              <w:rPr>
                <w:rFonts w:ascii="Times New Roman" w:eastAsia="Times New Roman" w:hAnsi="Times New Roman" w:cs="Times New Roman"/>
                <w:b w:val="0"/>
                <w:color w:val="000000"/>
                <w:lang w:eastAsia="en-GB"/>
              </w:rPr>
              <w:t>Unclear risk</w:t>
            </w:r>
          </w:p>
        </w:tc>
      </w:tr>
      <w:tr w:rsidR="00B152E1" w:rsidRPr="00EA5516" w:rsidTr="00B152E1">
        <w:trPr>
          <w:trHeight w:val="227"/>
        </w:trPr>
        <w:tc>
          <w:tcPr>
            <w:tcW w:w="2947" w:type="dxa"/>
            <w:shd w:val="clear" w:color="auto" w:fill="auto"/>
          </w:tcPr>
          <w:p w:rsidR="00B152E1" w:rsidRPr="00EA5516" w:rsidRDefault="00B152E1" w:rsidP="00B152E1">
            <w:pPr>
              <w:contextualSpacing/>
              <w:rPr>
                <w:rFonts w:ascii="Times New Roman" w:eastAsia="Times New Roman" w:hAnsi="Times New Roman" w:cs="Times New Roman"/>
                <w:b w:val="0"/>
                <w:color w:val="000000"/>
                <w:lang w:eastAsia="en-GB"/>
              </w:rPr>
            </w:pPr>
            <w:r w:rsidRPr="00EA5516">
              <w:rPr>
                <w:rFonts w:ascii="Times New Roman" w:eastAsia="MS Mincho" w:hAnsi="Times New Roman" w:cs="Times New Roman"/>
                <w:b w:val="0"/>
                <w:color w:val="000000"/>
                <w:lang w:val="en-CA"/>
              </w:rPr>
              <w:t>Harrison (2006)</w:t>
            </w:r>
          </w:p>
        </w:tc>
        <w:tc>
          <w:tcPr>
            <w:tcW w:w="1520" w:type="dxa"/>
            <w:shd w:val="clear" w:color="auto" w:fill="auto"/>
            <w:noWrap/>
          </w:tcPr>
          <w:p w:rsidR="00B152E1" w:rsidRPr="00EA5516" w:rsidRDefault="00B152E1" w:rsidP="00B152E1">
            <w:pPr>
              <w:contextualSpacing/>
              <w:rPr>
                <w:rFonts w:ascii="Times New Roman" w:eastAsia="Times New Roman" w:hAnsi="Times New Roman" w:cs="Times New Roman"/>
                <w:b w:val="0"/>
                <w:color w:val="000000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b w:val="0"/>
                <w:color w:val="000000"/>
                <w:lang w:eastAsia="en-GB"/>
              </w:rPr>
              <w:t>High</w:t>
            </w:r>
            <w:r w:rsidRPr="00EA5516">
              <w:rPr>
                <w:rFonts w:ascii="Times New Roman" w:eastAsia="Times New Roman" w:hAnsi="Times New Roman" w:cs="Times New Roman"/>
                <w:b w:val="0"/>
                <w:color w:val="000000"/>
                <w:lang w:eastAsia="en-GB"/>
              </w:rPr>
              <w:t xml:space="preserve"> risk</w:t>
            </w:r>
          </w:p>
        </w:tc>
        <w:tc>
          <w:tcPr>
            <w:tcW w:w="1520" w:type="dxa"/>
            <w:shd w:val="clear" w:color="auto" w:fill="auto"/>
            <w:noWrap/>
          </w:tcPr>
          <w:p w:rsidR="00B152E1" w:rsidRPr="00EA5516" w:rsidRDefault="00B152E1" w:rsidP="00B152E1">
            <w:pPr>
              <w:contextualSpacing/>
              <w:rPr>
                <w:rFonts w:ascii="Times New Roman" w:eastAsia="Times New Roman" w:hAnsi="Times New Roman" w:cs="Times New Roman"/>
                <w:b w:val="0"/>
                <w:color w:val="000000"/>
                <w:lang w:eastAsia="en-GB"/>
              </w:rPr>
            </w:pPr>
            <w:r w:rsidRPr="00EA5516">
              <w:rPr>
                <w:rFonts w:ascii="Times New Roman" w:eastAsia="Times New Roman" w:hAnsi="Times New Roman" w:cs="Times New Roman"/>
                <w:b w:val="0"/>
                <w:color w:val="000000"/>
                <w:lang w:eastAsia="en-GB"/>
              </w:rPr>
              <w:t>Unclear risk</w:t>
            </w:r>
          </w:p>
        </w:tc>
        <w:tc>
          <w:tcPr>
            <w:tcW w:w="1520" w:type="dxa"/>
            <w:shd w:val="clear" w:color="auto" w:fill="auto"/>
            <w:noWrap/>
          </w:tcPr>
          <w:p w:rsidR="00B152E1" w:rsidRPr="00B152E1" w:rsidRDefault="00B152E1" w:rsidP="00B152E1">
            <w:pPr>
              <w:contextualSpacing/>
              <w:rPr>
                <w:rFonts w:ascii="Times New Roman" w:eastAsia="Times New Roman" w:hAnsi="Times New Roman" w:cs="Times New Roman"/>
                <w:b w:val="0"/>
                <w:color w:val="000000"/>
                <w:lang w:eastAsia="en-GB"/>
              </w:rPr>
            </w:pPr>
            <w:r w:rsidRPr="00B152E1">
              <w:rPr>
                <w:rFonts w:ascii="Times New Roman" w:eastAsia="Times New Roman" w:hAnsi="Times New Roman" w:cs="Times New Roman"/>
                <w:b w:val="0"/>
                <w:color w:val="000000"/>
                <w:lang w:eastAsia="en-GB"/>
              </w:rPr>
              <w:t>High risk</w:t>
            </w:r>
          </w:p>
        </w:tc>
        <w:tc>
          <w:tcPr>
            <w:tcW w:w="1520" w:type="dxa"/>
          </w:tcPr>
          <w:p w:rsidR="00B152E1" w:rsidRPr="00B152E1" w:rsidRDefault="00B152E1" w:rsidP="00B152E1">
            <w:pPr>
              <w:rPr>
                <w:rFonts w:ascii="Times New Roman" w:hAnsi="Times New Roman" w:cs="Times New Roman"/>
                <w:b w:val="0"/>
              </w:rPr>
            </w:pPr>
            <w:r w:rsidRPr="00B152E1">
              <w:rPr>
                <w:rFonts w:ascii="Times New Roman" w:hAnsi="Times New Roman" w:cs="Times New Roman"/>
                <w:b w:val="0"/>
              </w:rPr>
              <w:t>Unclear risk</w:t>
            </w:r>
          </w:p>
        </w:tc>
        <w:tc>
          <w:tcPr>
            <w:tcW w:w="1520" w:type="dxa"/>
            <w:shd w:val="clear" w:color="auto" w:fill="auto"/>
            <w:noWrap/>
          </w:tcPr>
          <w:p w:rsidR="00B152E1" w:rsidRPr="00EA5516" w:rsidRDefault="00B152E1" w:rsidP="00B152E1">
            <w:pPr>
              <w:contextualSpacing/>
              <w:rPr>
                <w:rFonts w:ascii="Times New Roman" w:eastAsia="Times New Roman" w:hAnsi="Times New Roman" w:cs="Times New Roman"/>
                <w:b w:val="0"/>
                <w:color w:val="000000"/>
                <w:lang w:eastAsia="en-GB"/>
              </w:rPr>
            </w:pPr>
            <w:r w:rsidRPr="00EA5516">
              <w:rPr>
                <w:rFonts w:ascii="Times New Roman" w:eastAsia="Times New Roman" w:hAnsi="Times New Roman" w:cs="Times New Roman"/>
                <w:b w:val="0"/>
                <w:color w:val="000000"/>
                <w:lang w:eastAsia="en-GB"/>
              </w:rPr>
              <w:t>Low risk</w:t>
            </w:r>
          </w:p>
        </w:tc>
        <w:tc>
          <w:tcPr>
            <w:tcW w:w="1520" w:type="dxa"/>
            <w:shd w:val="clear" w:color="auto" w:fill="auto"/>
            <w:noWrap/>
          </w:tcPr>
          <w:p w:rsidR="00B152E1" w:rsidRPr="00EA5516" w:rsidRDefault="00B152E1" w:rsidP="00B152E1">
            <w:pPr>
              <w:contextualSpacing/>
              <w:rPr>
                <w:rFonts w:ascii="Times New Roman" w:eastAsia="Times New Roman" w:hAnsi="Times New Roman" w:cs="Times New Roman"/>
                <w:b w:val="0"/>
                <w:color w:val="000000"/>
                <w:lang w:eastAsia="en-GB"/>
              </w:rPr>
            </w:pPr>
            <w:r w:rsidRPr="00EA5516">
              <w:rPr>
                <w:rFonts w:ascii="Times New Roman" w:eastAsia="Times New Roman" w:hAnsi="Times New Roman" w:cs="Times New Roman"/>
                <w:b w:val="0"/>
                <w:color w:val="000000"/>
                <w:lang w:eastAsia="en-GB"/>
              </w:rPr>
              <w:t>Low risk</w:t>
            </w:r>
          </w:p>
        </w:tc>
        <w:tc>
          <w:tcPr>
            <w:tcW w:w="1520" w:type="dxa"/>
            <w:shd w:val="clear" w:color="auto" w:fill="auto"/>
            <w:noWrap/>
          </w:tcPr>
          <w:p w:rsidR="00B152E1" w:rsidRPr="00EA5516" w:rsidRDefault="00B152E1" w:rsidP="00B152E1">
            <w:pPr>
              <w:contextualSpacing/>
              <w:rPr>
                <w:rFonts w:ascii="Times New Roman" w:eastAsia="Times New Roman" w:hAnsi="Times New Roman" w:cs="Times New Roman"/>
                <w:b w:val="0"/>
                <w:color w:val="000000"/>
                <w:lang w:eastAsia="en-GB"/>
              </w:rPr>
            </w:pPr>
            <w:r w:rsidRPr="00EA5516">
              <w:rPr>
                <w:rFonts w:ascii="Times New Roman" w:eastAsia="Times New Roman" w:hAnsi="Times New Roman" w:cs="Times New Roman"/>
                <w:b w:val="0"/>
                <w:color w:val="000000"/>
                <w:lang w:eastAsia="en-GB"/>
              </w:rPr>
              <w:t>High risk</w:t>
            </w:r>
          </w:p>
        </w:tc>
      </w:tr>
      <w:tr w:rsidR="00B152E1" w:rsidRPr="00EA5516" w:rsidTr="00B152E1">
        <w:trPr>
          <w:trHeight w:val="227"/>
        </w:trPr>
        <w:tc>
          <w:tcPr>
            <w:tcW w:w="2947" w:type="dxa"/>
            <w:shd w:val="clear" w:color="auto" w:fill="auto"/>
          </w:tcPr>
          <w:p w:rsidR="00B152E1" w:rsidRPr="00EA5516" w:rsidRDefault="00B152E1" w:rsidP="00B152E1">
            <w:pPr>
              <w:contextualSpacing/>
              <w:rPr>
                <w:rFonts w:ascii="Times New Roman" w:eastAsia="Times New Roman" w:hAnsi="Times New Roman" w:cs="Times New Roman"/>
                <w:b w:val="0"/>
                <w:color w:val="000000"/>
                <w:lang w:eastAsia="en-GB"/>
              </w:rPr>
            </w:pPr>
            <w:r w:rsidRPr="00EA5516">
              <w:rPr>
                <w:rFonts w:ascii="Times New Roman" w:eastAsia="Times New Roman" w:hAnsi="Times New Roman" w:cs="Times New Roman"/>
                <w:b w:val="0"/>
                <w:color w:val="000000"/>
                <w:lang w:eastAsia="en-GB"/>
              </w:rPr>
              <w:t>Jansen (2002)</w:t>
            </w:r>
          </w:p>
        </w:tc>
        <w:tc>
          <w:tcPr>
            <w:tcW w:w="1520" w:type="dxa"/>
            <w:shd w:val="clear" w:color="auto" w:fill="auto"/>
            <w:noWrap/>
          </w:tcPr>
          <w:p w:rsidR="00B152E1" w:rsidRPr="00EA5516" w:rsidRDefault="00B152E1" w:rsidP="00B152E1">
            <w:pPr>
              <w:contextualSpacing/>
              <w:rPr>
                <w:rFonts w:ascii="Times New Roman" w:eastAsia="Times New Roman" w:hAnsi="Times New Roman" w:cs="Times New Roman"/>
                <w:b w:val="0"/>
                <w:color w:val="000000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b w:val="0"/>
                <w:color w:val="000000"/>
                <w:lang w:eastAsia="en-GB"/>
              </w:rPr>
              <w:t>High</w:t>
            </w:r>
            <w:r w:rsidRPr="00EA5516">
              <w:rPr>
                <w:rFonts w:ascii="Times New Roman" w:eastAsia="Times New Roman" w:hAnsi="Times New Roman" w:cs="Times New Roman"/>
                <w:b w:val="0"/>
                <w:color w:val="000000"/>
                <w:lang w:eastAsia="en-GB"/>
              </w:rPr>
              <w:t xml:space="preserve"> risk</w:t>
            </w:r>
          </w:p>
        </w:tc>
        <w:tc>
          <w:tcPr>
            <w:tcW w:w="1520" w:type="dxa"/>
            <w:shd w:val="clear" w:color="auto" w:fill="auto"/>
            <w:noWrap/>
          </w:tcPr>
          <w:p w:rsidR="00B152E1" w:rsidRPr="00EA5516" w:rsidRDefault="00B152E1" w:rsidP="00B152E1">
            <w:pPr>
              <w:contextualSpacing/>
              <w:rPr>
                <w:rFonts w:ascii="Times New Roman" w:eastAsia="Times New Roman" w:hAnsi="Times New Roman" w:cs="Times New Roman"/>
                <w:b w:val="0"/>
                <w:color w:val="000000"/>
                <w:lang w:eastAsia="en-GB"/>
              </w:rPr>
            </w:pPr>
            <w:r w:rsidRPr="00EA5516">
              <w:rPr>
                <w:rFonts w:ascii="Times New Roman" w:eastAsia="Times New Roman" w:hAnsi="Times New Roman" w:cs="Times New Roman"/>
                <w:b w:val="0"/>
                <w:color w:val="000000"/>
                <w:lang w:eastAsia="en-GB"/>
              </w:rPr>
              <w:t>Unclear risk</w:t>
            </w:r>
          </w:p>
        </w:tc>
        <w:tc>
          <w:tcPr>
            <w:tcW w:w="1520" w:type="dxa"/>
            <w:shd w:val="clear" w:color="auto" w:fill="auto"/>
            <w:noWrap/>
          </w:tcPr>
          <w:p w:rsidR="00B152E1" w:rsidRPr="00B152E1" w:rsidRDefault="00B152E1" w:rsidP="00B152E1">
            <w:pPr>
              <w:contextualSpacing/>
              <w:rPr>
                <w:rFonts w:ascii="Times New Roman" w:eastAsia="Times New Roman" w:hAnsi="Times New Roman" w:cs="Times New Roman"/>
                <w:b w:val="0"/>
                <w:color w:val="000000"/>
                <w:lang w:eastAsia="en-GB"/>
              </w:rPr>
            </w:pPr>
            <w:r w:rsidRPr="00B152E1">
              <w:rPr>
                <w:rFonts w:ascii="Times New Roman" w:eastAsia="Times New Roman" w:hAnsi="Times New Roman" w:cs="Times New Roman"/>
                <w:b w:val="0"/>
                <w:color w:val="000000"/>
                <w:lang w:eastAsia="en-GB"/>
              </w:rPr>
              <w:t>Low risk</w:t>
            </w:r>
          </w:p>
        </w:tc>
        <w:tc>
          <w:tcPr>
            <w:tcW w:w="1520" w:type="dxa"/>
          </w:tcPr>
          <w:p w:rsidR="00B152E1" w:rsidRPr="00B152E1" w:rsidRDefault="00B152E1" w:rsidP="00B152E1">
            <w:pPr>
              <w:rPr>
                <w:rFonts w:ascii="Times New Roman" w:hAnsi="Times New Roman" w:cs="Times New Roman"/>
                <w:b w:val="0"/>
              </w:rPr>
            </w:pPr>
            <w:r w:rsidRPr="00B152E1">
              <w:rPr>
                <w:rFonts w:ascii="Times New Roman" w:hAnsi="Times New Roman" w:cs="Times New Roman"/>
                <w:b w:val="0"/>
              </w:rPr>
              <w:t>High risk</w:t>
            </w:r>
          </w:p>
        </w:tc>
        <w:tc>
          <w:tcPr>
            <w:tcW w:w="1520" w:type="dxa"/>
            <w:shd w:val="clear" w:color="auto" w:fill="auto"/>
            <w:noWrap/>
          </w:tcPr>
          <w:p w:rsidR="00B152E1" w:rsidRPr="00EA5516" w:rsidRDefault="00B152E1" w:rsidP="00B152E1">
            <w:pPr>
              <w:contextualSpacing/>
              <w:rPr>
                <w:rFonts w:ascii="Times New Roman" w:eastAsia="Times New Roman" w:hAnsi="Times New Roman" w:cs="Times New Roman"/>
                <w:b w:val="0"/>
                <w:color w:val="000000"/>
                <w:lang w:eastAsia="en-GB"/>
              </w:rPr>
            </w:pPr>
            <w:r w:rsidRPr="00EA5516">
              <w:rPr>
                <w:rFonts w:ascii="Times New Roman" w:eastAsia="Times New Roman" w:hAnsi="Times New Roman" w:cs="Times New Roman"/>
                <w:b w:val="0"/>
                <w:color w:val="000000"/>
                <w:lang w:eastAsia="en-GB"/>
              </w:rPr>
              <w:t>Low risk</w:t>
            </w:r>
          </w:p>
        </w:tc>
        <w:tc>
          <w:tcPr>
            <w:tcW w:w="1520" w:type="dxa"/>
            <w:shd w:val="clear" w:color="auto" w:fill="auto"/>
            <w:noWrap/>
          </w:tcPr>
          <w:p w:rsidR="00B152E1" w:rsidRPr="00EA5516" w:rsidRDefault="00B152E1" w:rsidP="00B152E1">
            <w:pPr>
              <w:contextualSpacing/>
              <w:rPr>
                <w:rFonts w:ascii="Times New Roman" w:eastAsia="Times New Roman" w:hAnsi="Times New Roman" w:cs="Times New Roman"/>
                <w:b w:val="0"/>
                <w:color w:val="000000"/>
                <w:lang w:eastAsia="en-GB"/>
              </w:rPr>
            </w:pPr>
            <w:r w:rsidRPr="00EA5516">
              <w:rPr>
                <w:rFonts w:ascii="Times New Roman" w:eastAsia="Times New Roman" w:hAnsi="Times New Roman" w:cs="Times New Roman"/>
                <w:b w:val="0"/>
                <w:color w:val="000000"/>
                <w:lang w:eastAsia="en-GB"/>
              </w:rPr>
              <w:t>Low risk</w:t>
            </w:r>
          </w:p>
        </w:tc>
        <w:tc>
          <w:tcPr>
            <w:tcW w:w="1520" w:type="dxa"/>
            <w:shd w:val="clear" w:color="auto" w:fill="auto"/>
            <w:noWrap/>
          </w:tcPr>
          <w:p w:rsidR="00B152E1" w:rsidRPr="00EA5516" w:rsidRDefault="00B152E1" w:rsidP="00B152E1">
            <w:pPr>
              <w:contextualSpacing/>
              <w:rPr>
                <w:rFonts w:ascii="Times New Roman" w:eastAsia="Times New Roman" w:hAnsi="Times New Roman" w:cs="Times New Roman"/>
                <w:b w:val="0"/>
                <w:color w:val="000000"/>
                <w:lang w:eastAsia="en-GB"/>
              </w:rPr>
            </w:pPr>
            <w:r w:rsidRPr="00EA5516">
              <w:rPr>
                <w:rFonts w:ascii="Times New Roman" w:eastAsia="Times New Roman" w:hAnsi="Times New Roman" w:cs="Times New Roman"/>
                <w:b w:val="0"/>
                <w:color w:val="000000"/>
                <w:lang w:eastAsia="en-GB"/>
              </w:rPr>
              <w:t>High risk</w:t>
            </w:r>
          </w:p>
        </w:tc>
      </w:tr>
      <w:tr w:rsidR="00B152E1" w:rsidRPr="00EA5516" w:rsidTr="00B152E1">
        <w:trPr>
          <w:trHeight w:val="227"/>
        </w:trPr>
        <w:tc>
          <w:tcPr>
            <w:tcW w:w="2947" w:type="dxa"/>
            <w:shd w:val="clear" w:color="auto" w:fill="auto"/>
          </w:tcPr>
          <w:p w:rsidR="00B152E1" w:rsidRPr="00EA5516" w:rsidRDefault="00B152E1" w:rsidP="00B152E1">
            <w:pPr>
              <w:contextualSpacing/>
              <w:rPr>
                <w:rFonts w:ascii="Times New Roman" w:eastAsia="MS Mincho" w:hAnsi="Times New Roman" w:cs="Times New Roman"/>
                <w:b w:val="0"/>
                <w:color w:val="000000"/>
                <w:lang w:val="en-CA"/>
              </w:rPr>
            </w:pPr>
            <w:r w:rsidRPr="00EA5516">
              <w:rPr>
                <w:rFonts w:ascii="Times New Roman" w:eastAsia="MS Mincho" w:hAnsi="Times New Roman" w:cs="Times New Roman"/>
                <w:b w:val="0"/>
                <w:color w:val="000000"/>
                <w:lang w:val="en-CA"/>
              </w:rPr>
              <w:t xml:space="preserve">Mills (2002); </w:t>
            </w:r>
            <w:r w:rsidRPr="00EA5516">
              <w:rPr>
                <w:rFonts w:ascii="Times New Roman" w:eastAsia="MS Mincho" w:hAnsi="Times New Roman" w:cs="Times New Roman"/>
                <w:b w:val="0"/>
                <w:lang w:val="en-CA"/>
              </w:rPr>
              <w:t>Study 1</w:t>
            </w:r>
          </w:p>
        </w:tc>
        <w:tc>
          <w:tcPr>
            <w:tcW w:w="1520" w:type="dxa"/>
            <w:shd w:val="clear" w:color="auto" w:fill="auto"/>
            <w:noWrap/>
          </w:tcPr>
          <w:p w:rsidR="00B152E1" w:rsidRPr="00EA5516" w:rsidRDefault="00B152E1" w:rsidP="00B152E1">
            <w:pPr>
              <w:contextualSpacing/>
              <w:rPr>
                <w:rFonts w:ascii="Times New Roman" w:eastAsia="Times New Roman" w:hAnsi="Times New Roman" w:cs="Times New Roman"/>
                <w:b w:val="0"/>
                <w:color w:val="000000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b w:val="0"/>
                <w:color w:val="000000"/>
                <w:lang w:eastAsia="en-GB"/>
              </w:rPr>
              <w:t>High</w:t>
            </w:r>
            <w:r w:rsidRPr="00EA5516">
              <w:rPr>
                <w:rFonts w:ascii="Times New Roman" w:eastAsia="Times New Roman" w:hAnsi="Times New Roman" w:cs="Times New Roman"/>
                <w:b w:val="0"/>
                <w:color w:val="000000"/>
                <w:lang w:eastAsia="en-GB"/>
              </w:rPr>
              <w:t xml:space="preserve"> risk</w:t>
            </w:r>
          </w:p>
        </w:tc>
        <w:tc>
          <w:tcPr>
            <w:tcW w:w="1520" w:type="dxa"/>
            <w:shd w:val="clear" w:color="auto" w:fill="auto"/>
            <w:noWrap/>
          </w:tcPr>
          <w:p w:rsidR="00B152E1" w:rsidRPr="00EA5516" w:rsidRDefault="00B152E1" w:rsidP="00B152E1">
            <w:pPr>
              <w:contextualSpacing/>
              <w:rPr>
                <w:rFonts w:ascii="Times New Roman" w:eastAsia="Times New Roman" w:hAnsi="Times New Roman" w:cs="Times New Roman"/>
                <w:b w:val="0"/>
                <w:color w:val="000000"/>
                <w:lang w:eastAsia="en-GB"/>
              </w:rPr>
            </w:pPr>
            <w:r w:rsidRPr="00EA5516">
              <w:rPr>
                <w:rFonts w:ascii="Times New Roman" w:eastAsia="Times New Roman" w:hAnsi="Times New Roman" w:cs="Times New Roman"/>
                <w:b w:val="0"/>
                <w:color w:val="000000"/>
                <w:lang w:eastAsia="en-GB"/>
              </w:rPr>
              <w:t>Unclear risk</w:t>
            </w:r>
          </w:p>
        </w:tc>
        <w:tc>
          <w:tcPr>
            <w:tcW w:w="1520" w:type="dxa"/>
            <w:shd w:val="clear" w:color="auto" w:fill="auto"/>
            <w:noWrap/>
          </w:tcPr>
          <w:p w:rsidR="00B152E1" w:rsidRPr="00B152E1" w:rsidRDefault="00B152E1" w:rsidP="00B152E1">
            <w:pPr>
              <w:contextualSpacing/>
              <w:rPr>
                <w:rFonts w:ascii="Times New Roman" w:eastAsia="Times New Roman" w:hAnsi="Times New Roman" w:cs="Times New Roman"/>
                <w:b w:val="0"/>
                <w:color w:val="000000"/>
                <w:lang w:eastAsia="en-GB"/>
              </w:rPr>
            </w:pPr>
            <w:r w:rsidRPr="00B152E1">
              <w:rPr>
                <w:rFonts w:ascii="Times New Roman" w:eastAsia="Times New Roman" w:hAnsi="Times New Roman" w:cs="Times New Roman"/>
                <w:b w:val="0"/>
                <w:color w:val="000000"/>
                <w:lang w:eastAsia="en-GB"/>
              </w:rPr>
              <w:t>Low risk</w:t>
            </w:r>
          </w:p>
        </w:tc>
        <w:tc>
          <w:tcPr>
            <w:tcW w:w="1520" w:type="dxa"/>
          </w:tcPr>
          <w:p w:rsidR="00B152E1" w:rsidRPr="00B152E1" w:rsidRDefault="00B152E1" w:rsidP="00B152E1">
            <w:pPr>
              <w:rPr>
                <w:rFonts w:ascii="Times New Roman" w:hAnsi="Times New Roman" w:cs="Times New Roman"/>
                <w:b w:val="0"/>
              </w:rPr>
            </w:pPr>
            <w:r w:rsidRPr="00B152E1">
              <w:rPr>
                <w:rFonts w:ascii="Times New Roman" w:hAnsi="Times New Roman" w:cs="Times New Roman"/>
                <w:b w:val="0"/>
              </w:rPr>
              <w:t>High risk</w:t>
            </w:r>
          </w:p>
        </w:tc>
        <w:tc>
          <w:tcPr>
            <w:tcW w:w="1520" w:type="dxa"/>
            <w:shd w:val="clear" w:color="auto" w:fill="auto"/>
            <w:noWrap/>
          </w:tcPr>
          <w:p w:rsidR="00B152E1" w:rsidRPr="00EA5516" w:rsidRDefault="00B152E1" w:rsidP="00B152E1">
            <w:pPr>
              <w:contextualSpacing/>
              <w:rPr>
                <w:rFonts w:ascii="Times New Roman" w:eastAsia="Times New Roman" w:hAnsi="Times New Roman" w:cs="Times New Roman"/>
                <w:b w:val="0"/>
                <w:color w:val="000000"/>
                <w:lang w:eastAsia="en-GB"/>
              </w:rPr>
            </w:pPr>
            <w:r w:rsidRPr="00EA5516">
              <w:rPr>
                <w:rFonts w:ascii="Times New Roman" w:eastAsia="Times New Roman" w:hAnsi="Times New Roman" w:cs="Times New Roman"/>
                <w:b w:val="0"/>
                <w:color w:val="000000"/>
                <w:lang w:eastAsia="en-GB"/>
              </w:rPr>
              <w:t>Low risk</w:t>
            </w:r>
          </w:p>
        </w:tc>
        <w:tc>
          <w:tcPr>
            <w:tcW w:w="1520" w:type="dxa"/>
            <w:shd w:val="clear" w:color="auto" w:fill="auto"/>
            <w:noWrap/>
          </w:tcPr>
          <w:p w:rsidR="00B152E1" w:rsidRPr="00EA5516" w:rsidRDefault="00B152E1" w:rsidP="00B152E1">
            <w:pPr>
              <w:contextualSpacing/>
              <w:rPr>
                <w:rFonts w:ascii="Times New Roman" w:eastAsia="Times New Roman" w:hAnsi="Times New Roman" w:cs="Times New Roman"/>
                <w:b w:val="0"/>
                <w:color w:val="000000"/>
                <w:lang w:eastAsia="en-GB"/>
              </w:rPr>
            </w:pPr>
            <w:r w:rsidRPr="00EA5516">
              <w:rPr>
                <w:rFonts w:ascii="Times New Roman" w:eastAsia="Times New Roman" w:hAnsi="Times New Roman" w:cs="Times New Roman"/>
                <w:b w:val="0"/>
                <w:color w:val="000000"/>
                <w:lang w:eastAsia="en-GB"/>
              </w:rPr>
              <w:t>Low risk</w:t>
            </w:r>
          </w:p>
        </w:tc>
        <w:tc>
          <w:tcPr>
            <w:tcW w:w="1520" w:type="dxa"/>
            <w:shd w:val="clear" w:color="auto" w:fill="auto"/>
            <w:noWrap/>
          </w:tcPr>
          <w:p w:rsidR="00B152E1" w:rsidRPr="00EA5516" w:rsidRDefault="00B152E1" w:rsidP="00B152E1">
            <w:pPr>
              <w:contextualSpacing/>
              <w:rPr>
                <w:rFonts w:ascii="Times New Roman" w:eastAsia="Times New Roman" w:hAnsi="Times New Roman" w:cs="Times New Roman"/>
                <w:b w:val="0"/>
                <w:color w:val="000000"/>
                <w:lang w:eastAsia="en-GB"/>
              </w:rPr>
            </w:pPr>
            <w:r w:rsidRPr="00EA5516">
              <w:rPr>
                <w:rFonts w:ascii="Times New Roman" w:eastAsia="Times New Roman" w:hAnsi="Times New Roman" w:cs="Times New Roman"/>
                <w:b w:val="0"/>
                <w:color w:val="000000"/>
                <w:lang w:eastAsia="en-GB"/>
              </w:rPr>
              <w:t>High risk</w:t>
            </w:r>
          </w:p>
        </w:tc>
      </w:tr>
      <w:tr w:rsidR="00B152E1" w:rsidRPr="00EA5516" w:rsidTr="00B152E1">
        <w:trPr>
          <w:trHeight w:val="227"/>
        </w:trPr>
        <w:tc>
          <w:tcPr>
            <w:tcW w:w="2947" w:type="dxa"/>
            <w:shd w:val="clear" w:color="auto" w:fill="auto"/>
            <w:vAlign w:val="center"/>
          </w:tcPr>
          <w:p w:rsidR="00B152E1" w:rsidRPr="00EA5516" w:rsidRDefault="00B152E1" w:rsidP="00B152E1">
            <w:pPr>
              <w:contextualSpacing/>
              <w:rPr>
                <w:rFonts w:ascii="Times New Roman" w:eastAsia="Times New Roman" w:hAnsi="Times New Roman" w:cs="Times New Roman"/>
                <w:b w:val="0"/>
                <w:color w:val="000000"/>
                <w:lang w:eastAsia="en-GB"/>
              </w:rPr>
            </w:pPr>
            <w:r w:rsidRPr="00EA5516">
              <w:rPr>
                <w:rFonts w:ascii="Times New Roman" w:eastAsia="Times New Roman" w:hAnsi="Times New Roman" w:cs="Times New Roman"/>
                <w:b w:val="0"/>
                <w:color w:val="000000"/>
                <w:lang w:eastAsia="en-GB"/>
              </w:rPr>
              <w:t>Minas (2016)</w:t>
            </w:r>
          </w:p>
        </w:tc>
        <w:tc>
          <w:tcPr>
            <w:tcW w:w="1520" w:type="dxa"/>
            <w:shd w:val="clear" w:color="auto" w:fill="auto"/>
            <w:noWrap/>
          </w:tcPr>
          <w:p w:rsidR="00B152E1" w:rsidRPr="00EA5516" w:rsidRDefault="00B152E1" w:rsidP="00B152E1">
            <w:pPr>
              <w:contextualSpacing/>
              <w:rPr>
                <w:rFonts w:ascii="Times New Roman" w:eastAsia="Times New Roman" w:hAnsi="Times New Roman" w:cs="Times New Roman"/>
                <w:b w:val="0"/>
                <w:color w:val="000000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b w:val="0"/>
                <w:color w:val="000000"/>
                <w:lang w:eastAsia="en-GB"/>
              </w:rPr>
              <w:t>High</w:t>
            </w:r>
            <w:r w:rsidRPr="00EA5516">
              <w:rPr>
                <w:rFonts w:ascii="Times New Roman" w:eastAsia="Times New Roman" w:hAnsi="Times New Roman" w:cs="Times New Roman"/>
                <w:b w:val="0"/>
                <w:color w:val="000000"/>
                <w:lang w:eastAsia="en-GB"/>
              </w:rPr>
              <w:t xml:space="preserve"> risk</w:t>
            </w:r>
          </w:p>
        </w:tc>
        <w:tc>
          <w:tcPr>
            <w:tcW w:w="1520" w:type="dxa"/>
            <w:shd w:val="clear" w:color="auto" w:fill="auto"/>
            <w:noWrap/>
          </w:tcPr>
          <w:p w:rsidR="00B152E1" w:rsidRPr="00EA5516" w:rsidRDefault="00B152E1" w:rsidP="00B152E1">
            <w:pPr>
              <w:contextualSpacing/>
              <w:rPr>
                <w:rFonts w:ascii="Times New Roman" w:eastAsia="Times New Roman" w:hAnsi="Times New Roman" w:cs="Times New Roman"/>
                <w:b w:val="0"/>
                <w:color w:val="000000"/>
                <w:lang w:eastAsia="en-GB"/>
              </w:rPr>
            </w:pPr>
            <w:r w:rsidRPr="00EA5516">
              <w:rPr>
                <w:rFonts w:ascii="Times New Roman" w:eastAsia="Times New Roman" w:hAnsi="Times New Roman" w:cs="Times New Roman"/>
                <w:b w:val="0"/>
                <w:color w:val="000000"/>
                <w:lang w:eastAsia="en-GB"/>
              </w:rPr>
              <w:t>Unclear risk</w:t>
            </w:r>
          </w:p>
        </w:tc>
        <w:tc>
          <w:tcPr>
            <w:tcW w:w="1520" w:type="dxa"/>
            <w:shd w:val="clear" w:color="auto" w:fill="auto"/>
            <w:noWrap/>
          </w:tcPr>
          <w:p w:rsidR="00B152E1" w:rsidRPr="00B152E1" w:rsidRDefault="00B152E1" w:rsidP="00B152E1">
            <w:pPr>
              <w:contextualSpacing/>
              <w:rPr>
                <w:rFonts w:ascii="Times New Roman" w:eastAsia="Times New Roman" w:hAnsi="Times New Roman" w:cs="Times New Roman"/>
                <w:b w:val="0"/>
                <w:color w:val="000000"/>
                <w:lang w:eastAsia="en-GB"/>
              </w:rPr>
            </w:pPr>
            <w:r w:rsidRPr="00B152E1">
              <w:rPr>
                <w:rFonts w:ascii="Times New Roman" w:eastAsia="Times New Roman" w:hAnsi="Times New Roman" w:cs="Times New Roman"/>
                <w:b w:val="0"/>
                <w:color w:val="000000"/>
                <w:lang w:eastAsia="en-GB"/>
              </w:rPr>
              <w:t>High risk</w:t>
            </w:r>
          </w:p>
        </w:tc>
        <w:tc>
          <w:tcPr>
            <w:tcW w:w="1520" w:type="dxa"/>
          </w:tcPr>
          <w:p w:rsidR="00B152E1" w:rsidRPr="00B152E1" w:rsidRDefault="00B152E1" w:rsidP="00B152E1">
            <w:pPr>
              <w:rPr>
                <w:rFonts w:ascii="Times New Roman" w:hAnsi="Times New Roman" w:cs="Times New Roman"/>
                <w:b w:val="0"/>
              </w:rPr>
            </w:pPr>
            <w:r w:rsidRPr="00B152E1">
              <w:rPr>
                <w:rFonts w:ascii="Times New Roman" w:hAnsi="Times New Roman" w:cs="Times New Roman"/>
                <w:b w:val="0"/>
              </w:rPr>
              <w:t>Low risk</w:t>
            </w:r>
          </w:p>
        </w:tc>
        <w:tc>
          <w:tcPr>
            <w:tcW w:w="1520" w:type="dxa"/>
            <w:shd w:val="clear" w:color="auto" w:fill="auto"/>
            <w:noWrap/>
          </w:tcPr>
          <w:p w:rsidR="00B152E1" w:rsidRPr="00EA5516" w:rsidRDefault="00B152E1" w:rsidP="00B152E1">
            <w:pPr>
              <w:contextualSpacing/>
              <w:rPr>
                <w:rFonts w:ascii="Times New Roman" w:eastAsia="Times New Roman" w:hAnsi="Times New Roman" w:cs="Times New Roman"/>
                <w:b w:val="0"/>
                <w:color w:val="000000"/>
                <w:lang w:eastAsia="en-GB"/>
              </w:rPr>
            </w:pPr>
            <w:r w:rsidRPr="00EA5516">
              <w:rPr>
                <w:rFonts w:ascii="Times New Roman" w:eastAsia="Times New Roman" w:hAnsi="Times New Roman" w:cs="Times New Roman"/>
                <w:b w:val="0"/>
                <w:color w:val="000000"/>
                <w:lang w:eastAsia="en-GB"/>
              </w:rPr>
              <w:t>Low risk</w:t>
            </w:r>
          </w:p>
        </w:tc>
        <w:tc>
          <w:tcPr>
            <w:tcW w:w="1520" w:type="dxa"/>
            <w:shd w:val="clear" w:color="auto" w:fill="auto"/>
            <w:noWrap/>
          </w:tcPr>
          <w:p w:rsidR="00B152E1" w:rsidRPr="00EA5516" w:rsidRDefault="00B152E1" w:rsidP="00B152E1">
            <w:pPr>
              <w:contextualSpacing/>
              <w:rPr>
                <w:rFonts w:ascii="Times New Roman" w:eastAsia="Times New Roman" w:hAnsi="Times New Roman" w:cs="Times New Roman"/>
                <w:b w:val="0"/>
                <w:color w:val="000000"/>
                <w:lang w:eastAsia="en-GB"/>
              </w:rPr>
            </w:pPr>
            <w:r w:rsidRPr="00EA5516">
              <w:rPr>
                <w:rFonts w:ascii="Times New Roman" w:eastAsia="Times New Roman" w:hAnsi="Times New Roman" w:cs="Times New Roman"/>
                <w:b w:val="0"/>
                <w:color w:val="000000"/>
                <w:lang w:eastAsia="en-GB"/>
              </w:rPr>
              <w:t>High risk</w:t>
            </w:r>
          </w:p>
        </w:tc>
        <w:tc>
          <w:tcPr>
            <w:tcW w:w="1520" w:type="dxa"/>
            <w:shd w:val="clear" w:color="auto" w:fill="auto"/>
            <w:noWrap/>
            <w:vAlign w:val="bottom"/>
          </w:tcPr>
          <w:p w:rsidR="00B152E1" w:rsidRPr="00EA5516" w:rsidRDefault="00B152E1" w:rsidP="00B152E1">
            <w:pPr>
              <w:contextualSpacing/>
              <w:rPr>
                <w:rFonts w:ascii="Times New Roman" w:eastAsia="Times New Roman" w:hAnsi="Times New Roman" w:cs="Times New Roman"/>
                <w:b w:val="0"/>
                <w:color w:val="000000"/>
                <w:lang w:eastAsia="en-GB"/>
              </w:rPr>
            </w:pPr>
            <w:r w:rsidRPr="00EA5516">
              <w:rPr>
                <w:rFonts w:ascii="Times New Roman" w:eastAsia="Times New Roman" w:hAnsi="Times New Roman" w:cs="Times New Roman"/>
                <w:b w:val="0"/>
                <w:color w:val="000000"/>
                <w:lang w:eastAsia="en-GB"/>
              </w:rPr>
              <w:t>High risk</w:t>
            </w:r>
          </w:p>
        </w:tc>
      </w:tr>
      <w:tr w:rsidR="00B152E1" w:rsidRPr="00EA5516" w:rsidTr="00B152E1">
        <w:trPr>
          <w:trHeight w:val="227"/>
        </w:trPr>
        <w:tc>
          <w:tcPr>
            <w:tcW w:w="2947" w:type="dxa"/>
            <w:shd w:val="clear" w:color="auto" w:fill="auto"/>
            <w:vAlign w:val="center"/>
          </w:tcPr>
          <w:p w:rsidR="00B152E1" w:rsidRPr="00EA5516" w:rsidRDefault="00B152E1" w:rsidP="00B152E1">
            <w:pPr>
              <w:contextualSpacing/>
              <w:rPr>
                <w:rFonts w:ascii="Times New Roman" w:eastAsia="Times New Roman" w:hAnsi="Times New Roman" w:cs="Times New Roman"/>
                <w:b w:val="0"/>
                <w:color w:val="000000"/>
                <w:lang w:eastAsia="en-GB"/>
              </w:rPr>
            </w:pPr>
            <w:proofErr w:type="spellStart"/>
            <w:r w:rsidRPr="00EA5516">
              <w:rPr>
                <w:rFonts w:ascii="Times New Roman" w:eastAsia="Times New Roman" w:hAnsi="Times New Roman" w:cs="Times New Roman"/>
                <w:b w:val="0"/>
                <w:color w:val="000000"/>
                <w:lang w:eastAsia="en-GB"/>
              </w:rPr>
              <w:t>Papies</w:t>
            </w:r>
            <w:proofErr w:type="spellEnd"/>
            <w:r w:rsidRPr="00EA5516">
              <w:rPr>
                <w:rFonts w:ascii="Times New Roman" w:eastAsia="Times New Roman" w:hAnsi="Times New Roman" w:cs="Times New Roman"/>
                <w:b w:val="0"/>
                <w:color w:val="000000"/>
                <w:lang w:eastAsia="en-GB"/>
              </w:rPr>
              <w:t xml:space="preserve"> (2010)</w:t>
            </w:r>
          </w:p>
        </w:tc>
        <w:tc>
          <w:tcPr>
            <w:tcW w:w="1520" w:type="dxa"/>
            <w:shd w:val="clear" w:color="auto" w:fill="auto"/>
            <w:noWrap/>
          </w:tcPr>
          <w:p w:rsidR="00B152E1" w:rsidRPr="00EA5516" w:rsidRDefault="00B152E1" w:rsidP="00B152E1">
            <w:pPr>
              <w:contextualSpacing/>
              <w:rPr>
                <w:rFonts w:ascii="Times New Roman" w:eastAsia="Times New Roman" w:hAnsi="Times New Roman" w:cs="Times New Roman"/>
                <w:b w:val="0"/>
                <w:color w:val="000000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b w:val="0"/>
                <w:color w:val="000000"/>
                <w:lang w:eastAsia="en-GB"/>
              </w:rPr>
              <w:t>High</w:t>
            </w:r>
            <w:r w:rsidRPr="00EA5516">
              <w:rPr>
                <w:rFonts w:ascii="Times New Roman" w:eastAsia="Times New Roman" w:hAnsi="Times New Roman" w:cs="Times New Roman"/>
                <w:b w:val="0"/>
                <w:color w:val="000000"/>
                <w:lang w:eastAsia="en-GB"/>
              </w:rPr>
              <w:t xml:space="preserve"> risk</w:t>
            </w:r>
          </w:p>
        </w:tc>
        <w:tc>
          <w:tcPr>
            <w:tcW w:w="1520" w:type="dxa"/>
            <w:shd w:val="clear" w:color="auto" w:fill="auto"/>
            <w:noWrap/>
          </w:tcPr>
          <w:p w:rsidR="00B152E1" w:rsidRPr="00EA5516" w:rsidRDefault="00B152E1" w:rsidP="00B152E1">
            <w:pPr>
              <w:contextualSpacing/>
              <w:rPr>
                <w:rFonts w:ascii="Times New Roman" w:eastAsia="Times New Roman" w:hAnsi="Times New Roman" w:cs="Times New Roman"/>
                <w:b w:val="0"/>
                <w:color w:val="000000"/>
                <w:lang w:eastAsia="en-GB"/>
              </w:rPr>
            </w:pPr>
            <w:r w:rsidRPr="00EA5516">
              <w:rPr>
                <w:rFonts w:ascii="Times New Roman" w:eastAsia="Times New Roman" w:hAnsi="Times New Roman" w:cs="Times New Roman"/>
                <w:b w:val="0"/>
                <w:color w:val="000000"/>
                <w:lang w:eastAsia="en-GB"/>
              </w:rPr>
              <w:t>Unclear risk</w:t>
            </w:r>
          </w:p>
        </w:tc>
        <w:tc>
          <w:tcPr>
            <w:tcW w:w="1520" w:type="dxa"/>
            <w:shd w:val="clear" w:color="auto" w:fill="auto"/>
            <w:noWrap/>
          </w:tcPr>
          <w:p w:rsidR="00B152E1" w:rsidRPr="00B152E1" w:rsidRDefault="00B152E1" w:rsidP="00B152E1">
            <w:pPr>
              <w:contextualSpacing/>
              <w:rPr>
                <w:rFonts w:ascii="Times New Roman" w:eastAsia="Times New Roman" w:hAnsi="Times New Roman" w:cs="Times New Roman"/>
                <w:b w:val="0"/>
                <w:color w:val="000000"/>
                <w:lang w:eastAsia="en-GB"/>
              </w:rPr>
            </w:pPr>
            <w:r w:rsidRPr="00B152E1">
              <w:rPr>
                <w:rFonts w:ascii="Times New Roman" w:eastAsia="Times New Roman" w:hAnsi="Times New Roman" w:cs="Times New Roman"/>
                <w:b w:val="0"/>
                <w:color w:val="000000"/>
                <w:lang w:eastAsia="en-GB"/>
              </w:rPr>
              <w:t>Low risk</w:t>
            </w:r>
          </w:p>
        </w:tc>
        <w:tc>
          <w:tcPr>
            <w:tcW w:w="1520" w:type="dxa"/>
          </w:tcPr>
          <w:p w:rsidR="00B152E1" w:rsidRPr="00B152E1" w:rsidRDefault="00B152E1" w:rsidP="00B152E1">
            <w:pPr>
              <w:rPr>
                <w:rFonts w:ascii="Times New Roman" w:hAnsi="Times New Roman" w:cs="Times New Roman"/>
                <w:b w:val="0"/>
              </w:rPr>
            </w:pPr>
            <w:r w:rsidRPr="00B152E1">
              <w:rPr>
                <w:rFonts w:ascii="Times New Roman" w:hAnsi="Times New Roman" w:cs="Times New Roman"/>
                <w:b w:val="0"/>
              </w:rPr>
              <w:t>High risk</w:t>
            </w:r>
          </w:p>
        </w:tc>
        <w:tc>
          <w:tcPr>
            <w:tcW w:w="1520" w:type="dxa"/>
            <w:shd w:val="clear" w:color="auto" w:fill="auto"/>
            <w:noWrap/>
          </w:tcPr>
          <w:p w:rsidR="00B152E1" w:rsidRPr="00EA5516" w:rsidRDefault="00B152E1" w:rsidP="00B152E1">
            <w:pPr>
              <w:contextualSpacing/>
              <w:rPr>
                <w:rFonts w:ascii="Times New Roman" w:eastAsia="Times New Roman" w:hAnsi="Times New Roman" w:cs="Times New Roman"/>
                <w:b w:val="0"/>
                <w:color w:val="000000"/>
                <w:lang w:eastAsia="en-GB"/>
              </w:rPr>
            </w:pPr>
            <w:r w:rsidRPr="00EA5516">
              <w:rPr>
                <w:rFonts w:ascii="Times New Roman" w:eastAsia="Times New Roman" w:hAnsi="Times New Roman" w:cs="Times New Roman"/>
                <w:b w:val="0"/>
                <w:color w:val="000000"/>
                <w:lang w:eastAsia="en-GB"/>
              </w:rPr>
              <w:t>Low risk</w:t>
            </w:r>
          </w:p>
        </w:tc>
        <w:tc>
          <w:tcPr>
            <w:tcW w:w="1520" w:type="dxa"/>
            <w:shd w:val="clear" w:color="auto" w:fill="auto"/>
            <w:noWrap/>
          </w:tcPr>
          <w:p w:rsidR="00B152E1" w:rsidRPr="00EA5516" w:rsidRDefault="00B152E1" w:rsidP="00B152E1">
            <w:pPr>
              <w:contextualSpacing/>
              <w:rPr>
                <w:rFonts w:ascii="Times New Roman" w:eastAsia="Times New Roman" w:hAnsi="Times New Roman" w:cs="Times New Roman"/>
                <w:b w:val="0"/>
                <w:color w:val="000000"/>
                <w:lang w:eastAsia="en-GB"/>
              </w:rPr>
            </w:pPr>
            <w:r w:rsidRPr="00EA5516">
              <w:rPr>
                <w:rFonts w:ascii="Times New Roman" w:eastAsia="Times New Roman" w:hAnsi="Times New Roman" w:cs="Times New Roman"/>
                <w:b w:val="0"/>
                <w:color w:val="000000"/>
                <w:lang w:eastAsia="en-GB"/>
              </w:rPr>
              <w:t>Low risk</w:t>
            </w:r>
          </w:p>
        </w:tc>
        <w:tc>
          <w:tcPr>
            <w:tcW w:w="1520" w:type="dxa"/>
            <w:shd w:val="clear" w:color="auto" w:fill="auto"/>
            <w:noWrap/>
            <w:vAlign w:val="bottom"/>
          </w:tcPr>
          <w:p w:rsidR="00B152E1" w:rsidRPr="00EA5516" w:rsidRDefault="00B152E1" w:rsidP="00B152E1">
            <w:pPr>
              <w:contextualSpacing/>
              <w:rPr>
                <w:rFonts w:ascii="Times New Roman" w:eastAsia="Times New Roman" w:hAnsi="Times New Roman" w:cs="Times New Roman"/>
                <w:b w:val="0"/>
                <w:color w:val="000000"/>
                <w:lang w:eastAsia="en-GB"/>
              </w:rPr>
            </w:pPr>
            <w:r w:rsidRPr="00EA5516">
              <w:rPr>
                <w:rFonts w:ascii="Times New Roman" w:eastAsia="Times New Roman" w:hAnsi="Times New Roman" w:cs="Times New Roman"/>
                <w:b w:val="0"/>
                <w:color w:val="000000"/>
                <w:lang w:eastAsia="en-GB"/>
              </w:rPr>
              <w:t>High risk</w:t>
            </w:r>
          </w:p>
        </w:tc>
      </w:tr>
      <w:tr w:rsidR="00B152E1" w:rsidRPr="00EA5516" w:rsidTr="00B152E1">
        <w:trPr>
          <w:trHeight w:val="227"/>
        </w:trPr>
        <w:tc>
          <w:tcPr>
            <w:tcW w:w="2947" w:type="dxa"/>
            <w:shd w:val="clear" w:color="auto" w:fill="auto"/>
            <w:vAlign w:val="bottom"/>
          </w:tcPr>
          <w:p w:rsidR="00B152E1" w:rsidRPr="00EA5516" w:rsidRDefault="00B152E1" w:rsidP="00B152E1">
            <w:pPr>
              <w:contextualSpacing/>
              <w:rPr>
                <w:rFonts w:ascii="Times New Roman" w:eastAsia="Times New Roman" w:hAnsi="Times New Roman" w:cs="Times New Roman"/>
                <w:b w:val="0"/>
                <w:color w:val="000000"/>
                <w:lang w:eastAsia="en-GB"/>
              </w:rPr>
            </w:pPr>
            <w:proofErr w:type="spellStart"/>
            <w:r w:rsidRPr="00EA5516">
              <w:rPr>
                <w:rFonts w:ascii="Times New Roman" w:eastAsia="Times New Roman" w:hAnsi="Times New Roman" w:cs="Times New Roman"/>
                <w:b w:val="0"/>
                <w:color w:val="000000"/>
                <w:lang w:eastAsia="en-GB"/>
              </w:rPr>
              <w:t>Pelaez</w:t>
            </w:r>
            <w:proofErr w:type="spellEnd"/>
            <w:r w:rsidRPr="00EA5516">
              <w:rPr>
                <w:rFonts w:ascii="Times New Roman" w:eastAsia="Times New Roman" w:hAnsi="Times New Roman" w:cs="Times New Roman"/>
                <w:b w:val="0"/>
                <w:color w:val="000000"/>
                <w:lang w:eastAsia="en-GB"/>
              </w:rPr>
              <w:t>-Fernandez (2011)</w:t>
            </w:r>
          </w:p>
        </w:tc>
        <w:tc>
          <w:tcPr>
            <w:tcW w:w="1520" w:type="dxa"/>
            <w:shd w:val="clear" w:color="auto" w:fill="auto"/>
            <w:noWrap/>
          </w:tcPr>
          <w:p w:rsidR="00B152E1" w:rsidRPr="00EA5516" w:rsidRDefault="00B152E1" w:rsidP="00B152E1">
            <w:pPr>
              <w:contextualSpacing/>
              <w:rPr>
                <w:rFonts w:ascii="Times New Roman" w:eastAsia="Times New Roman" w:hAnsi="Times New Roman" w:cs="Times New Roman"/>
                <w:b w:val="0"/>
                <w:color w:val="000000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b w:val="0"/>
                <w:color w:val="000000"/>
                <w:lang w:eastAsia="en-GB"/>
              </w:rPr>
              <w:t>High</w:t>
            </w:r>
            <w:r w:rsidRPr="00EA5516">
              <w:rPr>
                <w:rFonts w:ascii="Times New Roman" w:eastAsia="Times New Roman" w:hAnsi="Times New Roman" w:cs="Times New Roman"/>
                <w:b w:val="0"/>
                <w:color w:val="000000"/>
                <w:lang w:eastAsia="en-GB"/>
              </w:rPr>
              <w:t xml:space="preserve"> risk</w:t>
            </w:r>
          </w:p>
        </w:tc>
        <w:tc>
          <w:tcPr>
            <w:tcW w:w="1520" w:type="dxa"/>
            <w:shd w:val="clear" w:color="auto" w:fill="auto"/>
            <w:noWrap/>
          </w:tcPr>
          <w:p w:rsidR="00B152E1" w:rsidRPr="00EA5516" w:rsidRDefault="00B152E1" w:rsidP="00B152E1">
            <w:pPr>
              <w:contextualSpacing/>
              <w:rPr>
                <w:rFonts w:ascii="Times New Roman" w:eastAsia="Times New Roman" w:hAnsi="Times New Roman" w:cs="Times New Roman"/>
                <w:b w:val="0"/>
                <w:color w:val="000000"/>
                <w:lang w:eastAsia="en-GB"/>
              </w:rPr>
            </w:pPr>
            <w:r w:rsidRPr="00EA5516">
              <w:rPr>
                <w:rFonts w:ascii="Times New Roman" w:eastAsia="Times New Roman" w:hAnsi="Times New Roman" w:cs="Times New Roman"/>
                <w:b w:val="0"/>
                <w:color w:val="000000"/>
                <w:lang w:eastAsia="en-GB"/>
              </w:rPr>
              <w:t>Unclear risk</w:t>
            </w:r>
          </w:p>
        </w:tc>
        <w:tc>
          <w:tcPr>
            <w:tcW w:w="1520" w:type="dxa"/>
            <w:shd w:val="clear" w:color="auto" w:fill="auto"/>
            <w:noWrap/>
          </w:tcPr>
          <w:p w:rsidR="00B152E1" w:rsidRPr="00B152E1" w:rsidRDefault="00B152E1" w:rsidP="00B152E1">
            <w:pPr>
              <w:contextualSpacing/>
              <w:rPr>
                <w:rFonts w:ascii="Times New Roman" w:eastAsia="Times New Roman" w:hAnsi="Times New Roman" w:cs="Times New Roman"/>
                <w:b w:val="0"/>
                <w:color w:val="000000"/>
                <w:lang w:eastAsia="en-GB"/>
              </w:rPr>
            </w:pPr>
            <w:r w:rsidRPr="00B152E1">
              <w:rPr>
                <w:rFonts w:ascii="Times New Roman" w:eastAsia="Times New Roman" w:hAnsi="Times New Roman" w:cs="Times New Roman"/>
                <w:b w:val="0"/>
                <w:color w:val="000000"/>
                <w:lang w:eastAsia="en-GB"/>
              </w:rPr>
              <w:t>High risk</w:t>
            </w:r>
          </w:p>
        </w:tc>
        <w:tc>
          <w:tcPr>
            <w:tcW w:w="1520" w:type="dxa"/>
          </w:tcPr>
          <w:p w:rsidR="00B152E1" w:rsidRPr="00B152E1" w:rsidRDefault="00B152E1" w:rsidP="00B152E1">
            <w:pPr>
              <w:rPr>
                <w:rFonts w:ascii="Times New Roman" w:hAnsi="Times New Roman" w:cs="Times New Roman"/>
                <w:b w:val="0"/>
              </w:rPr>
            </w:pPr>
            <w:r w:rsidRPr="00B152E1">
              <w:rPr>
                <w:rFonts w:ascii="Times New Roman" w:hAnsi="Times New Roman" w:cs="Times New Roman"/>
                <w:b w:val="0"/>
              </w:rPr>
              <w:t>High risk</w:t>
            </w:r>
          </w:p>
        </w:tc>
        <w:tc>
          <w:tcPr>
            <w:tcW w:w="1520" w:type="dxa"/>
            <w:shd w:val="clear" w:color="auto" w:fill="auto"/>
            <w:noWrap/>
          </w:tcPr>
          <w:p w:rsidR="00B152E1" w:rsidRPr="00EA5516" w:rsidRDefault="00B152E1" w:rsidP="00B152E1">
            <w:pPr>
              <w:contextualSpacing/>
              <w:rPr>
                <w:rFonts w:ascii="Times New Roman" w:eastAsia="Times New Roman" w:hAnsi="Times New Roman" w:cs="Times New Roman"/>
                <w:b w:val="0"/>
                <w:color w:val="000000"/>
                <w:lang w:eastAsia="en-GB"/>
              </w:rPr>
            </w:pPr>
            <w:r w:rsidRPr="00EA5516">
              <w:rPr>
                <w:rFonts w:ascii="Times New Roman" w:eastAsia="Times New Roman" w:hAnsi="Times New Roman" w:cs="Times New Roman"/>
                <w:b w:val="0"/>
                <w:color w:val="000000"/>
                <w:lang w:eastAsia="en-GB"/>
              </w:rPr>
              <w:t>Low risk</w:t>
            </w:r>
          </w:p>
        </w:tc>
        <w:tc>
          <w:tcPr>
            <w:tcW w:w="1520" w:type="dxa"/>
            <w:shd w:val="clear" w:color="auto" w:fill="auto"/>
            <w:noWrap/>
          </w:tcPr>
          <w:p w:rsidR="00B152E1" w:rsidRPr="00EA5516" w:rsidRDefault="00B152E1" w:rsidP="00B152E1">
            <w:pPr>
              <w:contextualSpacing/>
              <w:rPr>
                <w:rFonts w:ascii="Times New Roman" w:eastAsia="Times New Roman" w:hAnsi="Times New Roman" w:cs="Times New Roman"/>
                <w:b w:val="0"/>
                <w:color w:val="000000"/>
                <w:lang w:eastAsia="en-GB"/>
              </w:rPr>
            </w:pPr>
            <w:r w:rsidRPr="00EA5516">
              <w:rPr>
                <w:rFonts w:ascii="Times New Roman" w:eastAsia="Times New Roman" w:hAnsi="Times New Roman" w:cs="Times New Roman"/>
                <w:b w:val="0"/>
                <w:color w:val="000000"/>
                <w:lang w:eastAsia="en-GB"/>
              </w:rPr>
              <w:t>Low risk</w:t>
            </w:r>
          </w:p>
        </w:tc>
        <w:tc>
          <w:tcPr>
            <w:tcW w:w="1520" w:type="dxa"/>
            <w:shd w:val="clear" w:color="auto" w:fill="auto"/>
            <w:noWrap/>
            <w:vAlign w:val="bottom"/>
          </w:tcPr>
          <w:p w:rsidR="00B152E1" w:rsidRPr="00EA5516" w:rsidRDefault="00B152E1" w:rsidP="00B152E1">
            <w:pPr>
              <w:contextualSpacing/>
              <w:rPr>
                <w:rFonts w:ascii="Times New Roman" w:eastAsia="Times New Roman" w:hAnsi="Times New Roman" w:cs="Times New Roman"/>
                <w:b w:val="0"/>
                <w:color w:val="000000"/>
                <w:lang w:eastAsia="en-GB"/>
              </w:rPr>
            </w:pPr>
            <w:r w:rsidRPr="00EA5516">
              <w:rPr>
                <w:rFonts w:ascii="Times New Roman" w:eastAsia="Times New Roman" w:hAnsi="Times New Roman" w:cs="Times New Roman"/>
                <w:b w:val="0"/>
                <w:color w:val="000000"/>
                <w:lang w:eastAsia="en-GB"/>
              </w:rPr>
              <w:t>High risk</w:t>
            </w:r>
          </w:p>
        </w:tc>
      </w:tr>
      <w:tr w:rsidR="00B152E1" w:rsidRPr="00EA5516" w:rsidTr="00B152E1">
        <w:trPr>
          <w:trHeight w:val="227"/>
        </w:trPr>
        <w:tc>
          <w:tcPr>
            <w:tcW w:w="2947" w:type="dxa"/>
            <w:shd w:val="clear" w:color="auto" w:fill="auto"/>
            <w:vAlign w:val="bottom"/>
          </w:tcPr>
          <w:p w:rsidR="00B152E1" w:rsidRPr="00EA5516" w:rsidRDefault="00B152E1" w:rsidP="00B152E1">
            <w:pPr>
              <w:contextualSpacing/>
              <w:rPr>
                <w:rFonts w:ascii="Times New Roman" w:eastAsia="Times New Roman" w:hAnsi="Times New Roman" w:cs="Times New Roman"/>
                <w:b w:val="0"/>
                <w:color w:val="000000"/>
                <w:lang w:eastAsia="en-GB"/>
              </w:rPr>
            </w:pPr>
            <w:r w:rsidRPr="00EA5516">
              <w:rPr>
                <w:rFonts w:ascii="Times New Roman" w:eastAsia="Times New Roman" w:hAnsi="Times New Roman" w:cs="Times New Roman"/>
                <w:b w:val="0"/>
                <w:color w:val="000000"/>
                <w:lang w:eastAsia="en-GB"/>
              </w:rPr>
              <w:t>Seddon &amp; Berry (1996)</w:t>
            </w:r>
          </w:p>
        </w:tc>
        <w:tc>
          <w:tcPr>
            <w:tcW w:w="1520" w:type="dxa"/>
            <w:shd w:val="clear" w:color="auto" w:fill="auto"/>
            <w:noWrap/>
          </w:tcPr>
          <w:p w:rsidR="00B152E1" w:rsidRPr="00EA5516" w:rsidRDefault="00B152E1" w:rsidP="00B152E1">
            <w:pPr>
              <w:contextualSpacing/>
              <w:rPr>
                <w:rFonts w:ascii="Times New Roman" w:eastAsia="Times New Roman" w:hAnsi="Times New Roman" w:cs="Times New Roman"/>
                <w:b w:val="0"/>
                <w:color w:val="000000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b w:val="0"/>
                <w:color w:val="000000"/>
                <w:lang w:eastAsia="en-GB"/>
              </w:rPr>
              <w:t>High</w:t>
            </w:r>
            <w:r w:rsidRPr="00EA5516">
              <w:rPr>
                <w:rFonts w:ascii="Times New Roman" w:eastAsia="Times New Roman" w:hAnsi="Times New Roman" w:cs="Times New Roman"/>
                <w:b w:val="0"/>
                <w:color w:val="000000"/>
                <w:lang w:eastAsia="en-GB"/>
              </w:rPr>
              <w:t xml:space="preserve"> risk</w:t>
            </w:r>
          </w:p>
        </w:tc>
        <w:tc>
          <w:tcPr>
            <w:tcW w:w="1520" w:type="dxa"/>
            <w:shd w:val="clear" w:color="auto" w:fill="auto"/>
            <w:noWrap/>
          </w:tcPr>
          <w:p w:rsidR="00B152E1" w:rsidRPr="00EA5516" w:rsidRDefault="00B152E1" w:rsidP="00B152E1">
            <w:pPr>
              <w:contextualSpacing/>
              <w:rPr>
                <w:rFonts w:ascii="Times New Roman" w:eastAsia="Times New Roman" w:hAnsi="Times New Roman" w:cs="Times New Roman"/>
                <w:b w:val="0"/>
                <w:color w:val="000000"/>
                <w:lang w:eastAsia="en-GB"/>
              </w:rPr>
            </w:pPr>
            <w:r w:rsidRPr="00EA5516">
              <w:rPr>
                <w:rFonts w:ascii="Times New Roman" w:eastAsia="Times New Roman" w:hAnsi="Times New Roman" w:cs="Times New Roman"/>
                <w:b w:val="0"/>
                <w:color w:val="000000"/>
                <w:lang w:eastAsia="en-GB"/>
              </w:rPr>
              <w:t>Unclear risk</w:t>
            </w:r>
          </w:p>
        </w:tc>
        <w:tc>
          <w:tcPr>
            <w:tcW w:w="1520" w:type="dxa"/>
            <w:shd w:val="clear" w:color="auto" w:fill="auto"/>
            <w:noWrap/>
          </w:tcPr>
          <w:p w:rsidR="00B152E1" w:rsidRPr="00B152E1" w:rsidRDefault="00B152E1" w:rsidP="00B152E1">
            <w:pPr>
              <w:contextualSpacing/>
              <w:rPr>
                <w:rFonts w:ascii="Times New Roman" w:eastAsia="Times New Roman" w:hAnsi="Times New Roman" w:cs="Times New Roman"/>
                <w:b w:val="0"/>
                <w:color w:val="000000"/>
                <w:lang w:eastAsia="en-GB"/>
              </w:rPr>
            </w:pPr>
            <w:r w:rsidRPr="00B152E1">
              <w:rPr>
                <w:rFonts w:ascii="Times New Roman" w:eastAsia="Times New Roman" w:hAnsi="Times New Roman" w:cs="Times New Roman"/>
                <w:b w:val="0"/>
                <w:color w:val="000000"/>
                <w:lang w:eastAsia="en-GB"/>
              </w:rPr>
              <w:t>High risk</w:t>
            </w:r>
          </w:p>
        </w:tc>
        <w:tc>
          <w:tcPr>
            <w:tcW w:w="1520" w:type="dxa"/>
          </w:tcPr>
          <w:p w:rsidR="00B152E1" w:rsidRPr="00B152E1" w:rsidRDefault="00B152E1" w:rsidP="00B152E1">
            <w:pPr>
              <w:rPr>
                <w:rFonts w:ascii="Times New Roman" w:hAnsi="Times New Roman" w:cs="Times New Roman"/>
                <w:b w:val="0"/>
              </w:rPr>
            </w:pPr>
            <w:r w:rsidRPr="00B152E1">
              <w:rPr>
                <w:rFonts w:ascii="Times New Roman" w:hAnsi="Times New Roman" w:cs="Times New Roman"/>
                <w:b w:val="0"/>
              </w:rPr>
              <w:t>High risk</w:t>
            </w:r>
          </w:p>
        </w:tc>
        <w:tc>
          <w:tcPr>
            <w:tcW w:w="1520" w:type="dxa"/>
            <w:shd w:val="clear" w:color="auto" w:fill="auto"/>
            <w:noWrap/>
          </w:tcPr>
          <w:p w:rsidR="00B152E1" w:rsidRPr="00EA5516" w:rsidRDefault="00B152E1" w:rsidP="00B152E1">
            <w:pPr>
              <w:contextualSpacing/>
              <w:rPr>
                <w:rFonts w:ascii="Times New Roman" w:eastAsia="Times New Roman" w:hAnsi="Times New Roman" w:cs="Times New Roman"/>
                <w:b w:val="0"/>
                <w:color w:val="000000"/>
                <w:lang w:eastAsia="en-GB"/>
              </w:rPr>
            </w:pPr>
            <w:r w:rsidRPr="00EA5516">
              <w:rPr>
                <w:rFonts w:ascii="Times New Roman" w:eastAsia="Times New Roman" w:hAnsi="Times New Roman" w:cs="Times New Roman"/>
                <w:b w:val="0"/>
                <w:color w:val="000000"/>
                <w:lang w:eastAsia="en-GB"/>
              </w:rPr>
              <w:t>Low risk</w:t>
            </w:r>
          </w:p>
        </w:tc>
        <w:tc>
          <w:tcPr>
            <w:tcW w:w="1520" w:type="dxa"/>
            <w:shd w:val="clear" w:color="auto" w:fill="auto"/>
            <w:noWrap/>
          </w:tcPr>
          <w:p w:rsidR="00B152E1" w:rsidRPr="00EA5516" w:rsidRDefault="00B152E1" w:rsidP="00B152E1">
            <w:pPr>
              <w:contextualSpacing/>
              <w:rPr>
                <w:rFonts w:ascii="Times New Roman" w:eastAsia="Times New Roman" w:hAnsi="Times New Roman" w:cs="Times New Roman"/>
                <w:b w:val="0"/>
                <w:color w:val="000000"/>
                <w:lang w:eastAsia="en-GB"/>
              </w:rPr>
            </w:pPr>
            <w:r w:rsidRPr="00EA5516">
              <w:rPr>
                <w:rFonts w:ascii="Times New Roman" w:eastAsia="Times New Roman" w:hAnsi="Times New Roman" w:cs="Times New Roman"/>
                <w:b w:val="0"/>
                <w:color w:val="000000"/>
                <w:lang w:eastAsia="en-GB"/>
              </w:rPr>
              <w:t>Low risk</w:t>
            </w:r>
          </w:p>
        </w:tc>
        <w:tc>
          <w:tcPr>
            <w:tcW w:w="1520" w:type="dxa"/>
            <w:shd w:val="clear" w:color="auto" w:fill="auto"/>
            <w:noWrap/>
            <w:vAlign w:val="bottom"/>
          </w:tcPr>
          <w:p w:rsidR="00B152E1" w:rsidRPr="00EA5516" w:rsidRDefault="00B152E1" w:rsidP="00B152E1">
            <w:pPr>
              <w:contextualSpacing/>
              <w:rPr>
                <w:rFonts w:ascii="Times New Roman" w:eastAsia="Times New Roman" w:hAnsi="Times New Roman" w:cs="Times New Roman"/>
                <w:b w:val="0"/>
                <w:color w:val="000000"/>
                <w:lang w:eastAsia="en-GB"/>
              </w:rPr>
            </w:pPr>
            <w:r w:rsidRPr="00EA5516">
              <w:rPr>
                <w:rFonts w:ascii="Times New Roman" w:eastAsia="Times New Roman" w:hAnsi="Times New Roman" w:cs="Times New Roman"/>
                <w:b w:val="0"/>
                <w:color w:val="000000"/>
                <w:lang w:eastAsia="en-GB"/>
              </w:rPr>
              <w:t>High risk</w:t>
            </w:r>
          </w:p>
        </w:tc>
      </w:tr>
      <w:tr w:rsidR="00B152E1" w:rsidRPr="00EA5516" w:rsidTr="00B152E1">
        <w:trPr>
          <w:trHeight w:val="70"/>
        </w:trPr>
        <w:tc>
          <w:tcPr>
            <w:tcW w:w="2947" w:type="dxa"/>
            <w:shd w:val="clear" w:color="auto" w:fill="auto"/>
            <w:vAlign w:val="bottom"/>
          </w:tcPr>
          <w:p w:rsidR="00B152E1" w:rsidRPr="00EA5516" w:rsidRDefault="00B152E1" w:rsidP="00B152E1">
            <w:pPr>
              <w:contextualSpacing/>
              <w:rPr>
                <w:rFonts w:ascii="Times New Roman" w:eastAsia="Times New Roman" w:hAnsi="Times New Roman" w:cs="Times New Roman"/>
                <w:b w:val="0"/>
                <w:color w:val="000000"/>
                <w:lang w:eastAsia="en-GB"/>
              </w:rPr>
            </w:pPr>
            <w:proofErr w:type="spellStart"/>
            <w:r w:rsidRPr="00EA5516">
              <w:rPr>
                <w:rFonts w:ascii="Times New Roman" w:eastAsia="Times New Roman" w:hAnsi="Times New Roman" w:cs="Times New Roman"/>
                <w:b w:val="0"/>
                <w:color w:val="000000"/>
                <w:lang w:eastAsia="en-GB"/>
              </w:rPr>
              <w:t>Sellahewa</w:t>
            </w:r>
            <w:proofErr w:type="spellEnd"/>
            <w:r w:rsidRPr="00EA5516">
              <w:rPr>
                <w:rFonts w:ascii="Times New Roman" w:eastAsia="Times New Roman" w:hAnsi="Times New Roman" w:cs="Times New Roman"/>
                <w:b w:val="0"/>
                <w:color w:val="000000"/>
                <w:lang w:eastAsia="en-GB"/>
              </w:rPr>
              <w:t xml:space="preserve"> (2015)</w:t>
            </w:r>
          </w:p>
        </w:tc>
        <w:tc>
          <w:tcPr>
            <w:tcW w:w="1520" w:type="dxa"/>
            <w:shd w:val="clear" w:color="auto" w:fill="auto"/>
            <w:noWrap/>
          </w:tcPr>
          <w:p w:rsidR="00B152E1" w:rsidRPr="00EA5516" w:rsidRDefault="00B152E1" w:rsidP="00B152E1">
            <w:pPr>
              <w:contextualSpacing/>
              <w:rPr>
                <w:rFonts w:ascii="Times New Roman" w:eastAsia="Times New Roman" w:hAnsi="Times New Roman" w:cs="Times New Roman"/>
                <w:b w:val="0"/>
                <w:color w:val="000000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b w:val="0"/>
                <w:color w:val="000000"/>
                <w:lang w:eastAsia="en-GB"/>
              </w:rPr>
              <w:t>High</w:t>
            </w:r>
            <w:r w:rsidRPr="00EA5516">
              <w:rPr>
                <w:rFonts w:ascii="Times New Roman" w:eastAsia="Times New Roman" w:hAnsi="Times New Roman" w:cs="Times New Roman"/>
                <w:b w:val="0"/>
                <w:color w:val="000000"/>
                <w:lang w:eastAsia="en-GB"/>
              </w:rPr>
              <w:t xml:space="preserve"> risk</w:t>
            </w:r>
          </w:p>
        </w:tc>
        <w:tc>
          <w:tcPr>
            <w:tcW w:w="1520" w:type="dxa"/>
            <w:shd w:val="clear" w:color="auto" w:fill="auto"/>
            <w:noWrap/>
          </w:tcPr>
          <w:p w:rsidR="00B152E1" w:rsidRPr="00EA5516" w:rsidRDefault="00B152E1" w:rsidP="00B152E1">
            <w:pPr>
              <w:contextualSpacing/>
              <w:rPr>
                <w:rFonts w:ascii="Times New Roman" w:eastAsia="Times New Roman" w:hAnsi="Times New Roman" w:cs="Times New Roman"/>
                <w:b w:val="0"/>
                <w:color w:val="000000"/>
                <w:lang w:eastAsia="en-GB"/>
              </w:rPr>
            </w:pPr>
            <w:r w:rsidRPr="00EA5516">
              <w:rPr>
                <w:rFonts w:ascii="Times New Roman" w:eastAsia="Times New Roman" w:hAnsi="Times New Roman" w:cs="Times New Roman"/>
                <w:b w:val="0"/>
                <w:color w:val="000000"/>
                <w:lang w:eastAsia="en-GB"/>
              </w:rPr>
              <w:t>Unclear risk</w:t>
            </w:r>
          </w:p>
        </w:tc>
        <w:tc>
          <w:tcPr>
            <w:tcW w:w="1520" w:type="dxa"/>
            <w:shd w:val="clear" w:color="auto" w:fill="auto"/>
            <w:noWrap/>
          </w:tcPr>
          <w:p w:rsidR="00B152E1" w:rsidRPr="00B152E1" w:rsidRDefault="00B152E1" w:rsidP="00B152E1">
            <w:pPr>
              <w:contextualSpacing/>
              <w:rPr>
                <w:rFonts w:ascii="Times New Roman" w:eastAsia="Times New Roman" w:hAnsi="Times New Roman" w:cs="Times New Roman"/>
                <w:b w:val="0"/>
                <w:color w:val="000000"/>
                <w:lang w:eastAsia="en-GB"/>
              </w:rPr>
            </w:pPr>
            <w:r w:rsidRPr="00B152E1">
              <w:rPr>
                <w:rFonts w:ascii="Times New Roman" w:eastAsia="Times New Roman" w:hAnsi="Times New Roman" w:cs="Times New Roman"/>
                <w:b w:val="0"/>
                <w:color w:val="000000"/>
                <w:lang w:eastAsia="en-GB"/>
              </w:rPr>
              <w:t>Low risk</w:t>
            </w:r>
          </w:p>
        </w:tc>
        <w:tc>
          <w:tcPr>
            <w:tcW w:w="1520" w:type="dxa"/>
          </w:tcPr>
          <w:p w:rsidR="00B152E1" w:rsidRPr="00B152E1" w:rsidRDefault="00B152E1" w:rsidP="00B152E1">
            <w:pPr>
              <w:rPr>
                <w:rFonts w:ascii="Times New Roman" w:hAnsi="Times New Roman" w:cs="Times New Roman"/>
                <w:b w:val="0"/>
              </w:rPr>
            </w:pPr>
            <w:r w:rsidRPr="00B152E1">
              <w:rPr>
                <w:rFonts w:ascii="Times New Roman" w:hAnsi="Times New Roman" w:cs="Times New Roman"/>
                <w:b w:val="0"/>
              </w:rPr>
              <w:t>High risk</w:t>
            </w:r>
          </w:p>
        </w:tc>
        <w:tc>
          <w:tcPr>
            <w:tcW w:w="1520" w:type="dxa"/>
            <w:shd w:val="clear" w:color="auto" w:fill="auto"/>
            <w:noWrap/>
          </w:tcPr>
          <w:p w:rsidR="00B152E1" w:rsidRPr="00EA5516" w:rsidRDefault="00B152E1" w:rsidP="00B152E1">
            <w:pPr>
              <w:contextualSpacing/>
              <w:rPr>
                <w:rFonts w:ascii="Times New Roman" w:eastAsia="Times New Roman" w:hAnsi="Times New Roman" w:cs="Times New Roman"/>
                <w:b w:val="0"/>
                <w:color w:val="000000"/>
                <w:lang w:eastAsia="en-GB"/>
              </w:rPr>
            </w:pPr>
            <w:r w:rsidRPr="00EA5516">
              <w:rPr>
                <w:rFonts w:ascii="Times New Roman" w:eastAsia="Times New Roman" w:hAnsi="Times New Roman" w:cs="Times New Roman"/>
                <w:b w:val="0"/>
                <w:color w:val="000000"/>
                <w:lang w:eastAsia="en-GB"/>
              </w:rPr>
              <w:t>Low risk</w:t>
            </w:r>
          </w:p>
        </w:tc>
        <w:tc>
          <w:tcPr>
            <w:tcW w:w="1520" w:type="dxa"/>
            <w:shd w:val="clear" w:color="auto" w:fill="auto"/>
            <w:noWrap/>
          </w:tcPr>
          <w:p w:rsidR="00B152E1" w:rsidRPr="00EA5516" w:rsidRDefault="00B152E1" w:rsidP="00B152E1">
            <w:pPr>
              <w:contextualSpacing/>
              <w:rPr>
                <w:rFonts w:ascii="Times New Roman" w:eastAsia="Times New Roman" w:hAnsi="Times New Roman" w:cs="Times New Roman"/>
                <w:b w:val="0"/>
                <w:color w:val="000000"/>
                <w:lang w:eastAsia="en-GB"/>
              </w:rPr>
            </w:pPr>
            <w:r w:rsidRPr="00EA5516">
              <w:rPr>
                <w:rFonts w:ascii="Times New Roman" w:eastAsia="Times New Roman" w:hAnsi="Times New Roman" w:cs="Times New Roman"/>
                <w:b w:val="0"/>
                <w:color w:val="000000"/>
                <w:lang w:eastAsia="en-GB"/>
              </w:rPr>
              <w:t>Low risk</w:t>
            </w:r>
          </w:p>
        </w:tc>
        <w:tc>
          <w:tcPr>
            <w:tcW w:w="1520" w:type="dxa"/>
            <w:shd w:val="clear" w:color="auto" w:fill="auto"/>
            <w:noWrap/>
            <w:vAlign w:val="bottom"/>
          </w:tcPr>
          <w:p w:rsidR="00B152E1" w:rsidRPr="00EA5516" w:rsidRDefault="00B152E1" w:rsidP="00B152E1">
            <w:pPr>
              <w:contextualSpacing/>
              <w:rPr>
                <w:rFonts w:ascii="Times New Roman" w:eastAsia="Times New Roman" w:hAnsi="Times New Roman" w:cs="Times New Roman"/>
                <w:b w:val="0"/>
                <w:color w:val="000000"/>
                <w:lang w:eastAsia="en-GB"/>
              </w:rPr>
            </w:pPr>
            <w:r w:rsidRPr="00EA5516">
              <w:rPr>
                <w:rFonts w:ascii="Times New Roman" w:eastAsia="Times New Roman" w:hAnsi="Times New Roman" w:cs="Times New Roman"/>
                <w:b w:val="0"/>
                <w:color w:val="000000"/>
                <w:lang w:eastAsia="en-GB"/>
              </w:rPr>
              <w:t>Low risk</w:t>
            </w:r>
          </w:p>
        </w:tc>
      </w:tr>
      <w:tr w:rsidR="00B152E1" w:rsidRPr="00EA5516" w:rsidTr="00B152E1">
        <w:trPr>
          <w:trHeight w:val="227"/>
        </w:trPr>
        <w:tc>
          <w:tcPr>
            <w:tcW w:w="2947" w:type="dxa"/>
            <w:shd w:val="clear" w:color="auto" w:fill="auto"/>
            <w:vAlign w:val="bottom"/>
          </w:tcPr>
          <w:p w:rsidR="00B152E1" w:rsidRPr="00EA5516" w:rsidRDefault="00B152E1" w:rsidP="00B152E1">
            <w:pPr>
              <w:contextualSpacing/>
              <w:rPr>
                <w:rFonts w:ascii="Times New Roman" w:eastAsia="Times New Roman" w:hAnsi="Times New Roman" w:cs="Times New Roman"/>
                <w:b w:val="0"/>
                <w:color w:val="000000"/>
                <w:lang w:eastAsia="en-GB"/>
              </w:rPr>
            </w:pPr>
            <w:proofErr w:type="spellStart"/>
            <w:r w:rsidRPr="00EA5516">
              <w:rPr>
                <w:rFonts w:ascii="Times New Roman" w:eastAsia="Times New Roman" w:hAnsi="Times New Roman" w:cs="Times New Roman"/>
                <w:b w:val="0"/>
                <w:color w:val="000000"/>
                <w:lang w:eastAsia="en-GB"/>
              </w:rPr>
              <w:t>Stampfli</w:t>
            </w:r>
            <w:proofErr w:type="spellEnd"/>
            <w:r w:rsidRPr="00EA5516">
              <w:rPr>
                <w:rFonts w:ascii="Times New Roman" w:eastAsia="Times New Roman" w:hAnsi="Times New Roman" w:cs="Times New Roman"/>
                <w:b w:val="0"/>
                <w:color w:val="000000"/>
                <w:lang w:eastAsia="en-GB"/>
              </w:rPr>
              <w:t xml:space="preserve">  (2016)</w:t>
            </w:r>
          </w:p>
        </w:tc>
        <w:tc>
          <w:tcPr>
            <w:tcW w:w="1520" w:type="dxa"/>
            <w:shd w:val="clear" w:color="auto" w:fill="auto"/>
            <w:noWrap/>
          </w:tcPr>
          <w:p w:rsidR="00B152E1" w:rsidRPr="00EA5516" w:rsidRDefault="00B152E1" w:rsidP="00B152E1">
            <w:pPr>
              <w:contextualSpacing/>
              <w:rPr>
                <w:rFonts w:ascii="Times New Roman" w:eastAsia="Times New Roman" w:hAnsi="Times New Roman" w:cs="Times New Roman"/>
                <w:b w:val="0"/>
                <w:color w:val="000000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b w:val="0"/>
                <w:color w:val="000000"/>
                <w:lang w:eastAsia="en-GB"/>
              </w:rPr>
              <w:t>High</w:t>
            </w:r>
            <w:r w:rsidRPr="00EA5516">
              <w:rPr>
                <w:rFonts w:ascii="Times New Roman" w:eastAsia="Times New Roman" w:hAnsi="Times New Roman" w:cs="Times New Roman"/>
                <w:b w:val="0"/>
                <w:color w:val="000000"/>
                <w:lang w:eastAsia="en-GB"/>
              </w:rPr>
              <w:t xml:space="preserve"> risk</w:t>
            </w:r>
          </w:p>
        </w:tc>
        <w:tc>
          <w:tcPr>
            <w:tcW w:w="1520" w:type="dxa"/>
            <w:shd w:val="clear" w:color="auto" w:fill="auto"/>
            <w:noWrap/>
          </w:tcPr>
          <w:p w:rsidR="00B152E1" w:rsidRPr="00EA5516" w:rsidRDefault="00B152E1" w:rsidP="00B152E1">
            <w:pPr>
              <w:contextualSpacing/>
              <w:rPr>
                <w:rFonts w:ascii="Times New Roman" w:eastAsia="Times New Roman" w:hAnsi="Times New Roman" w:cs="Times New Roman"/>
                <w:b w:val="0"/>
                <w:color w:val="000000"/>
                <w:lang w:eastAsia="en-GB"/>
              </w:rPr>
            </w:pPr>
            <w:r w:rsidRPr="00EA5516">
              <w:rPr>
                <w:rFonts w:ascii="Times New Roman" w:eastAsia="Times New Roman" w:hAnsi="Times New Roman" w:cs="Times New Roman"/>
                <w:b w:val="0"/>
                <w:color w:val="000000"/>
                <w:lang w:eastAsia="en-GB"/>
              </w:rPr>
              <w:t>Unclear risk</w:t>
            </w:r>
          </w:p>
        </w:tc>
        <w:tc>
          <w:tcPr>
            <w:tcW w:w="1520" w:type="dxa"/>
            <w:shd w:val="clear" w:color="auto" w:fill="auto"/>
            <w:noWrap/>
          </w:tcPr>
          <w:p w:rsidR="00B152E1" w:rsidRPr="00B152E1" w:rsidRDefault="00B152E1" w:rsidP="00B152E1">
            <w:pPr>
              <w:contextualSpacing/>
              <w:rPr>
                <w:rFonts w:ascii="Times New Roman" w:eastAsia="Times New Roman" w:hAnsi="Times New Roman" w:cs="Times New Roman"/>
                <w:b w:val="0"/>
                <w:color w:val="000000"/>
                <w:lang w:eastAsia="en-GB"/>
              </w:rPr>
            </w:pPr>
            <w:r w:rsidRPr="00B152E1">
              <w:rPr>
                <w:rFonts w:ascii="Times New Roman" w:eastAsia="Times New Roman" w:hAnsi="Times New Roman" w:cs="Times New Roman"/>
                <w:b w:val="0"/>
                <w:color w:val="000000"/>
                <w:lang w:eastAsia="en-GB"/>
              </w:rPr>
              <w:t>High risk</w:t>
            </w:r>
          </w:p>
        </w:tc>
        <w:tc>
          <w:tcPr>
            <w:tcW w:w="1520" w:type="dxa"/>
          </w:tcPr>
          <w:p w:rsidR="00B152E1" w:rsidRPr="00B152E1" w:rsidRDefault="00B152E1" w:rsidP="00B152E1">
            <w:pPr>
              <w:rPr>
                <w:rFonts w:ascii="Times New Roman" w:hAnsi="Times New Roman" w:cs="Times New Roman"/>
                <w:b w:val="0"/>
              </w:rPr>
            </w:pPr>
            <w:r w:rsidRPr="00B152E1">
              <w:rPr>
                <w:rFonts w:ascii="Times New Roman" w:hAnsi="Times New Roman" w:cs="Times New Roman"/>
                <w:b w:val="0"/>
              </w:rPr>
              <w:t>High risk</w:t>
            </w:r>
          </w:p>
        </w:tc>
        <w:tc>
          <w:tcPr>
            <w:tcW w:w="1520" w:type="dxa"/>
            <w:shd w:val="clear" w:color="auto" w:fill="auto"/>
            <w:noWrap/>
          </w:tcPr>
          <w:p w:rsidR="00B152E1" w:rsidRPr="00EA5516" w:rsidRDefault="00B152E1" w:rsidP="00B152E1">
            <w:pPr>
              <w:contextualSpacing/>
              <w:rPr>
                <w:rFonts w:ascii="Times New Roman" w:eastAsia="Times New Roman" w:hAnsi="Times New Roman" w:cs="Times New Roman"/>
                <w:b w:val="0"/>
                <w:color w:val="000000"/>
                <w:lang w:eastAsia="en-GB"/>
              </w:rPr>
            </w:pPr>
            <w:r w:rsidRPr="00EA5516">
              <w:rPr>
                <w:rFonts w:ascii="Times New Roman" w:eastAsia="Times New Roman" w:hAnsi="Times New Roman" w:cs="Times New Roman"/>
                <w:b w:val="0"/>
                <w:color w:val="000000"/>
                <w:lang w:eastAsia="en-GB"/>
              </w:rPr>
              <w:t>High risk</w:t>
            </w:r>
          </w:p>
        </w:tc>
        <w:tc>
          <w:tcPr>
            <w:tcW w:w="1520" w:type="dxa"/>
            <w:shd w:val="clear" w:color="auto" w:fill="auto"/>
            <w:noWrap/>
          </w:tcPr>
          <w:p w:rsidR="00B152E1" w:rsidRPr="00EA5516" w:rsidRDefault="00B152E1" w:rsidP="00B152E1">
            <w:pPr>
              <w:contextualSpacing/>
              <w:rPr>
                <w:rFonts w:ascii="Times New Roman" w:eastAsia="Times New Roman" w:hAnsi="Times New Roman" w:cs="Times New Roman"/>
                <w:b w:val="0"/>
                <w:color w:val="000000"/>
                <w:lang w:eastAsia="en-GB"/>
              </w:rPr>
            </w:pPr>
            <w:r w:rsidRPr="00EA5516">
              <w:rPr>
                <w:rFonts w:ascii="Times New Roman" w:eastAsia="Times New Roman" w:hAnsi="Times New Roman" w:cs="Times New Roman"/>
                <w:b w:val="0"/>
                <w:color w:val="000000"/>
                <w:lang w:eastAsia="en-GB"/>
              </w:rPr>
              <w:t>High risk</w:t>
            </w:r>
          </w:p>
        </w:tc>
        <w:tc>
          <w:tcPr>
            <w:tcW w:w="1520" w:type="dxa"/>
            <w:shd w:val="clear" w:color="auto" w:fill="auto"/>
            <w:noWrap/>
            <w:vAlign w:val="bottom"/>
          </w:tcPr>
          <w:p w:rsidR="00B152E1" w:rsidRPr="00EA5516" w:rsidRDefault="00B152E1" w:rsidP="00B152E1">
            <w:pPr>
              <w:contextualSpacing/>
              <w:rPr>
                <w:rFonts w:ascii="Times New Roman" w:eastAsia="Times New Roman" w:hAnsi="Times New Roman" w:cs="Times New Roman"/>
                <w:b w:val="0"/>
                <w:color w:val="000000"/>
                <w:lang w:eastAsia="en-GB"/>
              </w:rPr>
            </w:pPr>
            <w:r w:rsidRPr="00EA5516">
              <w:rPr>
                <w:rFonts w:ascii="Times New Roman" w:eastAsia="Times New Roman" w:hAnsi="Times New Roman" w:cs="Times New Roman"/>
                <w:b w:val="0"/>
                <w:color w:val="000000"/>
                <w:lang w:eastAsia="en-GB"/>
              </w:rPr>
              <w:t>High risk</w:t>
            </w:r>
          </w:p>
        </w:tc>
      </w:tr>
      <w:tr w:rsidR="00B152E1" w:rsidRPr="00EA5516" w:rsidTr="00B152E1">
        <w:trPr>
          <w:trHeight w:val="227"/>
        </w:trPr>
        <w:tc>
          <w:tcPr>
            <w:tcW w:w="2947" w:type="dxa"/>
            <w:shd w:val="clear" w:color="auto" w:fill="auto"/>
            <w:vAlign w:val="bottom"/>
          </w:tcPr>
          <w:p w:rsidR="00B152E1" w:rsidRPr="00EA5516" w:rsidRDefault="00B152E1" w:rsidP="00B152E1">
            <w:pPr>
              <w:contextualSpacing/>
              <w:rPr>
                <w:rFonts w:ascii="Times New Roman" w:eastAsia="Times New Roman" w:hAnsi="Times New Roman" w:cs="Times New Roman"/>
                <w:b w:val="0"/>
                <w:color w:val="000000"/>
                <w:lang w:eastAsia="en-GB"/>
              </w:rPr>
            </w:pPr>
            <w:proofErr w:type="spellStart"/>
            <w:r w:rsidRPr="00EA5516">
              <w:rPr>
                <w:rFonts w:ascii="Times New Roman" w:eastAsia="Times New Roman" w:hAnsi="Times New Roman" w:cs="Times New Roman"/>
                <w:b w:val="0"/>
                <w:color w:val="000000"/>
                <w:lang w:eastAsia="en-GB"/>
              </w:rPr>
              <w:t>Stampfli</w:t>
            </w:r>
            <w:proofErr w:type="spellEnd"/>
            <w:r w:rsidRPr="00EA5516">
              <w:rPr>
                <w:rFonts w:ascii="Times New Roman" w:eastAsia="Times New Roman" w:hAnsi="Times New Roman" w:cs="Times New Roman"/>
                <w:b w:val="0"/>
                <w:color w:val="000000"/>
                <w:lang w:eastAsia="en-GB"/>
              </w:rPr>
              <w:t xml:space="preserve"> (2017); Study 1</w:t>
            </w:r>
          </w:p>
        </w:tc>
        <w:tc>
          <w:tcPr>
            <w:tcW w:w="1520" w:type="dxa"/>
            <w:shd w:val="clear" w:color="auto" w:fill="auto"/>
            <w:noWrap/>
          </w:tcPr>
          <w:p w:rsidR="00B152E1" w:rsidRPr="00EA5516" w:rsidRDefault="00B152E1" w:rsidP="00B152E1">
            <w:pPr>
              <w:contextualSpacing/>
              <w:rPr>
                <w:rFonts w:ascii="Times New Roman" w:eastAsia="Times New Roman" w:hAnsi="Times New Roman" w:cs="Times New Roman"/>
                <w:b w:val="0"/>
                <w:color w:val="000000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b w:val="0"/>
                <w:color w:val="000000"/>
                <w:lang w:eastAsia="en-GB"/>
              </w:rPr>
              <w:t>High</w:t>
            </w:r>
            <w:r w:rsidRPr="00EA5516">
              <w:rPr>
                <w:rFonts w:ascii="Times New Roman" w:eastAsia="Times New Roman" w:hAnsi="Times New Roman" w:cs="Times New Roman"/>
                <w:b w:val="0"/>
                <w:color w:val="000000"/>
                <w:lang w:eastAsia="en-GB"/>
              </w:rPr>
              <w:t xml:space="preserve"> risk</w:t>
            </w:r>
          </w:p>
        </w:tc>
        <w:tc>
          <w:tcPr>
            <w:tcW w:w="1520" w:type="dxa"/>
            <w:shd w:val="clear" w:color="auto" w:fill="auto"/>
            <w:noWrap/>
          </w:tcPr>
          <w:p w:rsidR="00B152E1" w:rsidRPr="00EA5516" w:rsidRDefault="00B152E1" w:rsidP="00B152E1">
            <w:pPr>
              <w:contextualSpacing/>
              <w:rPr>
                <w:rFonts w:ascii="Times New Roman" w:eastAsia="Times New Roman" w:hAnsi="Times New Roman" w:cs="Times New Roman"/>
                <w:b w:val="0"/>
                <w:color w:val="000000"/>
                <w:lang w:eastAsia="en-GB"/>
              </w:rPr>
            </w:pPr>
            <w:r w:rsidRPr="00EA5516">
              <w:rPr>
                <w:rFonts w:ascii="Times New Roman" w:eastAsia="Times New Roman" w:hAnsi="Times New Roman" w:cs="Times New Roman"/>
                <w:b w:val="0"/>
                <w:color w:val="000000"/>
                <w:lang w:eastAsia="en-GB"/>
              </w:rPr>
              <w:t>Unclear risk</w:t>
            </w:r>
          </w:p>
        </w:tc>
        <w:tc>
          <w:tcPr>
            <w:tcW w:w="1520" w:type="dxa"/>
            <w:shd w:val="clear" w:color="auto" w:fill="auto"/>
            <w:noWrap/>
          </w:tcPr>
          <w:p w:rsidR="00B152E1" w:rsidRPr="00B152E1" w:rsidRDefault="00B152E1" w:rsidP="00B152E1">
            <w:pPr>
              <w:contextualSpacing/>
              <w:rPr>
                <w:rFonts w:ascii="Times New Roman" w:eastAsia="Times New Roman" w:hAnsi="Times New Roman" w:cs="Times New Roman"/>
                <w:b w:val="0"/>
                <w:color w:val="000000"/>
                <w:lang w:eastAsia="en-GB"/>
              </w:rPr>
            </w:pPr>
            <w:r w:rsidRPr="00B152E1">
              <w:rPr>
                <w:rFonts w:ascii="Times New Roman" w:eastAsia="Times New Roman" w:hAnsi="Times New Roman" w:cs="Times New Roman"/>
                <w:b w:val="0"/>
                <w:color w:val="000000"/>
                <w:lang w:eastAsia="en-GB"/>
              </w:rPr>
              <w:t>Low risk</w:t>
            </w:r>
          </w:p>
        </w:tc>
        <w:tc>
          <w:tcPr>
            <w:tcW w:w="1520" w:type="dxa"/>
          </w:tcPr>
          <w:p w:rsidR="00B152E1" w:rsidRPr="00B152E1" w:rsidRDefault="00B152E1" w:rsidP="00B152E1">
            <w:pPr>
              <w:rPr>
                <w:rFonts w:ascii="Times New Roman" w:hAnsi="Times New Roman" w:cs="Times New Roman"/>
                <w:b w:val="0"/>
              </w:rPr>
            </w:pPr>
            <w:r w:rsidRPr="00B152E1">
              <w:rPr>
                <w:rFonts w:ascii="Times New Roman" w:hAnsi="Times New Roman" w:cs="Times New Roman"/>
                <w:b w:val="0"/>
              </w:rPr>
              <w:t>High risk</w:t>
            </w:r>
          </w:p>
        </w:tc>
        <w:tc>
          <w:tcPr>
            <w:tcW w:w="1520" w:type="dxa"/>
            <w:shd w:val="clear" w:color="auto" w:fill="auto"/>
            <w:noWrap/>
          </w:tcPr>
          <w:p w:rsidR="00B152E1" w:rsidRPr="00EA5516" w:rsidRDefault="00B152E1" w:rsidP="00B152E1">
            <w:pPr>
              <w:contextualSpacing/>
              <w:rPr>
                <w:rFonts w:ascii="Times New Roman" w:eastAsia="Times New Roman" w:hAnsi="Times New Roman" w:cs="Times New Roman"/>
                <w:b w:val="0"/>
                <w:color w:val="000000"/>
                <w:lang w:eastAsia="en-GB"/>
              </w:rPr>
            </w:pPr>
            <w:r w:rsidRPr="00EA5516">
              <w:rPr>
                <w:rFonts w:ascii="Times New Roman" w:eastAsia="Times New Roman" w:hAnsi="Times New Roman" w:cs="Times New Roman"/>
                <w:b w:val="0"/>
                <w:color w:val="000000"/>
                <w:lang w:eastAsia="en-GB"/>
              </w:rPr>
              <w:t>Low risk</w:t>
            </w:r>
          </w:p>
        </w:tc>
        <w:tc>
          <w:tcPr>
            <w:tcW w:w="1520" w:type="dxa"/>
            <w:shd w:val="clear" w:color="auto" w:fill="auto"/>
            <w:noWrap/>
          </w:tcPr>
          <w:p w:rsidR="00B152E1" w:rsidRPr="00EA5516" w:rsidRDefault="00B152E1" w:rsidP="00B152E1">
            <w:pPr>
              <w:contextualSpacing/>
              <w:rPr>
                <w:rFonts w:ascii="Times New Roman" w:eastAsia="Times New Roman" w:hAnsi="Times New Roman" w:cs="Times New Roman"/>
                <w:b w:val="0"/>
                <w:color w:val="000000"/>
                <w:lang w:eastAsia="en-GB"/>
              </w:rPr>
            </w:pPr>
            <w:r w:rsidRPr="00EA5516">
              <w:rPr>
                <w:rFonts w:ascii="Times New Roman" w:eastAsia="Times New Roman" w:hAnsi="Times New Roman" w:cs="Times New Roman"/>
                <w:b w:val="0"/>
                <w:color w:val="000000"/>
                <w:lang w:eastAsia="en-GB"/>
              </w:rPr>
              <w:t>High risk</w:t>
            </w:r>
          </w:p>
        </w:tc>
        <w:tc>
          <w:tcPr>
            <w:tcW w:w="1520" w:type="dxa"/>
            <w:shd w:val="clear" w:color="auto" w:fill="auto"/>
            <w:noWrap/>
            <w:vAlign w:val="bottom"/>
          </w:tcPr>
          <w:p w:rsidR="00B152E1" w:rsidRPr="00EA5516" w:rsidRDefault="00B152E1" w:rsidP="00B152E1">
            <w:pPr>
              <w:contextualSpacing/>
              <w:rPr>
                <w:rFonts w:ascii="Times New Roman" w:eastAsia="Times New Roman" w:hAnsi="Times New Roman" w:cs="Times New Roman"/>
                <w:b w:val="0"/>
                <w:color w:val="000000"/>
                <w:lang w:eastAsia="en-GB"/>
              </w:rPr>
            </w:pPr>
            <w:r w:rsidRPr="00EA5516">
              <w:rPr>
                <w:rFonts w:ascii="Times New Roman" w:eastAsia="Times New Roman" w:hAnsi="Times New Roman" w:cs="Times New Roman"/>
                <w:b w:val="0"/>
                <w:color w:val="000000"/>
                <w:lang w:eastAsia="en-GB"/>
              </w:rPr>
              <w:t>High risk</w:t>
            </w:r>
          </w:p>
        </w:tc>
      </w:tr>
      <w:tr w:rsidR="00B152E1" w:rsidRPr="00EA5516" w:rsidTr="00B152E1">
        <w:trPr>
          <w:trHeight w:val="227"/>
        </w:trPr>
        <w:tc>
          <w:tcPr>
            <w:tcW w:w="2947" w:type="dxa"/>
            <w:shd w:val="clear" w:color="auto" w:fill="auto"/>
            <w:vAlign w:val="bottom"/>
          </w:tcPr>
          <w:p w:rsidR="00B152E1" w:rsidRPr="00EA5516" w:rsidRDefault="00B152E1" w:rsidP="00B152E1">
            <w:pPr>
              <w:contextualSpacing/>
              <w:rPr>
                <w:rFonts w:ascii="Times New Roman" w:eastAsia="Times New Roman" w:hAnsi="Times New Roman" w:cs="Times New Roman"/>
                <w:b w:val="0"/>
                <w:color w:val="000000"/>
                <w:lang w:eastAsia="en-GB"/>
              </w:rPr>
            </w:pPr>
            <w:r w:rsidRPr="00EA5516">
              <w:rPr>
                <w:rFonts w:ascii="Times New Roman" w:eastAsia="Times New Roman" w:hAnsi="Times New Roman" w:cs="Times New Roman"/>
                <w:b w:val="0"/>
                <w:color w:val="000000"/>
                <w:lang w:eastAsia="en-GB"/>
              </w:rPr>
              <w:t>Stein (2016)</w:t>
            </w:r>
          </w:p>
        </w:tc>
        <w:tc>
          <w:tcPr>
            <w:tcW w:w="1520" w:type="dxa"/>
            <w:shd w:val="clear" w:color="auto" w:fill="auto"/>
            <w:noWrap/>
          </w:tcPr>
          <w:p w:rsidR="00B152E1" w:rsidRPr="00EA5516" w:rsidRDefault="00B152E1" w:rsidP="00B152E1">
            <w:pPr>
              <w:contextualSpacing/>
              <w:rPr>
                <w:rFonts w:ascii="Times New Roman" w:eastAsia="Times New Roman" w:hAnsi="Times New Roman" w:cs="Times New Roman"/>
                <w:b w:val="0"/>
                <w:color w:val="000000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b w:val="0"/>
                <w:color w:val="000000"/>
                <w:lang w:eastAsia="en-GB"/>
              </w:rPr>
              <w:t>High</w:t>
            </w:r>
            <w:r w:rsidRPr="00EA5516">
              <w:rPr>
                <w:rFonts w:ascii="Times New Roman" w:eastAsia="Times New Roman" w:hAnsi="Times New Roman" w:cs="Times New Roman"/>
                <w:b w:val="0"/>
                <w:color w:val="000000"/>
                <w:lang w:eastAsia="en-GB"/>
              </w:rPr>
              <w:t xml:space="preserve"> risk</w:t>
            </w:r>
          </w:p>
        </w:tc>
        <w:tc>
          <w:tcPr>
            <w:tcW w:w="1520" w:type="dxa"/>
            <w:shd w:val="clear" w:color="auto" w:fill="auto"/>
            <w:noWrap/>
          </w:tcPr>
          <w:p w:rsidR="00B152E1" w:rsidRPr="00EA5516" w:rsidRDefault="00B152E1" w:rsidP="00B152E1">
            <w:pPr>
              <w:contextualSpacing/>
              <w:rPr>
                <w:rFonts w:ascii="Times New Roman" w:eastAsia="Times New Roman" w:hAnsi="Times New Roman" w:cs="Times New Roman"/>
                <w:b w:val="0"/>
                <w:color w:val="000000"/>
                <w:lang w:eastAsia="en-GB"/>
              </w:rPr>
            </w:pPr>
            <w:r w:rsidRPr="00EA5516">
              <w:rPr>
                <w:rFonts w:ascii="Times New Roman" w:eastAsia="Times New Roman" w:hAnsi="Times New Roman" w:cs="Times New Roman"/>
                <w:b w:val="0"/>
                <w:color w:val="000000"/>
                <w:lang w:eastAsia="en-GB"/>
              </w:rPr>
              <w:t>Unclear risk</w:t>
            </w:r>
          </w:p>
        </w:tc>
        <w:tc>
          <w:tcPr>
            <w:tcW w:w="1520" w:type="dxa"/>
            <w:shd w:val="clear" w:color="auto" w:fill="auto"/>
            <w:noWrap/>
          </w:tcPr>
          <w:p w:rsidR="00B152E1" w:rsidRPr="00B152E1" w:rsidRDefault="00B152E1" w:rsidP="00B152E1">
            <w:pPr>
              <w:contextualSpacing/>
              <w:rPr>
                <w:rFonts w:ascii="Times New Roman" w:eastAsia="Times New Roman" w:hAnsi="Times New Roman" w:cs="Times New Roman"/>
                <w:b w:val="0"/>
                <w:color w:val="000000"/>
                <w:lang w:eastAsia="en-GB"/>
              </w:rPr>
            </w:pPr>
            <w:r w:rsidRPr="00B152E1">
              <w:rPr>
                <w:rFonts w:ascii="Times New Roman" w:eastAsia="Times New Roman" w:hAnsi="Times New Roman" w:cs="Times New Roman"/>
                <w:b w:val="0"/>
                <w:color w:val="000000"/>
                <w:lang w:eastAsia="en-GB"/>
              </w:rPr>
              <w:t>High risk</w:t>
            </w:r>
          </w:p>
        </w:tc>
        <w:tc>
          <w:tcPr>
            <w:tcW w:w="1520" w:type="dxa"/>
          </w:tcPr>
          <w:p w:rsidR="00B152E1" w:rsidRPr="00B152E1" w:rsidRDefault="00B152E1" w:rsidP="00B152E1">
            <w:pPr>
              <w:rPr>
                <w:rFonts w:ascii="Times New Roman" w:hAnsi="Times New Roman" w:cs="Times New Roman"/>
                <w:b w:val="0"/>
              </w:rPr>
            </w:pPr>
            <w:r w:rsidRPr="00B152E1">
              <w:rPr>
                <w:rFonts w:ascii="Times New Roman" w:hAnsi="Times New Roman" w:cs="Times New Roman"/>
                <w:b w:val="0"/>
              </w:rPr>
              <w:t>High risk</w:t>
            </w:r>
          </w:p>
        </w:tc>
        <w:tc>
          <w:tcPr>
            <w:tcW w:w="1520" w:type="dxa"/>
            <w:shd w:val="clear" w:color="auto" w:fill="auto"/>
            <w:noWrap/>
          </w:tcPr>
          <w:p w:rsidR="00B152E1" w:rsidRPr="00EA5516" w:rsidRDefault="00B152E1" w:rsidP="00B152E1">
            <w:pPr>
              <w:contextualSpacing/>
              <w:rPr>
                <w:rFonts w:ascii="Times New Roman" w:eastAsia="Times New Roman" w:hAnsi="Times New Roman" w:cs="Times New Roman"/>
                <w:b w:val="0"/>
                <w:color w:val="000000"/>
                <w:lang w:eastAsia="en-GB"/>
              </w:rPr>
            </w:pPr>
            <w:r w:rsidRPr="00EA5516">
              <w:rPr>
                <w:rFonts w:ascii="Times New Roman" w:eastAsia="Times New Roman" w:hAnsi="Times New Roman" w:cs="Times New Roman"/>
                <w:b w:val="0"/>
                <w:color w:val="000000"/>
                <w:lang w:eastAsia="en-GB"/>
              </w:rPr>
              <w:t>Low risk</w:t>
            </w:r>
          </w:p>
        </w:tc>
        <w:tc>
          <w:tcPr>
            <w:tcW w:w="1520" w:type="dxa"/>
            <w:shd w:val="clear" w:color="auto" w:fill="auto"/>
            <w:noWrap/>
          </w:tcPr>
          <w:p w:rsidR="00B152E1" w:rsidRPr="00EA5516" w:rsidRDefault="00B152E1" w:rsidP="00B152E1">
            <w:pPr>
              <w:contextualSpacing/>
              <w:rPr>
                <w:rFonts w:ascii="Times New Roman" w:eastAsia="Times New Roman" w:hAnsi="Times New Roman" w:cs="Times New Roman"/>
                <w:b w:val="0"/>
                <w:color w:val="000000"/>
                <w:lang w:eastAsia="en-GB"/>
              </w:rPr>
            </w:pPr>
            <w:r w:rsidRPr="00EA5516">
              <w:rPr>
                <w:rFonts w:ascii="Times New Roman" w:eastAsia="Times New Roman" w:hAnsi="Times New Roman" w:cs="Times New Roman"/>
                <w:b w:val="0"/>
                <w:color w:val="000000"/>
                <w:lang w:eastAsia="en-GB"/>
              </w:rPr>
              <w:t>High risk</w:t>
            </w:r>
          </w:p>
        </w:tc>
        <w:tc>
          <w:tcPr>
            <w:tcW w:w="1520" w:type="dxa"/>
            <w:shd w:val="clear" w:color="auto" w:fill="auto"/>
            <w:noWrap/>
            <w:vAlign w:val="bottom"/>
          </w:tcPr>
          <w:p w:rsidR="00B152E1" w:rsidRPr="00EA5516" w:rsidRDefault="00B152E1" w:rsidP="00B152E1">
            <w:pPr>
              <w:contextualSpacing/>
              <w:rPr>
                <w:rFonts w:ascii="Times New Roman" w:eastAsia="Times New Roman" w:hAnsi="Times New Roman" w:cs="Times New Roman"/>
                <w:b w:val="0"/>
                <w:color w:val="000000"/>
                <w:lang w:eastAsia="en-GB"/>
              </w:rPr>
            </w:pPr>
            <w:r w:rsidRPr="00EA5516">
              <w:rPr>
                <w:rFonts w:ascii="Times New Roman" w:eastAsia="Times New Roman" w:hAnsi="Times New Roman" w:cs="Times New Roman"/>
                <w:b w:val="0"/>
                <w:color w:val="000000"/>
                <w:lang w:eastAsia="en-GB"/>
              </w:rPr>
              <w:t>Unclear risk</w:t>
            </w:r>
          </w:p>
        </w:tc>
      </w:tr>
      <w:tr w:rsidR="00B152E1" w:rsidRPr="00EA5516" w:rsidTr="00B152E1">
        <w:trPr>
          <w:trHeight w:val="227"/>
        </w:trPr>
        <w:tc>
          <w:tcPr>
            <w:tcW w:w="2947" w:type="dxa"/>
            <w:shd w:val="clear" w:color="auto" w:fill="auto"/>
            <w:vAlign w:val="bottom"/>
          </w:tcPr>
          <w:p w:rsidR="00B152E1" w:rsidRPr="00EA5516" w:rsidRDefault="00B152E1" w:rsidP="00B152E1">
            <w:pPr>
              <w:contextualSpacing/>
              <w:rPr>
                <w:rFonts w:ascii="Times New Roman" w:eastAsia="Times New Roman" w:hAnsi="Times New Roman" w:cs="Times New Roman"/>
                <w:b w:val="0"/>
                <w:color w:val="000000"/>
                <w:lang w:eastAsia="en-GB"/>
              </w:rPr>
            </w:pPr>
            <w:r w:rsidRPr="00EA5516">
              <w:rPr>
                <w:rFonts w:ascii="Times New Roman" w:eastAsia="Times New Roman" w:hAnsi="Times New Roman" w:cs="Times New Roman"/>
                <w:b w:val="0"/>
                <w:color w:val="000000"/>
                <w:lang w:eastAsia="en-GB"/>
              </w:rPr>
              <w:t>Strahan (2007); Study 1</w:t>
            </w:r>
          </w:p>
        </w:tc>
        <w:tc>
          <w:tcPr>
            <w:tcW w:w="1520" w:type="dxa"/>
            <w:shd w:val="clear" w:color="auto" w:fill="auto"/>
            <w:noWrap/>
          </w:tcPr>
          <w:p w:rsidR="00B152E1" w:rsidRPr="00EA5516" w:rsidRDefault="00B152E1" w:rsidP="00B152E1">
            <w:pPr>
              <w:contextualSpacing/>
              <w:rPr>
                <w:rFonts w:ascii="Times New Roman" w:eastAsia="Times New Roman" w:hAnsi="Times New Roman" w:cs="Times New Roman"/>
                <w:b w:val="0"/>
                <w:color w:val="000000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b w:val="0"/>
                <w:color w:val="000000"/>
                <w:lang w:eastAsia="en-GB"/>
              </w:rPr>
              <w:t>High</w:t>
            </w:r>
            <w:r w:rsidRPr="00EA5516">
              <w:rPr>
                <w:rFonts w:ascii="Times New Roman" w:eastAsia="Times New Roman" w:hAnsi="Times New Roman" w:cs="Times New Roman"/>
                <w:b w:val="0"/>
                <w:color w:val="000000"/>
                <w:lang w:eastAsia="en-GB"/>
              </w:rPr>
              <w:t xml:space="preserve"> risk</w:t>
            </w:r>
          </w:p>
        </w:tc>
        <w:tc>
          <w:tcPr>
            <w:tcW w:w="1520" w:type="dxa"/>
            <w:shd w:val="clear" w:color="auto" w:fill="auto"/>
            <w:noWrap/>
          </w:tcPr>
          <w:p w:rsidR="00B152E1" w:rsidRPr="00EA5516" w:rsidRDefault="00B152E1" w:rsidP="00B152E1">
            <w:pPr>
              <w:contextualSpacing/>
              <w:rPr>
                <w:rFonts w:ascii="Times New Roman" w:eastAsia="Times New Roman" w:hAnsi="Times New Roman" w:cs="Times New Roman"/>
                <w:b w:val="0"/>
                <w:color w:val="000000"/>
                <w:lang w:eastAsia="en-GB"/>
              </w:rPr>
            </w:pPr>
            <w:r w:rsidRPr="00EA5516">
              <w:rPr>
                <w:rFonts w:ascii="Times New Roman" w:eastAsia="Times New Roman" w:hAnsi="Times New Roman" w:cs="Times New Roman"/>
                <w:b w:val="0"/>
                <w:color w:val="000000"/>
                <w:lang w:eastAsia="en-GB"/>
              </w:rPr>
              <w:t>Unclear risk</w:t>
            </w:r>
          </w:p>
        </w:tc>
        <w:tc>
          <w:tcPr>
            <w:tcW w:w="1520" w:type="dxa"/>
            <w:shd w:val="clear" w:color="auto" w:fill="auto"/>
            <w:noWrap/>
          </w:tcPr>
          <w:p w:rsidR="00B152E1" w:rsidRPr="00B152E1" w:rsidRDefault="00B152E1" w:rsidP="00B152E1">
            <w:pPr>
              <w:contextualSpacing/>
              <w:rPr>
                <w:rFonts w:ascii="Times New Roman" w:eastAsia="Times New Roman" w:hAnsi="Times New Roman" w:cs="Times New Roman"/>
                <w:b w:val="0"/>
                <w:color w:val="000000"/>
                <w:lang w:eastAsia="en-GB"/>
              </w:rPr>
            </w:pPr>
            <w:r w:rsidRPr="00B152E1">
              <w:rPr>
                <w:rFonts w:ascii="Times New Roman" w:eastAsia="Times New Roman" w:hAnsi="Times New Roman" w:cs="Times New Roman"/>
                <w:b w:val="0"/>
                <w:color w:val="000000"/>
                <w:lang w:eastAsia="en-GB"/>
              </w:rPr>
              <w:t>Low risk</w:t>
            </w:r>
          </w:p>
        </w:tc>
        <w:tc>
          <w:tcPr>
            <w:tcW w:w="1520" w:type="dxa"/>
          </w:tcPr>
          <w:p w:rsidR="00B152E1" w:rsidRPr="00B152E1" w:rsidRDefault="00B152E1" w:rsidP="00B152E1">
            <w:pPr>
              <w:rPr>
                <w:rFonts w:ascii="Times New Roman" w:hAnsi="Times New Roman" w:cs="Times New Roman"/>
                <w:b w:val="0"/>
              </w:rPr>
            </w:pPr>
            <w:r w:rsidRPr="00B152E1">
              <w:rPr>
                <w:rFonts w:ascii="Times New Roman" w:hAnsi="Times New Roman" w:cs="Times New Roman"/>
                <w:b w:val="0"/>
              </w:rPr>
              <w:t>High risk</w:t>
            </w:r>
          </w:p>
        </w:tc>
        <w:tc>
          <w:tcPr>
            <w:tcW w:w="1520" w:type="dxa"/>
            <w:shd w:val="clear" w:color="auto" w:fill="auto"/>
            <w:noWrap/>
          </w:tcPr>
          <w:p w:rsidR="00B152E1" w:rsidRPr="00EA5516" w:rsidRDefault="00B152E1" w:rsidP="00B152E1">
            <w:pPr>
              <w:contextualSpacing/>
              <w:rPr>
                <w:rFonts w:ascii="Times New Roman" w:eastAsia="Times New Roman" w:hAnsi="Times New Roman" w:cs="Times New Roman"/>
                <w:b w:val="0"/>
                <w:color w:val="000000"/>
                <w:lang w:eastAsia="en-GB"/>
              </w:rPr>
            </w:pPr>
            <w:r w:rsidRPr="00EA5516">
              <w:rPr>
                <w:rFonts w:ascii="Times New Roman" w:eastAsia="Times New Roman" w:hAnsi="Times New Roman" w:cs="Times New Roman"/>
                <w:b w:val="0"/>
                <w:color w:val="000000"/>
                <w:lang w:eastAsia="en-GB"/>
              </w:rPr>
              <w:t>Low risk</w:t>
            </w:r>
          </w:p>
        </w:tc>
        <w:tc>
          <w:tcPr>
            <w:tcW w:w="1520" w:type="dxa"/>
            <w:shd w:val="clear" w:color="auto" w:fill="auto"/>
            <w:noWrap/>
          </w:tcPr>
          <w:p w:rsidR="00B152E1" w:rsidRPr="00EA5516" w:rsidRDefault="00B152E1" w:rsidP="00B152E1">
            <w:pPr>
              <w:contextualSpacing/>
              <w:rPr>
                <w:rFonts w:ascii="Times New Roman" w:eastAsia="Times New Roman" w:hAnsi="Times New Roman" w:cs="Times New Roman"/>
                <w:b w:val="0"/>
                <w:color w:val="000000"/>
                <w:lang w:eastAsia="en-GB"/>
              </w:rPr>
            </w:pPr>
            <w:r w:rsidRPr="00EA5516">
              <w:rPr>
                <w:rFonts w:ascii="Times New Roman" w:eastAsia="Times New Roman" w:hAnsi="Times New Roman" w:cs="Times New Roman"/>
                <w:b w:val="0"/>
                <w:color w:val="000000"/>
                <w:lang w:eastAsia="en-GB"/>
              </w:rPr>
              <w:t>Low risk</w:t>
            </w:r>
          </w:p>
        </w:tc>
        <w:tc>
          <w:tcPr>
            <w:tcW w:w="1520" w:type="dxa"/>
            <w:shd w:val="clear" w:color="auto" w:fill="auto"/>
            <w:noWrap/>
            <w:vAlign w:val="bottom"/>
          </w:tcPr>
          <w:p w:rsidR="00B152E1" w:rsidRPr="00EA5516" w:rsidRDefault="00B152E1" w:rsidP="00B152E1">
            <w:pPr>
              <w:contextualSpacing/>
              <w:rPr>
                <w:rFonts w:ascii="Times New Roman" w:eastAsia="Times New Roman" w:hAnsi="Times New Roman" w:cs="Times New Roman"/>
                <w:b w:val="0"/>
                <w:color w:val="000000"/>
                <w:lang w:eastAsia="en-GB"/>
              </w:rPr>
            </w:pPr>
            <w:r w:rsidRPr="00EA5516">
              <w:rPr>
                <w:rFonts w:ascii="Times New Roman" w:eastAsia="Times New Roman" w:hAnsi="Times New Roman" w:cs="Times New Roman"/>
                <w:b w:val="0"/>
                <w:color w:val="000000"/>
                <w:lang w:eastAsia="en-GB"/>
              </w:rPr>
              <w:t>Low risk</w:t>
            </w:r>
          </w:p>
        </w:tc>
      </w:tr>
      <w:tr w:rsidR="00B152E1" w:rsidRPr="00EA5516" w:rsidTr="00B152E1">
        <w:trPr>
          <w:trHeight w:val="227"/>
        </w:trPr>
        <w:tc>
          <w:tcPr>
            <w:tcW w:w="2947" w:type="dxa"/>
            <w:shd w:val="clear" w:color="auto" w:fill="auto"/>
            <w:vAlign w:val="bottom"/>
          </w:tcPr>
          <w:p w:rsidR="00B152E1" w:rsidRPr="00EA5516" w:rsidRDefault="00B152E1" w:rsidP="00B152E1">
            <w:pPr>
              <w:contextualSpacing/>
              <w:rPr>
                <w:rFonts w:ascii="Times New Roman" w:eastAsia="Times New Roman" w:hAnsi="Times New Roman" w:cs="Times New Roman"/>
                <w:b w:val="0"/>
                <w:color w:val="000000"/>
                <w:lang w:eastAsia="en-GB"/>
              </w:rPr>
            </w:pPr>
            <w:r w:rsidRPr="00EA5516">
              <w:rPr>
                <w:rFonts w:ascii="Times New Roman" w:eastAsia="Times New Roman" w:hAnsi="Times New Roman" w:cs="Times New Roman"/>
                <w:b w:val="0"/>
                <w:color w:val="000000"/>
                <w:lang w:eastAsia="en-GB"/>
              </w:rPr>
              <w:t xml:space="preserve">van </w:t>
            </w:r>
            <w:proofErr w:type="spellStart"/>
            <w:r w:rsidRPr="00EA5516">
              <w:rPr>
                <w:rFonts w:ascii="Times New Roman" w:eastAsia="Times New Roman" w:hAnsi="Times New Roman" w:cs="Times New Roman"/>
                <w:b w:val="0"/>
                <w:color w:val="000000"/>
                <w:lang w:eastAsia="en-GB"/>
              </w:rPr>
              <w:t>Kleef</w:t>
            </w:r>
            <w:proofErr w:type="spellEnd"/>
            <w:r w:rsidRPr="00EA5516">
              <w:rPr>
                <w:rFonts w:ascii="Times New Roman" w:eastAsia="Times New Roman" w:hAnsi="Times New Roman" w:cs="Times New Roman"/>
                <w:b w:val="0"/>
                <w:color w:val="000000"/>
                <w:lang w:eastAsia="en-GB"/>
              </w:rPr>
              <w:t xml:space="preserve"> (2011)</w:t>
            </w:r>
          </w:p>
        </w:tc>
        <w:tc>
          <w:tcPr>
            <w:tcW w:w="1520" w:type="dxa"/>
            <w:shd w:val="clear" w:color="auto" w:fill="auto"/>
            <w:noWrap/>
          </w:tcPr>
          <w:p w:rsidR="00B152E1" w:rsidRPr="00EA5516" w:rsidRDefault="00B152E1" w:rsidP="00B152E1">
            <w:pPr>
              <w:contextualSpacing/>
              <w:rPr>
                <w:rFonts w:ascii="Times New Roman" w:eastAsia="Times New Roman" w:hAnsi="Times New Roman" w:cs="Times New Roman"/>
                <w:b w:val="0"/>
                <w:color w:val="000000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b w:val="0"/>
                <w:color w:val="000000"/>
                <w:lang w:eastAsia="en-GB"/>
              </w:rPr>
              <w:t>High</w:t>
            </w:r>
            <w:r w:rsidRPr="00EA5516">
              <w:rPr>
                <w:rFonts w:ascii="Times New Roman" w:eastAsia="Times New Roman" w:hAnsi="Times New Roman" w:cs="Times New Roman"/>
                <w:b w:val="0"/>
                <w:color w:val="000000"/>
                <w:lang w:eastAsia="en-GB"/>
              </w:rPr>
              <w:t xml:space="preserve"> risk</w:t>
            </w:r>
          </w:p>
        </w:tc>
        <w:tc>
          <w:tcPr>
            <w:tcW w:w="1520" w:type="dxa"/>
            <w:shd w:val="clear" w:color="auto" w:fill="auto"/>
            <w:noWrap/>
          </w:tcPr>
          <w:p w:rsidR="00B152E1" w:rsidRPr="00EA5516" w:rsidRDefault="00B152E1" w:rsidP="00B152E1">
            <w:pPr>
              <w:contextualSpacing/>
              <w:rPr>
                <w:rFonts w:ascii="Times New Roman" w:eastAsia="Times New Roman" w:hAnsi="Times New Roman" w:cs="Times New Roman"/>
                <w:b w:val="0"/>
                <w:color w:val="000000"/>
                <w:lang w:eastAsia="en-GB"/>
              </w:rPr>
            </w:pPr>
            <w:r w:rsidRPr="00EA5516">
              <w:rPr>
                <w:rFonts w:ascii="Times New Roman" w:eastAsia="Times New Roman" w:hAnsi="Times New Roman" w:cs="Times New Roman"/>
                <w:b w:val="0"/>
                <w:color w:val="000000"/>
                <w:lang w:eastAsia="en-GB"/>
              </w:rPr>
              <w:t>Unclear risk</w:t>
            </w:r>
          </w:p>
        </w:tc>
        <w:tc>
          <w:tcPr>
            <w:tcW w:w="1520" w:type="dxa"/>
            <w:shd w:val="clear" w:color="auto" w:fill="auto"/>
            <w:noWrap/>
          </w:tcPr>
          <w:p w:rsidR="00B152E1" w:rsidRPr="00B152E1" w:rsidRDefault="00B152E1" w:rsidP="00B152E1">
            <w:pPr>
              <w:contextualSpacing/>
              <w:rPr>
                <w:rFonts w:ascii="Times New Roman" w:eastAsia="Times New Roman" w:hAnsi="Times New Roman" w:cs="Times New Roman"/>
                <w:b w:val="0"/>
                <w:color w:val="000000"/>
                <w:lang w:eastAsia="en-GB"/>
              </w:rPr>
            </w:pPr>
            <w:r w:rsidRPr="00B152E1">
              <w:rPr>
                <w:rFonts w:ascii="Times New Roman" w:eastAsia="Times New Roman" w:hAnsi="Times New Roman" w:cs="Times New Roman"/>
                <w:b w:val="0"/>
                <w:color w:val="000000"/>
                <w:lang w:eastAsia="en-GB"/>
              </w:rPr>
              <w:t>High risk</w:t>
            </w:r>
          </w:p>
        </w:tc>
        <w:tc>
          <w:tcPr>
            <w:tcW w:w="1520" w:type="dxa"/>
          </w:tcPr>
          <w:p w:rsidR="00B152E1" w:rsidRPr="00B152E1" w:rsidRDefault="00B152E1" w:rsidP="00B152E1">
            <w:pPr>
              <w:rPr>
                <w:rFonts w:ascii="Times New Roman" w:hAnsi="Times New Roman" w:cs="Times New Roman"/>
                <w:b w:val="0"/>
              </w:rPr>
            </w:pPr>
            <w:r w:rsidRPr="00B152E1">
              <w:rPr>
                <w:rFonts w:ascii="Times New Roman" w:hAnsi="Times New Roman" w:cs="Times New Roman"/>
                <w:b w:val="0"/>
              </w:rPr>
              <w:t>High risk</w:t>
            </w:r>
          </w:p>
        </w:tc>
        <w:tc>
          <w:tcPr>
            <w:tcW w:w="1520" w:type="dxa"/>
            <w:shd w:val="clear" w:color="auto" w:fill="auto"/>
            <w:noWrap/>
          </w:tcPr>
          <w:p w:rsidR="00B152E1" w:rsidRPr="00EA5516" w:rsidRDefault="00B152E1" w:rsidP="00B152E1">
            <w:pPr>
              <w:contextualSpacing/>
              <w:rPr>
                <w:rFonts w:ascii="Times New Roman" w:eastAsia="Times New Roman" w:hAnsi="Times New Roman" w:cs="Times New Roman"/>
                <w:b w:val="0"/>
                <w:color w:val="000000"/>
                <w:lang w:eastAsia="en-GB"/>
              </w:rPr>
            </w:pPr>
            <w:r w:rsidRPr="00EA5516">
              <w:rPr>
                <w:rFonts w:ascii="Times New Roman" w:eastAsia="Times New Roman" w:hAnsi="Times New Roman" w:cs="Times New Roman"/>
                <w:b w:val="0"/>
                <w:color w:val="000000"/>
                <w:lang w:eastAsia="en-GB"/>
              </w:rPr>
              <w:t>High risk</w:t>
            </w:r>
          </w:p>
        </w:tc>
        <w:tc>
          <w:tcPr>
            <w:tcW w:w="1520" w:type="dxa"/>
            <w:shd w:val="clear" w:color="auto" w:fill="auto"/>
            <w:noWrap/>
          </w:tcPr>
          <w:p w:rsidR="00B152E1" w:rsidRPr="00EA5516" w:rsidRDefault="00B152E1" w:rsidP="00B152E1">
            <w:pPr>
              <w:contextualSpacing/>
              <w:rPr>
                <w:rFonts w:ascii="Times New Roman" w:eastAsia="Times New Roman" w:hAnsi="Times New Roman" w:cs="Times New Roman"/>
                <w:b w:val="0"/>
                <w:color w:val="000000"/>
                <w:lang w:eastAsia="en-GB"/>
              </w:rPr>
            </w:pPr>
            <w:r w:rsidRPr="00EA5516">
              <w:rPr>
                <w:rFonts w:ascii="Times New Roman" w:eastAsia="Times New Roman" w:hAnsi="Times New Roman" w:cs="Times New Roman"/>
                <w:b w:val="0"/>
                <w:color w:val="000000"/>
                <w:lang w:eastAsia="en-GB"/>
              </w:rPr>
              <w:t>High risk</w:t>
            </w:r>
          </w:p>
        </w:tc>
        <w:tc>
          <w:tcPr>
            <w:tcW w:w="1520" w:type="dxa"/>
            <w:shd w:val="clear" w:color="auto" w:fill="auto"/>
            <w:noWrap/>
            <w:vAlign w:val="bottom"/>
          </w:tcPr>
          <w:p w:rsidR="00B152E1" w:rsidRPr="00EA5516" w:rsidRDefault="00B152E1" w:rsidP="00B152E1">
            <w:pPr>
              <w:contextualSpacing/>
              <w:rPr>
                <w:rFonts w:ascii="Times New Roman" w:eastAsia="Times New Roman" w:hAnsi="Times New Roman" w:cs="Times New Roman"/>
                <w:b w:val="0"/>
                <w:color w:val="000000"/>
                <w:lang w:eastAsia="en-GB"/>
              </w:rPr>
            </w:pPr>
            <w:r w:rsidRPr="00EA5516">
              <w:rPr>
                <w:rFonts w:ascii="Times New Roman" w:eastAsia="Times New Roman" w:hAnsi="Times New Roman" w:cs="Times New Roman"/>
                <w:b w:val="0"/>
                <w:color w:val="000000"/>
                <w:lang w:eastAsia="en-GB"/>
              </w:rPr>
              <w:t>High risk</w:t>
            </w:r>
          </w:p>
        </w:tc>
      </w:tr>
      <w:tr w:rsidR="00B152E1" w:rsidRPr="00EA5516" w:rsidTr="00B152E1">
        <w:trPr>
          <w:trHeight w:val="227"/>
        </w:trPr>
        <w:tc>
          <w:tcPr>
            <w:tcW w:w="2947" w:type="dxa"/>
            <w:shd w:val="clear" w:color="auto" w:fill="auto"/>
            <w:vAlign w:val="bottom"/>
          </w:tcPr>
          <w:p w:rsidR="00B152E1" w:rsidRPr="00EA5516" w:rsidRDefault="00B152E1" w:rsidP="00B152E1">
            <w:pPr>
              <w:contextualSpacing/>
              <w:rPr>
                <w:rFonts w:ascii="Times New Roman" w:eastAsia="Times New Roman" w:hAnsi="Times New Roman" w:cs="Times New Roman"/>
                <w:b w:val="0"/>
                <w:color w:val="000000"/>
                <w:lang w:eastAsia="en-GB"/>
              </w:rPr>
            </w:pPr>
            <w:proofErr w:type="spellStart"/>
            <w:r w:rsidRPr="00EA5516">
              <w:rPr>
                <w:rFonts w:ascii="Times New Roman" w:eastAsia="Times New Roman" w:hAnsi="Times New Roman" w:cs="Times New Roman"/>
                <w:b w:val="0"/>
                <w:color w:val="000000"/>
                <w:lang w:eastAsia="en-GB"/>
              </w:rPr>
              <w:t>Versluis</w:t>
            </w:r>
            <w:proofErr w:type="spellEnd"/>
            <w:r w:rsidRPr="00EA5516">
              <w:rPr>
                <w:rFonts w:ascii="Times New Roman" w:eastAsia="Times New Roman" w:hAnsi="Times New Roman" w:cs="Times New Roman"/>
                <w:b w:val="0"/>
                <w:color w:val="000000"/>
                <w:lang w:eastAsia="en-GB"/>
              </w:rPr>
              <w:t xml:space="preserve"> (2016); Study 2</w:t>
            </w:r>
          </w:p>
        </w:tc>
        <w:tc>
          <w:tcPr>
            <w:tcW w:w="1520" w:type="dxa"/>
            <w:shd w:val="clear" w:color="auto" w:fill="auto"/>
            <w:noWrap/>
          </w:tcPr>
          <w:p w:rsidR="00B152E1" w:rsidRPr="00EA5516" w:rsidRDefault="00B152E1" w:rsidP="00B152E1">
            <w:pPr>
              <w:contextualSpacing/>
              <w:rPr>
                <w:rFonts w:ascii="Times New Roman" w:eastAsia="Times New Roman" w:hAnsi="Times New Roman" w:cs="Times New Roman"/>
                <w:b w:val="0"/>
                <w:color w:val="000000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b w:val="0"/>
                <w:color w:val="000000"/>
                <w:lang w:eastAsia="en-GB"/>
              </w:rPr>
              <w:t>High</w:t>
            </w:r>
            <w:r w:rsidRPr="00EA5516">
              <w:rPr>
                <w:rFonts w:ascii="Times New Roman" w:eastAsia="Times New Roman" w:hAnsi="Times New Roman" w:cs="Times New Roman"/>
                <w:b w:val="0"/>
                <w:color w:val="000000"/>
                <w:lang w:eastAsia="en-GB"/>
              </w:rPr>
              <w:t xml:space="preserve"> risk</w:t>
            </w:r>
          </w:p>
        </w:tc>
        <w:tc>
          <w:tcPr>
            <w:tcW w:w="1520" w:type="dxa"/>
            <w:shd w:val="clear" w:color="auto" w:fill="auto"/>
            <w:noWrap/>
          </w:tcPr>
          <w:p w:rsidR="00B152E1" w:rsidRPr="00EA5516" w:rsidRDefault="00B152E1" w:rsidP="00B152E1">
            <w:pPr>
              <w:contextualSpacing/>
              <w:rPr>
                <w:rFonts w:ascii="Times New Roman" w:eastAsia="Times New Roman" w:hAnsi="Times New Roman" w:cs="Times New Roman"/>
                <w:b w:val="0"/>
                <w:color w:val="000000"/>
                <w:lang w:eastAsia="en-GB"/>
              </w:rPr>
            </w:pPr>
            <w:r w:rsidRPr="00EA5516">
              <w:rPr>
                <w:rFonts w:ascii="Times New Roman" w:eastAsia="Times New Roman" w:hAnsi="Times New Roman" w:cs="Times New Roman"/>
                <w:b w:val="0"/>
                <w:color w:val="000000"/>
                <w:lang w:eastAsia="en-GB"/>
              </w:rPr>
              <w:t>Unclear risk</w:t>
            </w:r>
          </w:p>
        </w:tc>
        <w:tc>
          <w:tcPr>
            <w:tcW w:w="1520" w:type="dxa"/>
            <w:shd w:val="clear" w:color="auto" w:fill="auto"/>
            <w:noWrap/>
          </w:tcPr>
          <w:p w:rsidR="00B152E1" w:rsidRPr="00B152E1" w:rsidRDefault="00B152E1" w:rsidP="00B152E1">
            <w:pPr>
              <w:contextualSpacing/>
              <w:rPr>
                <w:rFonts w:ascii="Times New Roman" w:eastAsia="Times New Roman" w:hAnsi="Times New Roman" w:cs="Times New Roman"/>
                <w:b w:val="0"/>
                <w:color w:val="000000"/>
                <w:lang w:eastAsia="en-GB"/>
              </w:rPr>
            </w:pPr>
            <w:r w:rsidRPr="00B152E1">
              <w:rPr>
                <w:rFonts w:ascii="Times New Roman" w:eastAsia="Times New Roman" w:hAnsi="Times New Roman" w:cs="Times New Roman"/>
                <w:b w:val="0"/>
                <w:color w:val="000000"/>
                <w:lang w:eastAsia="en-GB"/>
              </w:rPr>
              <w:t>Low risk</w:t>
            </w:r>
          </w:p>
        </w:tc>
        <w:tc>
          <w:tcPr>
            <w:tcW w:w="1520" w:type="dxa"/>
          </w:tcPr>
          <w:p w:rsidR="00B152E1" w:rsidRPr="00B152E1" w:rsidRDefault="00B152E1" w:rsidP="00B152E1">
            <w:pPr>
              <w:rPr>
                <w:rFonts w:ascii="Times New Roman" w:hAnsi="Times New Roman" w:cs="Times New Roman"/>
                <w:b w:val="0"/>
              </w:rPr>
            </w:pPr>
            <w:r w:rsidRPr="00B152E1">
              <w:rPr>
                <w:rFonts w:ascii="Times New Roman" w:hAnsi="Times New Roman" w:cs="Times New Roman"/>
                <w:b w:val="0"/>
              </w:rPr>
              <w:t>High risk</w:t>
            </w:r>
          </w:p>
        </w:tc>
        <w:tc>
          <w:tcPr>
            <w:tcW w:w="1520" w:type="dxa"/>
            <w:shd w:val="clear" w:color="auto" w:fill="auto"/>
            <w:noWrap/>
          </w:tcPr>
          <w:p w:rsidR="00B152E1" w:rsidRPr="00EA5516" w:rsidRDefault="00B152E1" w:rsidP="00B152E1">
            <w:pPr>
              <w:contextualSpacing/>
              <w:rPr>
                <w:rFonts w:ascii="Times New Roman" w:eastAsia="Times New Roman" w:hAnsi="Times New Roman" w:cs="Times New Roman"/>
                <w:b w:val="0"/>
                <w:color w:val="000000"/>
                <w:lang w:eastAsia="en-GB"/>
              </w:rPr>
            </w:pPr>
            <w:r w:rsidRPr="00EA5516">
              <w:rPr>
                <w:rFonts w:ascii="Times New Roman" w:eastAsia="Times New Roman" w:hAnsi="Times New Roman" w:cs="Times New Roman"/>
                <w:b w:val="0"/>
                <w:color w:val="000000"/>
                <w:lang w:eastAsia="en-GB"/>
              </w:rPr>
              <w:t>Low risk</w:t>
            </w:r>
          </w:p>
        </w:tc>
        <w:tc>
          <w:tcPr>
            <w:tcW w:w="1520" w:type="dxa"/>
            <w:shd w:val="clear" w:color="auto" w:fill="auto"/>
            <w:noWrap/>
          </w:tcPr>
          <w:p w:rsidR="00B152E1" w:rsidRPr="00EA5516" w:rsidRDefault="00B152E1" w:rsidP="00B152E1">
            <w:pPr>
              <w:contextualSpacing/>
              <w:rPr>
                <w:rFonts w:ascii="Times New Roman" w:eastAsia="Times New Roman" w:hAnsi="Times New Roman" w:cs="Times New Roman"/>
                <w:b w:val="0"/>
                <w:color w:val="000000"/>
                <w:lang w:eastAsia="en-GB"/>
              </w:rPr>
            </w:pPr>
            <w:r w:rsidRPr="00EA5516">
              <w:rPr>
                <w:rFonts w:ascii="Times New Roman" w:eastAsia="Times New Roman" w:hAnsi="Times New Roman" w:cs="Times New Roman"/>
                <w:b w:val="0"/>
                <w:color w:val="000000"/>
                <w:lang w:eastAsia="en-GB"/>
              </w:rPr>
              <w:t>Low risk</w:t>
            </w:r>
          </w:p>
        </w:tc>
        <w:tc>
          <w:tcPr>
            <w:tcW w:w="1520" w:type="dxa"/>
            <w:shd w:val="clear" w:color="auto" w:fill="auto"/>
            <w:noWrap/>
            <w:vAlign w:val="bottom"/>
          </w:tcPr>
          <w:p w:rsidR="00B152E1" w:rsidRPr="00EA5516" w:rsidRDefault="00B152E1" w:rsidP="00B152E1">
            <w:pPr>
              <w:contextualSpacing/>
              <w:rPr>
                <w:rFonts w:ascii="Times New Roman" w:eastAsia="Times New Roman" w:hAnsi="Times New Roman" w:cs="Times New Roman"/>
                <w:b w:val="0"/>
                <w:color w:val="000000"/>
                <w:lang w:eastAsia="en-GB"/>
              </w:rPr>
            </w:pPr>
            <w:r w:rsidRPr="00EA5516">
              <w:rPr>
                <w:rFonts w:ascii="Times New Roman" w:eastAsia="Times New Roman" w:hAnsi="Times New Roman" w:cs="Times New Roman"/>
                <w:b w:val="0"/>
                <w:color w:val="000000"/>
                <w:lang w:eastAsia="en-GB"/>
              </w:rPr>
              <w:t>High risk</w:t>
            </w:r>
          </w:p>
        </w:tc>
      </w:tr>
      <w:tr w:rsidR="00B152E1" w:rsidRPr="00EA5516" w:rsidTr="00B152E1">
        <w:trPr>
          <w:trHeight w:val="227"/>
        </w:trPr>
        <w:tc>
          <w:tcPr>
            <w:tcW w:w="2947" w:type="dxa"/>
            <w:shd w:val="clear" w:color="auto" w:fill="auto"/>
            <w:vAlign w:val="bottom"/>
          </w:tcPr>
          <w:p w:rsidR="00B152E1" w:rsidRPr="00EA5516" w:rsidRDefault="00B152E1" w:rsidP="00B152E1">
            <w:pPr>
              <w:contextualSpacing/>
              <w:rPr>
                <w:rFonts w:ascii="Times New Roman" w:eastAsia="Times New Roman" w:hAnsi="Times New Roman" w:cs="Times New Roman"/>
                <w:b w:val="0"/>
                <w:color w:val="000000"/>
                <w:lang w:eastAsia="en-GB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 w:val="0"/>
                <w:color w:val="000000"/>
                <w:lang w:eastAsia="en-GB"/>
              </w:rPr>
              <w:t>Werle</w:t>
            </w:r>
            <w:proofErr w:type="spellEnd"/>
            <w:r>
              <w:rPr>
                <w:rFonts w:ascii="Times New Roman" w:eastAsia="Times New Roman" w:hAnsi="Times New Roman" w:cs="Times New Roman"/>
                <w:b w:val="0"/>
                <w:color w:val="000000"/>
                <w:lang w:eastAsia="en-GB"/>
              </w:rPr>
              <w:t xml:space="preserve"> (2017); Pilot study</w:t>
            </w:r>
          </w:p>
        </w:tc>
        <w:tc>
          <w:tcPr>
            <w:tcW w:w="1520" w:type="dxa"/>
            <w:shd w:val="clear" w:color="auto" w:fill="auto"/>
            <w:noWrap/>
          </w:tcPr>
          <w:p w:rsidR="00B152E1" w:rsidRPr="00EA5516" w:rsidRDefault="00B152E1" w:rsidP="00B152E1">
            <w:pPr>
              <w:contextualSpacing/>
              <w:rPr>
                <w:rFonts w:ascii="Times New Roman" w:eastAsia="Times New Roman" w:hAnsi="Times New Roman" w:cs="Times New Roman"/>
                <w:b w:val="0"/>
                <w:color w:val="000000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b w:val="0"/>
                <w:color w:val="000000"/>
                <w:lang w:eastAsia="en-GB"/>
              </w:rPr>
              <w:t>High</w:t>
            </w:r>
            <w:r w:rsidRPr="00EA5516">
              <w:rPr>
                <w:rFonts w:ascii="Times New Roman" w:eastAsia="Times New Roman" w:hAnsi="Times New Roman" w:cs="Times New Roman"/>
                <w:b w:val="0"/>
                <w:color w:val="000000"/>
                <w:lang w:eastAsia="en-GB"/>
              </w:rPr>
              <w:t xml:space="preserve"> risk</w:t>
            </w:r>
          </w:p>
        </w:tc>
        <w:tc>
          <w:tcPr>
            <w:tcW w:w="1520" w:type="dxa"/>
            <w:shd w:val="clear" w:color="auto" w:fill="auto"/>
            <w:noWrap/>
          </w:tcPr>
          <w:p w:rsidR="00B152E1" w:rsidRPr="00EA5516" w:rsidRDefault="00B152E1" w:rsidP="00B152E1">
            <w:pPr>
              <w:contextualSpacing/>
              <w:rPr>
                <w:rFonts w:ascii="Times New Roman" w:eastAsia="Times New Roman" w:hAnsi="Times New Roman" w:cs="Times New Roman"/>
                <w:b w:val="0"/>
                <w:color w:val="000000"/>
                <w:lang w:eastAsia="en-GB"/>
              </w:rPr>
            </w:pPr>
            <w:r w:rsidRPr="00EA5516">
              <w:rPr>
                <w:rFonts w:ascii="Times New Roman" w:eastAsia="Times New Roman" w:hAnsi="Times New Roman" w:cs="Times New Roman"/>
                <w:b w:val="0"/>
                <w:color w:val="000000"/>
                <w:lang w:eastAsia="en-GB"/>
              </w:rPr>
              <w:t>Unclear risk</w:t>
            </w:r>
          </w:p>
        </w:tc>
        <w:tc>
          <w:tcPr>
            <w:tcW w:w="1520" w:type="dxa"/>
            <w:shd w:val="clear" w:color="auto" w:fill="auto"/>
            <w:noWrap/>
          </w:tcPr>
          <w:p w:rsidR="00B152E1" w:rsidRPr="00B152E1" w:rsidRDefault="00B152E1" w:rsidP="00B152E1">
            <w:pPr>
              <w:contextualSpacing/>
              <w:rPr>
                <w:rFonts w:ascii="Times New Roman" w:eastAsia="Times New Roman" w:hAnsi="Times New Roman" w:cs="Times New Roman"/>
                <w:b w:val="0"/>
                <w:color w:val="000000"/>
                <w:lang w:eastAsia="en-GB"/>
              </w:rPr>
            </w:pPr>
            <w:r w:rsidRPr="00B152E1">
              <w:rPr>
                <w:rFonts w:ascii="Times New Roman" w:eastAsia="Times New Roman" w:hAnsi="Times New Roman" w:cs="Times New Roman"/>
                <w:b w:val="0"/>
                <w:color w:val="000000"/>
                <w:lang w:eastAsia="en-GB"/>
              </w:rPr>
              <w:t>High risk</w:t>
            </w:r>
          </w:p>
        </w:tc>
        <w:tc>
          <w:tcPr>
            <w:tcW w:w="1520" w:type="dxa"/>
          </w:tcPr>
          <w:p w:rsidR="00B152E1" w:rsidRPr="00B152E1" w:rsidRDefault="00B152E1" w:rsidP="00B152E1">
            <w:pPr>
              <w:rPr>
                <w:rFonts w:ascii="Times New Roman" w:hAnsi="Times New Roman" w:cs="Times New Roman"/>
                <w:b w:val="0"/>
              </w:rPr>
            </w:pPr>
            <w:r w:rsidRPr="00B152E1">
              <w:rPr>
                <w:rFonts w:ascii="Times New Roman" w:hAnsi="Times New Roman" w:cs="Times New Roman"/>
                <w:b w:val="0"/>
              </w:rPr>
              <w:t>High risk</w:t>
            </w:r>
          </w:p>
        </w:tc>
        <w:tc>
          <w:tcPr>
            <w:tcW w:w="1520" w:type="dxa"/>
            <w:shd w:val="clear" w:color="auto" w:fill="auto"/>
            <w:noWrap/>
          </w:tcPr>
          <w:p w:rsidR="00B152E1" w:rsidRPr="00EA5516" w:rsidRDefault="00B152E1" w:rsidP="00B152E1">
            <w:pPr>
              <w:contextualSpacing/>
              <w:rPr>
                <w:rFonts w:ascii="Times New Roman" w:eastAsia="Times New Roman" w:hAnsi="Times New Roman" w:cs="Times New Roman"/>
                <w:b w:val="0"/>
                <w:color w:val="000000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b w:val="0"/>
                <w:color w:val="000000"/>
                <w:lang w:eastAsia="en-GB"/>
              </w:rPr>
              <w:t>High risk</w:t>
            </w:r>
          </w:p>
        </w:tc>
        <w:tc>
          <w:tcPr>
            <w:tcW w:w="1520" w:type="dxa"/>
            <w:shd w:val="clear" w:color="auto" w:fill="auto"/>
            <w:noWrap/>
          </w:tcPr>
          <w:p w:rsidR="00B152E1" w:rsidRPr="00EA5516" w:rsidRDefault="00B152E1" w:rsidP="00B152E1">
            <w:pPr>
              <w:contextualSpacing/>
              <w:rPr>
                <w:rFonts w:ascii="Times New Roman" w:eastAsia="Times New Roman" w:hAnsi="Times New Roman" w:cs="Times New Roman"/>
                <w:b w:val="0"/>
                <w:color w:val="000000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b w:val="0"/>
                <w:color w:val="000000"/>
                <w:lang w:eastAsia="en-GB"/>
              </w:rPr>
              <w:t>Low risk</w:t>
            </w:r>
          </w:p>
        </w:tc>
        <w:tc>
          <w:tcPr>
            <w:tcW w:w="1520" w:type="dxa"/>
            <w:shd w:val="clear" w:color="auto" w:fill="auto"/>
            <w:noWrap/>
            <w:vAlign w:val="bottom"/>
          </w:tcPr>
          <w:p w:rsidR="00B152E1" w:rsidRPr="00EA5516" w:rsidRDefault="00B152E1" w:rsidP="00B152E1">
            <w:pPr>
              <w:contextualSpacing/>
              <w:rPr>
                <w:rFonts w:ascii="Times New Roman" w:eastAsia="Times New Roman" w:hAnsi="Times New Roman" w:cs="Times New Roman"/>
                <w:b w:val="0"/>
                <w:color w:val="000000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b w:val="0"/>
                <w:color w:val="000000"/>
                <w:lang w:eastAsia="en-GB"/>
              </w:rPr>
              <w:t>High risk</w:t>
            </w:r>
          </w:p>
        </w:tc>
      </w:tr>
    </w:tbl>
    <w:p w:rsidR="00EA5516" w:rsidRDefault="00A609B5" w:rsidP="00EA5516">
      <w:pPr>
        <w:rPr>
          <w:rFonts w:ascii="Times New Roman" w:eastAsia="MS Mincho" w:hAnsi="Times New Roman" w:cs="Times New Roman"/>
          <w:b w:val="0"/>
          <w:lang w:val="en-CA"/>
        </w:rPr>
      </w:pPr>
      <w:proofErr w:type="spellStart"/>
      <w:proofErr w:type="gramStart"/>
      <w:r>
        <w:rPr>
          <w:rFonts w:ascii="Times New Roman" w:eastAsia="MS Mincho" w:hAnsi="Times New Roman" w:cs="Times New Roman"/>
          <w:b w:val="0"/>
          <w:vertAlign w:val="superscript"/>
          <w:lang w:val="en-CA"/>
        </w:rPr>
        <w:t>i</w:t>
      </w:r>
      <w:r w:rsidR="00EA5516" w:rsidRPr="00EA5516">
        <w:rPr>
          <w:rFonts w:ascii="Times New Roman" w:eastAsia="MS Mincho" w:hAnsi="Times New Roman" w:cs="Times New Roman"/>
          <w:b w:val="0"/>
          <w:lang w:val="en-CA"/>
        </w:rPr>
        <w:t>Based</w:t>
      </w:r>
      <w:proofErr w:type="spellEnd"/>
      <w:proofErr w:type="gramEnd"/>
      <w:r w:rsidR="00EA5516" w:rsidRPr="00EA5516">
        <w:rPr>
          <w:rFonts w:ascii="Times New Roman" w:eastAsia="MS Mincho" w:hAnsi="Times New Roman" w:cs="Times New Roman"/>
          <w:b w:val="0"/>
          <w:lang w:val="en-CA"/>
        </w:rPr>
        <w:t xml:space="preserve"> on whether a cover story was used </w:t>
      </w:r>
      <w:r w:rsidR="0030728B">
        <w:rPr>
          <w:rFonts w:ascii="Times New Roman" w:eastAsia="MS Mincho" w:hAnsi="Times New Roman" w:cs="Times New Roman"/>
          <w:b w:val="0"/>
          <w:lang w:val="en-CA"/>
        </w:rPr>
        <w:t>and</w:t>
      </w:r>
      <w:r w:rsidR="006B0CFE">
        <w:rPr>
          <w:rFonts w:ascii="Times New Roman" w:eastAsia="MS Mincho" w:hAnsi="Times New Roman" w:cs="Times New Roman"/>
          <w:b w:val="0"/>
          <w:lang w:val="en-CA"/>
        </w:rPr>
        <w:t xml:space="preserve"> believed by</w:t>
      </w:r>
      <w:r w:rsidR="001120E7">
        <w:rPr>
          <w:rFonts w:ascii="Times New Roman" w:eastAsia="MS Mincho" w:hAnsi="Times New Roman" w:cs="Times New Roman"/>
          <w:b w:val="0"/>
          <w:lang w:val="en-CA"/>
        </w:rPr>
        <w:t xml:space="preserve"> participants</w:t>
      </w:r>
      <w:r w:rsidR="00EA5516" w:rsidRPr="00EA5516">
        <w:rPr>
          <w:rFonts w:ascii="Times New Roman" w:eastAsia="MS Mincho" w:hAnsi="Times New Roman" w:cs="Times New Roman"/>
          <w:b w:val="0"/>
          <w:lang w:val="en-CA"/>
        </w:rPr>
        <w:t>.</w:t>
      </w:r>
    </w:p>
    <w:p w:rsidR="00A50383" w:rsidRPr="00EA5516" w:rsidRDefault="00A50383" w:rsidP="00EA5516">
      <w:pPr>
        <w:rPr>
          <w:rFonts w:ascii="Times New Roman" w:eastAsia="MS Mincho" w:hAnsi="Times New Roman" w:cs="Times New Roman"/>
          <w:b w:val="0"/>
          <w:lang w:val="en-CA"/>
        </w:rPr>
      </w:pPr>
      <w:proofErr w:type="spellStart"/>
      <w:proofErr w:type="gramStart"/>
      <w:r w:rsidRPr="00A50383">
        <w:rPr>
          <w:rFonts w:ascii="Times New Roman" w:eastAsia="MS Mincho" w:hAnsi="Times New Roman" w:cs="Times New Roman"/>
          <w:b w:val="0"/>
          <w:vertAlign w:val="superscript"/>
          <w:lang w:val="en-CA"/>
        </w:rPr>
        <w:t>ii</w:t>
      </w:r>
      <w:r>
        <w:rPr>
          <w:rFonts w:ascii="Times New Roman" w:eastAsia="MS Mincho" w:hAnsi="Times New Roman" w:cs="Times New Roman"/>
          <w:b w:val="0"/>
          <w:lang w:val="en-CA"/>
        </w:rPr>
        <w:t>Based</w:t>
      </w:r>
      <w:proofErr w:type="spellEnd"/>
      <w:proofErr w:type="gramEnd"/>
      <w:r>
        <w:rPr>
          <w:rFonts w:ascii="Times New Roman" w:eastAsia="MS Mincho" w:hAnsi="Times New Roman" w:cs="Times New Roman"/>
          <w:b w:val="0"/>
          <w:lang w:val="en-CA"/>
        </w:rPr>
        <w:t xml:space="preserve"> on whether the experimenter who assessed food intake was blind to the </w:t>
      </w:r>
      <w:r w:rsidR="00640361">
        <w:rPr>
          <w:rFonts w:ascii="Times New Roman" w:eastAsia="MS Mincho" w:hAnsi="Times New Roman" w:cs="Times New Roman"/>
          <w:b w:val="0"/>
          <w:lang w:val="en-CA"/>
        </w:rPr>
        <w:t xml:space="preserve">study aims or </w:t>
      </w:r>
      <w:r>
        <w:rPr>
          <w:rFonts w:ascii="Times New Roman" w:eastAsia="MS Mincho" w:hAnsi="Times New Roman" w:cs="Times New Roman"/>
          <w:b w:val="0"/>
          <w:lang w:val="en-CA"/>
        </w:rPr>
        <w:t>condition administered</w:t>
      </w:r>
      <w:r w:rsidR="00640361">
        <w:rPr>
          <w:rFonts w:ascii="Times New Roman" w:eastAsia="MS Mincho" w:hAnsi="Times New Roman" w:cs="Times New Roman"/>
          <w:b w:val="0"/>
          <w:lang w:val="en-CA"/>
        </w:rPr>
        <w:t>.</w:t>
      </w:r>
    </w:p>
    <w:p w:rsidR="00EA5516" w:rsidRDefault="001120E7" w:rsidP="0027645F">
      <w:pPr>
        <w:rPr>
          <w:rFonts w:ascii="Times New Roman" w:eastAsia="MS Mincho" w:hAnsi="Times New Roman" w:cs="Times New Roman"/>
          <w:b w:val="0"/>
          <w:lang w:val="en-CA"/>
        </w:rPr>
      </w:pPr>
      <w:proofErr w:type="spellStart"/>
      <w:proofErr w:type="gramStart"/>
      <w:r>
        <w:rPr>
          <w:rFonts w:ascii="Times New Roman" w:eastAsia="MS Mincho" w:hAnsi="Times New Roman" w:cs="Times New Roman"/>
          <w:b w:val="0"/>
          <w:vertAlign w:val="superscript"/>
          <w:lang w:val="en-CA"/>
        </w:rPr>
        <w:t>i</w:t>
      </w:r>
      <w:r w:rsidR="00A609B5">
        <w:rPr>
          <w:rFonts w:ascii="Times New Roman" w:eastAsia="MS Mincho" w:hAnsi="Times New Roman" w:cs="Times New Roman"/>
          <w:b w:val="0"/>
          <w:vertAlign w:val="superscript"/>
          <w:lang w:val="en-CA"/>
        </w:rPr>
        <w:t>i</w:t>
      </w:r>
      <w:r w:rsidR="00A50383">
        <w:rPr>
          <w:rFonts w:ascii="Times New Roman" w:eastAsia="MS Mincho" w:hAnsi="Times New Roman" w:cs="Times New Roman"/>
          <w:b w:val="0"/>
          <w:vertAlign w:val="superscript"/>
          <w:lang w:val="en-CA"/>
        </w:rPr>
        <w:t>i</w:t>
      </w:r>
      <w:r w:rsidR="00EA5516" w:rsidRPr="00EA5516">
        <w:rPr>
          <w:rFonts w:ascii="Times New Roman" w:eastAsia="MS Mincho" w:hAnsi="Times New Roman" w:cs="Times New Roman"/>
          <w:b w:val="0"/>
          <w:lang w:val="en-CA"/>
        </w:rPr>
        <w:t>Based</w:t>
      </w:r>
      <w:proofErr w:type="spellEnd"/>
      <w:proofErr w:type="gramEnd"/>
      <w:r w:rsidR="00EA5516" w:rsidRPr="00EA5516">
        <w:rPr>
          <w:rFonts w:ascii="Times New Roman" w:eastAsia="MS Mincho" w:hAnsi="Times New Roman" w:cs="Times New Roman"/>
          <w:b w:val="0"/>
          <w:lang w:val="en-CA"/>
        </w:rPr>
        <w:t xml:space="preserve"> on whether the exclusion of participants was spec</w:t>
      </w:r>
      <w:r w:rsidR="00A609B5">
        <w:rPr>
          <w:rFonts w:ascii="Times New Roman" w:eastAsia="MS Mincho" w:hAnsi="Times New Roman" w:cs="Times New Roman"/>
          <w:b w:val="0"/>
          <w:lang w:val="en-CA"/>
        </w:rPr>
        <w:t>ifi</w:t>
      </w:r>
      <w:r w:rsidR="006B0CFE">
        <w:rPr>
          <w:rFonts w:ascii="Times New Roman" w:eastAsia="MS Mincho" w:hAnsi="Times New Roman" w:cs="Times New Roman"/>
          <w:b w:val="0"/>
          <w:lang w:val="en-CA"/>
        </w:rPr>
        <w:t>ed in the exclusion criteria or</w:t>
      </w:r>
      <w:r w:rsidR="00EA5516" w:rsidRPr="00EA5516">
        <w:rPr>
          <w:rFonts w:ascii="Times New Roman" w:eastAsia="MS Mincho" w:hAnsi="Times New Roman" w:cs="Times New Roman"/>
          <w:b w:val="0"/>
          <w:lang w:val="en-CA"/>
        </w:rPr>
        <w:t xml:space="preserve"> exclusions deviated from standard procedures</w:t>
      </w:r>
      <w:r w:rsidR="00A609B5">
        <w:rPr>
          <w:rFonts w:ascii="Times New Roman" w:eastAsia="MS Mincho" w:hAnsi="Times New Roman" w:cs="Times New Roman"/>
          <w:b w:val="0"/>
          <w:lang w:val="en-CA"/>
        </w:rPr>
        <w:t xml:space="preserve"> in the research field</w:t>
      </w:r>
    </w:p>
    <w:p w:rsidR="0027645F" w:rsidRDefault="00A50383" w:rsidP="0027645F">
      <w:pPr>
        <w:rPr>
          <w:rFonts w:ascii="Times New Roman" w:eastAsia="MS Mincho" w:hAnsi="Times New Roman" w:cs="Times New Roman"/>
          <w:b w:val="0"/>
          <w:lang w:val="en-CA"/>
        </w:rPr>
      </w:pPr>
      <w:proofErr w:type="spellStart"/>
      <w:proofErr w:type="gramStart"/>
      <w:r>
        <w:rPr>
          <w:rFonts w:ascii="Times New Roman" w:eastAsia="MS Mincho" w:hAnsi="Times New Roman" w:cs="Times New Roman"/>
          <w:b w:val="0"/>
          <w:vertAlign w:val="superscript"/>
          <w:lang w:val="en-CA"/>
        </w:rPr>
        <w:t>iv</w:t>
      </w:r>
      <w:r w:rsidR="0027645F" w:rsidRPr="0027645F">
        <w:rPr>
          <w:rFonts w:ascii="Times New Roman" w:eastAsia="MS Mincho" w:hAnsi="Times New Roman" w:cs="Times New Roman"/>
          <w:b w:val="0"/>
          <w:lang w:val="en-CA"/>
        </w:rPr>
        <w:t>Based</w:t>
      </w:r>
      <w:proofErr w:type="spellEnd"/>
      <w:proofErr w:type="gramEnd"/>
      <w:r w:rsidR="0027645F" w:rsidRPr="0027645F">
        <w:rPr>
          <w:rFonts w:ascii="Times New Roman" w:eastAsia="MS Mincho" w:hAnsi="Times New Roman" w:cs="Times New Roman"/>
          <w:b w:val="0"/>
          <w:lang w:val="en-CA"/>
        </w:rPr>
        <w:t xml:space="preserve"> on risk of confounding var</w:t>
      </w:r>
      <w:r w:rsidR="001120E7">
        <w:rPr>
          <w:rFonts w:ascii="Times New Roman" w:eastAsia="MS Mincho" w:hAnsi="Times New Roman" w:cs="Times New Roman"/>
          <w:b w:val="0"/>
          <w:lang w:val="en-CA"/>
        </w:rPr>
        <w:t>iables influencing food intake [</w:t>
      </w:r>
      <w:r w:rsidR="0027645F" w:rsidRPr="0027645F">
        <w:rPr>
          <w:rFonts w:ascii="Times New Roman" w:eastAsia="MS Mincho" w:hAnsi="Times New Roman" w:cs="Times New Roman"/>
          <w:b w:val="0"/>
          <w:lang w:val="en-CA"/>
        </w:rPr>
        <w:t xml:space="preserve">e.g. </w:t>
      </w:r>
      <w:r w:rsidR="001120E7">
        <w:rPr>
          <w:rFonts w:ascii="Times New Roman" w:eastAsia="MS Mincho" w:hAnsi="Times New Roman" w:cs="Times New Roman"/>
          <w:b w:val="0"/>
          <w:lang w:val="en-CA"/>
        </w:rPr>
        <w:t xml:space="preserve">used piece count </w:t>
      </w:r>
      <w:r w:rsidR="001120E7" w:rsidRPr="001120E7">
        <w:rPr>
          <w:rFonts w:ascii="Times New Roman" w:eastAsia="MS Mincho" w:hAnsi="Times New Roman" w:cs="Times New Roman"/>
          <w:b w:val="0"/>
          <w:lang w:val="en-CA"/>
        </w:rPr>
        <w:t>(susceptible to researcher bias)</w:t>
      </w:r>
      <w:r w:rsidR="001120E7">
        <w:rPr>
          <w:rFonts w:ascii="Times New Roman" w:eastAsia="MS Mincho" w:hAnsi="Times New Roman" w:cs="Times New Roman"/>
          <w:b w:val="0"/>
          <w:lang w:val="en-CA"/>
        </w:rPr>
        <w:t xml:space="preserve">, </w:t>
      </w:r>
      <w:r w:rsidR="0027645F" w:rsidRPr="0027645F">
        <w:rPr>
          <w:rFonts w:ascii="Times New Roman" w:eastAsia="MS Mincho" w:hAnsi="Times New Roman" w:cs="Times New Roman"/>
          <w:b w:val="0"/>
          <w:lang w:val="en-CA"/>
        </w:rPr>
        <w:t>absence of procedures to control for appetite between conditions; social test settings; administering psychometric scal</w:t>
      </w:r>
      <w:r w:rsidR="001120E7">
        <w:rPr>
          <w:rFonts w:ascii="Times New Roman" w:eastAsia="MS Mincho" w:hAnsi="Times New Roman" w:cs="Times New Roman"/>
          <w:b w:val="0"/>
          <w:lang w:val="en-CA"/>
        </w:rPr>
        <w:t>es before assessing food intake]</w:t>
      </w:r>
      <w:r w:rsidR="0027645F" w:rsidRPr="0027645F">
        <w:rPr>
          <w:rFonts w:ascii="Times New Roman" w:eastAsia="MS Mincho" w:hAnsi="Times New Roman" w:cs="Times New Roman"/>
          <w:b w:val="0"/>
          <w:lang w:val="en-CA"/>
        </w:rPr>
        <w:t>.</w:t>
      </w:r>
    </w:p>
    <w:p w:rsidR="006526DF" w:rsidRPr="006526DF" w:rsidRDefault="006526DF" w:rsidP="0027645F">
      <w:pPr>
        <w:rPr>
          <w:rFonts w:ascii="Times New Roman" w:eastAsia="MS Mincho" w:hAnsi="Times New Roman" w:cs="Times New Roman"/>
          <w:b w:val="0"/>
          <w:lang w:val="en-CA"/>
        </w:rPr>
      </w:pPr>
      <w:proofErr w:type="spellStart"/>
      <w:proofErr w:type="gramStart"/>
      <w:r w:rsidRPr="006526DF">
        <w:rPr>
          <w:rFonts w:ascii="Times New Roman" w:eastAsia="MS Mincho" w:hAnsi="Times New Roman" w:cs="Times New Roman"/>
          <w:b w:val="0"/>
          <w:vertAlign w:val="superscript"/>
          <w:lang w:val="en-CA"/>
        </w:rPr>
        <w:t>v</w:t>
      </w:r>
      <w:r>
        <w:rPr>
          <w:rFonts w:ascii="Times New Roman" w:eastAsia="MS Mincho" w:hAnsi="Times New Roman" w:cs="Times New Roman"/>
          <w:b w:val="0"/>
          <w:lang w:val="en-CA"/>
        </w:rPr>
        <w:t>Not</w:t>
      </w:r>
      <w:proofErr w:type="spellEnd"/>
      <w:proofErr w:type="gramEnd"/>
      <w:r>
        <w:rPr>
          <w:rFonts w:ascii="Times New Roman" w:eastAsia="MS Mincho" w:hAnsi="Times New Roman" w:cs="Times New Roman"/>
          <w:b w:val="0"/>
          <w:lang w:val="en-CA"/>
        </w:rPr>
        <w:t xml:space="preserve"> reported in the paper but this study was conducted by the lead author of the meta-analysis (NB)</w:t>
      </w:r>
      <w:r w:rsidR="00640361">
        <w:rPr>
          <w:rFonts w:ascii="Times New Roman" w:eastAsia="MS Mincho" w:hAnsi="Times New Roman" w:cs="Times New Roman"/>
          <w:b w:val="0"/>
          <w:lang w:val="en-CA"/>
        </w:rPr>
        <w:t>.</w:t>
      </w:r>
      <w:bookmarkStart w:id="0" w:name="_GoBack"/>
      <w:bookmarkEnd w:id="0"/>
    </w:p>
    <w:sectPr w:rsidR="006526DF" w:rsidRPr="006526DF" w:rsidSect="0027645F">
      <w:headerReference w:type="default" r:id="rId7"/>
      <w:pgSz w:w="16838" w:h="11906" w:orient="landscape"/>
      <w:pgMar w:top="567" w:right="1440" w:bottom="851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E60FE" w:rsidRDefault="006E60FE" w:rsidP="00507418">
      <w:r>
        <w:separator/>
      </w:r>
    </w:p>
  </w:endnote>
  <w:endnote w:type="continuationSeparator" w:id="0">
    <w:p w:rsidR="006E60FE" w:rsidRDefault="006E60FE" w:rsidP="0050741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E60FE" w:rsidRDefault="006E60FE" w:rsidP="00507418">
      <w:r>
        <w:separator/>
      </w:r>
    </w:p>
  </w:footnote>
  <w:footnote w:type="continuationSeparator" w:id="0">
    <w:p w:rsidR="006E60FE" w:rsidRDefault="006E60FE" w:rsidP="0050741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31C13" w:rsidRPr="00F753FA" w:rsidRDefault="00831C13" w:rsidP="00A2046D">
    <w:pPr>
      <w:pStyle w:val="Header"/>
      <w:rPr>
        <w:rFonts w:asciiTheme="majorBidi" w:hAnsiTheme="majorBidi" w:cstheme="majorBidi"/>
        <w:lang w:val="en-CA"/>
      </w:rPr>
    </w:pPr>
    <w:r w:rsidRPr="00F753FA">
      <w:rPr>
        <w:rFonts w:asciiTheme="majorBidi" w:hAnsiTheme="majorBidi" w:cstheme="majorBidi"/>
        <w:lang w:val="en-CA"/>
      </w:rPr>
      <w:t xml:space="preserve">Additional </w:t>
    </w:r>
    <w:r w:rsidR="00A2046D">
      <w:rPr>
        <w:rFonts w:asciiTheme="majorBidi" w:hAnsiTheme="majorBidi" w:cstheme="majorBidi"/>
        <w:lang w:val="en-CA"/>
      </w:rPr>
      <w:t xml:space="preserve">file </w:t>
    </w:r>
    <w:r>
      <w:rPr>
        <w:rFonts w:asciiTheme="majorBidi" w:hAnsiTheme="majorBidi" w:cstheme="majorBidi"/>
        <w:lang w:val="en-CA"/>
      </w:rPr>
      <w:t xml:space="preserve">2. </w:t>
    </w:r>
    <w:r>
      <w:rPr>
        <w:rFonts w:asciiTheme="majorBidi" w:hAnsiTheme="majorBidi" w:cstheme="majorBidi"/>
        <w:b w:val="0"/>
        <w:bCs/>
        <w:lang w:val="en-CA"/>
      </w:rPr>
      <w:t>Risk of bias assessment</w:t>
    </w:r>
  </w:p>
  <w:p w:rsidR="008A3E31" w:rsidRPr="00831C13" w:rsidRDefault="008A3E31" w:rsidP="00831C13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CE91324"/>
    <w:multiLevelType w:val="multilevel"/>
    <w:tmpl w:val="C5E438CA"/>
    <w:lvl w:ilvl="0">
      <w:start w:val="1"/>
      <w:numFmt w:val="decimal"/>
      <w:lvlText w:val="%1"/>
      <w:lvlJc w:val="left"/>
      <w:pPr>
        <w:ind w:left="432" w:hanging="432"/>
      </w:pPr>
      <w:rPr>
        <w:color w:val="FFFFFF" w:themeColor="background1"/>
      </w:rPr>
    </w:lvl>
    <w:lvl w:ilvl="1">
      <w:start w:val="1"/>
      <w:numFmt w:val="decimal"/>
      <w:pStyle w:val="Heading2"/>
      <w:lvlText w:val="%1.%2"/>
      <w:lvlJc w:val="left"/>
      <w:pPr>
        <w:ind w:left="576" w:hanging="576"/>
      </w:pPr>
    </w:lvl>
    <w:lvl w:ilvl="2">
      <w:start w:val="1"/>
      <w:numFmt w:val="decimal"/>
      <w:pStyle w:val="Heading3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num w:numId="1">
    <w:abstractNumId w:val="0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32C60"/>
    <w:rsid w:val="00060FE0"/>
    <w:rsid w:val="00066149"/>
    <w:rsid w:val="00072B66"/>
    <w:rsid w:val="00101480"/>
    <w:rsid w:val="001120E7"/>
    <w:rsid w:val="001252C5"/>
    <w:rsid w:val="00126D7F"/>
    <w:rsid w:val="00151A49"/>
    <w:rsid w:val="00214E59"/>
    <w:rsid w:val="002207B9"/>
    <w:rsid w:val="00225604"/>
    <w:rsid w:val="00260E4E"/>
    <w:rsid w:val="0027645F"/>
    <w:rsid w:val="00297A1A"/>
    <w:rsid w:val="002E024D"/>
    <w:rsid w:val="0030728B"/>
    <w:rsid w:val="003778E3"/>
    <w:rsid w:val="00425C78"/>
    <w:rsid w:val="00444146"/>
    <w:rsid w:val="00456BE3"/>
    <w:rsid w:val="004F2B04"/>
    <w:rsid w:val="00507418"/>
    <w:rsid w:val="00541FCA"/>
    <w:rsid w:val="00565879"/>
    <w:rsid w:val="00640361"/>
    <w:rsid w:val="006526DF"/>
    <w:rsid w:val="006B0CFE"/>
    <w:rsid w:val="006E60FE"/>
    <w:rsid w:val="00700D9E"/>
    <w:rsid w:val="00831C13"/>
    <w:rsid w:val="008A3E31"/>
    <w:rsid w:val="00905692"/>
    <w:rsid w:val="00993629"/>
    <w:rsid w:val="009D238E"/>
    <w:rsid w:val="009D4CE9"/>
    <w:rsid w:val="00A2046D"/>
    <w:rsid w:val="00A23F52"/>
    <w:rsid w:val="00A3022E"/>
    <w:rsid w:val="00A32C60"/>
    <w:rsid w:val="00A50383"/>
    <w:rsid w:val="00A609B5"/>
    <w:rsid w:val="00B152E1"/>
    <w:rsid w:val="00B34052"/>
    <w:rsid w:val="00B66C87"/>
    <w:rsid w:val="00B703EC"/>
    <w:rsid w:val="00B842E3"/>
    <w:rsid w:val="00BD115F"/>
    <w:rsid w:val="00C90676"/>
    <w:rsid w:val="00CD5BED"/>
    <w:rsid w:val="00CD7EE6"/>
    <w:rsid w:val="00D831A0"/>
    <w:rsid w:val="00DF295B"/>
    <w:rsid w:val="00E629C5"/>
    <w:rsid w:val="00EA5516"/>
    <w:rsid w:val="00F14008"/>
    <w:rsid w:val="00F46717"/>
    <w:rsid w:val="00F86430"/>
    <w:rsid w:val="00FA32E4"/>
    <w:rsid w:val="00FA769D"/>
    <w:rsid w:val="00FB13A8"/>
    <w:rsid w:val="00FD67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B447675A-E563-461D-A128-C8235CE217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05692"/>
    <w:pPr>
      <w:jc w:val="left"/>
    </w:pPr>
    <w:rPr>
      <w:b/>
    </w:rPr>
  </w:style>
  <w:style w:type="paragraph" w:styleId="Heading2">
    <w:name w:val="heading 2"/>
    <w:basedOn w:val="Normal"/>
    <w:next w:val="Normal"/>
    <w:link w:val="Heading2Char"/>
    <w:autoRedefine/>
    <w:uiPriority w:val="9"/>
    <w:unhideWhenUsed/>
    <w:qFormat/>
    <w:rsid w:val="00905692"/>
    <w:pPr>
      <w:keepNext/>
      <w:keepLines/>
      <w:numPr>
        <w:ilvl w:val="1"/>
        <w:numId w:val="1"/>
      </w:numPr>
      <w:spacing w:before="40"/>
      <w:outlineLvl w:val="1"/>
    </w:pPr>
    <w:rPr>
      <w:rFonts w:asciiTheme="majorHAnsi" w:eastAsiaTheme="majorEastAsia" w:hAnsiTheme="majorHAnsi" w:cstheme="majorBidi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905692"/>
    <w:pPr>
      <w:keepNext/>
      <w:keepLines/>
      <w:numPr>
        <w:ilvl w:val="2"/>
        <w:numId w:val="2"/>
      </w:numPr>
      <w:spacing w:before="40"/>
      <w:outlineLvl w:val="2"/>
    </w:pPr>
    <w:rPr>
      <w:rFonts w:asciiTheme="majorHAnsi" w:eastAsiaTheme="majorEastAsia" w:hAnsiTheme="majorHAnsi" w:cstheme="majorBidi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905692"/>
    <w:rPr>
      <w:rFonts w:asciiTheme="majorHAnsi" w:eastAsiaTheme="majorEastAsia" w:hAnsiTheme="majorHAnsi" w:cstheme="majorBidi"/>
      <w:b/>
      <w:sz w:val="24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905692"/>
    <w:rPr>
      <w:rFonts w:asciiTheme="majorHAnsi" w:eastAsiaTheme="majorEastAsia" w:hAnsiTheme="majorHAnsi" w:cstheme="majorBidi"/>
      <w:b/>
      <w:szCs w:val="24"/>
    </w:rPr>
  </w:style>
  <w:style w:type="paragraph" w:styleId="Header">
    <w:name w:val="header"/>
    <w:basedOn w:val="Normal"/>
    <w:link w:val="HeaderChar"/>
    <w:uiPriority w:val="99"/>
    <w:unhideWhenUsed/>
    <w:rsid w:val="00507418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07418"/>
    <w:rPr>
      <w:b/>
    </w:rPr>
  </w:style>
  <w:style w:type="paragraph" w:styleId="Footer">
    <w:name w:val="footer"/>
    <w:basedOn w:val="Normal"/>
    <w:link w:val="FooterChar"/>
    <w:uiPriority w:val="99"/>
    <w:unhideWhenUsed/>
    <w:rsid w:val="00507418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07418"/>
    <w:rPr>
      <w:b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494</Words>
  <Characters>2817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Leeds</Company>
  <LinksUpToDate>false</LinksUpToDate>
  <CharactersWithSpaces>3305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Nicola Buckland</dc:creator>
  <cp:keywords/>
  <dc:description/>
  <cp:lastModifiedBy>Nicola Buckland</cp:lastModifiedBy>
  <cp:revision>5</cp:revision>
  <dcterms:created xsi:type="dcterms:W3CDTF">2018-07-04T07:58:00Z</dcterms:created>
  <dcterms:modified xsi:type="dcterms:W3CDTF">2018-07-04T08:07:00Z</dcterms:modified>
</cp:coreProperties>
</file>