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151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</w:t>
      </w:r>
      <w:proofErr w:type="gramStart"/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4C2E4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Table A - </w:t>
      </w:r>
      <w:r w:rsidRPr="004C2E4B">
        <w:rPr>
          <w:rFonts w:ascii="Times New Roman" w:hAnsi="Times New Roman" w:cs="Times New Roman"/>
          <w:sz w:val="24"/>
          <w:szCs w:val="24"/>
          <w:lang w:val="en-US"/>
        </w:rPr>
        <w:t xml:space="preserve">Average </w:t>
      </w:r>
      <w:r>
        <w:rPr>
          <w:rFonts w:ascii="Times New Roman" w:hAnsi="Times New Roman" w:cs="Times New Roman"/>
          <w:sz w:val="24"/>
          <w:szCs w:val="24"/>
          <w:lang w:val="en-US"/>
        </w:rPr>
        <w:t>physical behavior</w:t>
      </w:r>
      <w:r w:rsidRPr="004C2E4B">
        <w:rPr>
          <w:rFonts w:ascii="Times New Roman" w:hAnsi="Times New Roman" w:cs="Times New Roman"/>
          <w:sz w:val="24"/>
          <w:szCs w:val="24"/>
          <w:lang w:val="en-US"/>
        </w:rPr>
        <w:t xml:space="preserve"> duration, scaled to 1 hour, from the semi-standardized protocol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A2 – Basic specification descriptors of each thigh-worn accelerometer used in the current study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>Section B</w:t>
      </w:r>
      <w:r w:rsidR="00B4447A">
        <w:rPr>
          <w:rFonts w:ascii="Times New Roman" w:hAnsi="Times New Roman" w:cs="Times New Roman"/>
          <w:sz w:val="24"/>
          <w:szCs w:val="24"/>
          <w:lang w:val="en-US"/>
        </w:rPr>
        <w:br/>
        <w:t>Bland</w:t>
      </w:r>
      <w:r w:rsidR="00B4447A" w:rsidRPr="003540D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sz w:val="24"/>
          <w:szCs w:val="24"/>
          <w:lang w:val="en-US"/>
        </w:rPr>
        <w:t>Altman plots showing the agreement between Actigraph Gt3x and ActivPAL Micro4 measurements, collected during the free-living protocol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4C2E4B">
        <w:rPr>
          <w:rFonts w:ascii="Times New Roman" w:hAnsi="Times New Roman" w:cs="Times New Roman"/>
          <w:sz w:val="24"/>
          <w:szCs w:val="24"/>
          <w:lang w:val="en-US"/>
        </w:rPr>
        <w:t>Figure 1(a)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sz w:val="24"/>
          <w:szCs w:val="24"/>
          <w:lang w:val="en-US"/>
        </w:rPr>
        <w:t>-Figure 1(b)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>Section C</w:t>
      </w:r>
      <w:r w:rsidR="00B4447A">
        <w:rPr>
          <w:rFonts w:ascii="Times New Roman" w:hAnsi="Times New Roman" w:cs="Times New Roman"/>
          <w:sz w:val="24"/>
          <w:szCs w:val="24"/>
          <w:lang w:val="en-US"/>
        </w:rPr>
        <w:br/>
        <w:t>Bland</w:t>
      </w:r>
      <w:r w:rsidR="00B4447A" w:rsidRPr="003540D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sz w:val="24"/>
          <w:szCs w:val="24"/>
          <w:lang w:val="en-US"/>
        </w:rPr>
        <w:t>Altman plots showing the agreement between Actigraph Gt3x and Axivity AX3 measurements, collected during the free-living protocol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sz w:val="24"/>
          <w:szCs w:val="24"/>
          <w:lang w:val="en-US"/>
        </w:rPr>
        <w:t>-Figure 2(a)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sz w:val="24"/>
          <w:szCs w:val="24"/>
          <w:lang w:val="en-US"/>
        </w:rPr>
        <w:t>-Figure 2(b)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t>Section D</w:t>
      </w:r>
    </w:p>
    <w:p w:rsidR="0002151B" w:rsidRPr="004C2E4B" w:rsidRDefault="00B4447A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Bland</w:t>
      </w:r>
      <w:r w:rsidRPr="003540D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-</w:t>
      </w:r>
      <w:r w:rsidR="0002151B" w:rsidRPr="004C2E4B">
        <w:rPr>
          <w:rFonts w:ascii="Times New Roman" w:hAnsi="Times New Roman" w:cs="Times New Roman"/>
          <w:sz w:val="24"/>
          <w:szCs w:val="24"/>
          <w:lang w:val="en-US"/>
        </w:rPr>
        <w:t>Altman plots showing the agreement between ActivPAL Micro4 and Axivity AX3 measurements, collected during the free-living protocol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sz w:val="24"/>
          <w:szCs w:val="24"/>
          <w:lang w:val="en-US"/>
        </w:rPr>
        <w:t>-Figure 3(a)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sz w:val="24"/>
          <w:szCs w:val="24"/>
          <w:lang w:val="en-US"/>
        </w:rPr>
        <w:t>-Figure 3(b)</w:t>
      </w:r>
    </w:p>
    <w:p w:rsidR="0002151B" w:rsidRDefault="0002151B" w:rsidP="000215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Default="0002151B" w:rsidP="000215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Pr="007B5A99" w:rsidRDefault="0002151B" w:rsidP="00021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5A99">
        <w:rPr>
          <w:rFonts w:ascii="Times New Roman" w:hAnsi="Times New Roman" w:cs="Times New Roman"/>
          <w:b/>
          <w:sz w:val="24"/>
          <w:szCs w:val="24"/>
          <w:lang w:val="en-US"/>
        </w:rPr>
        <w:t>Section E</w:t>
      </w:r>
    </w:p>
    <w:p w:rsidR="0002151B" w:rsidRDefault="0002151B" w:rsidP="000215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Pr="004C2E4B" w:rsidRDefault="0002151B" w:rsidP="000215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02151B" w:rsidRPr="004C2E4B">
          <w:pgSz w:w="11906" w:h="16838"/>
          <w:pgMar w:top="1701" w:right="1134" w:bottom="1701" w:left="1134" w:header="708" w:footer="708" w:gutter="0"/>
          <w:cols w:space="708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>Definitions used in the annotation of video observations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Section A</w:t>
      </w:r>
    </w:p>
    <w:p w:rsidR="0002151B" w:rsidRPr="004C2E4B" w:rsidRDefault="0002151B" w:rsidP="000215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</w:pPr>
      <w:r w:rsidRPr="007B5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>Table 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da-DK"/>
        </w:rPr>
        <w:t xml:space="preserve"> </w:t>
      </w:r>
      <w:r w:rsidRPr="004C2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da-DK"/>
        </w:rPr>
        <w:t>-</w:t>
      </w:r>
      <w:r w:rsidRPr="004C2E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 xml:space="preserve"> Average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>physical behavior</w:t>
      </w:r>
      <w:r w:rsidRPr="004C2E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 xml:space="preserve"> duration</w:t>
      </w:r>
      <w:r w:rsidR="00A724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 xml:space="preserve"> </w:t>
      </w:r>
      <w:r w:rsidR="00A724E0" w:rsidRPr="00A724E0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val="en-US" w:eastAsia="da-DK"/>
        </w:rPr>
        <w:t>and step count</w:t>
      </w:r>
      <w:r w:rsidR="00A724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 xml:space="preserve"> </w:t>
      </w:r>
      <w:r w:rsidRPr="004C2E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>over 60 minutes (n = 20 participants)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 xml:space="preserve">; </w:t>
      </w:r>
      <w:r w:rsidRPr="00BC2AE3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val="en-US" w:eastAsia="da-DK"/>
        </w:rPr>
        <w:t>mean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a-DK"/>
        </w:rPr>
        <w:t xml:space="preserve"> ± 1SD</w:t>
      </w:r>
    </w:p>
    <w:tbl>
      <w:tblPr>
        <w:tblStyle w:val="Lysskygge"/>
        <w:tblW w:w="5000" w:type="pct"/>
        <w:tblLook w:val="04A0" w:firstRow="1" w:lastRow="0" w:firstColumn="1" w:lastColumn="0" w:noHBand="0" w:noVBand="1"/>
      </w:tblPr>
      <w:tblGrid>
        <w:gridCol w:w="2207"/>
        <w:gridCol w:w="1421"/>
        <w:gridCol w:w="1424"/>
        <w:gridCol w:w="1421"/>
        <w:gridCol w:w="1424"/>
        <w:gridCol w:w="1421"/>
        <w:gridCol w:w="1424"/>
        <w:gridCol w:w="1308"/>
        <w:gridCol w:w="1602"/>
      </w:tblGrid>
      <w:tr w:rsidR="00C244A7" w:rsidRPr="004C2E4B" w:rsidTr="00BC2A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5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BC2AE3" w:rsidRPr="00BC2AE3" w:rsidRDefault="0002151B" w:rsidP="00BC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Sit</w:t>
            </w:r>
          </w:p>
        </w:tc>
        <w:tc>
          <w:tcPr>
            <w:tcW w:w="53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Stand</w:t>
            </w:r>
          </w:p>
        </w:tc>
        <w:tc>
          <w:tcPr>
            <w:tcW w:w="53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Move</w:t>
            </w:r>
          </w:p>
        </w:tc>
        <w:tc>
          <w:tcPr>
            <w:tcW w:w="53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Walk</w:t>
            </w:r>
          </w:p>
        </w:tc>
        <w:tc>
          <w:tcPr>
            <w:tcW w:w="5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Run</w:t>
            </w:r>
          </w:p>
        </w:tc>
        <w:tc>
          <w:tcPr>
            <w:tcW w:w="53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Stairs</w:t>
            </w:r>
          </w:p>
        </w:tc>
        <w:tc>
          <w:tcPr>
            <w:tcW w:w="470" w:type="pct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Cycle</w:t>
            </w:r>
          </w:p>
        </w:tc>
        <w:tc>
          <w:tcPr>
            <w:tcW w:w="600" w:type="pct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2151B" w:rsidRPr="000347C2" w:rsidRDefault="0002151B" w:rsidP="00173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Steps</w:t>
            </w:r>
          </w:p>
        </w:tc>
      </w:tr>
      <w:tr w:rsidR="00BC2AE3" w:rsidRPr="004C2E4B" w:rsidTr="00BC2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BC2AE3" w:rsidRPr="000347C2" w:rsidRDefault="00BC2AE3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1069" w:type="pct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AE3" w:rsidRPr="00BC2AE3" w:rsidRDefault="00BC2AE3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a-DK"/>
              </w:rPr>
            </w:pPr>
            <w:r w:rsidRPr="00BC2A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a-DK"/>
              </w:rPr>
              <w:t>(in minutes)</w:t>
            </w:r>
          </w:p>
        </w:tc>
        <w:tc>
          <w:tcPr>
            <w:tcW w:w="2608" w:type="pct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AE3" w:rsidRPr="00BC2AE3" w:rsidRDefault="00BC2AE3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a-DK"/>
              </w:rPr>
            </w:pPr>
            <w:r w:rsidRPr="00BC2A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a-DK"/>
              </w:rPr>
              <w:t>(in minutes)</w:t>
            </w:r>
          </w:p>
        </w:tc>
        <w:tc>
          <w:tcPr>
            <w:tcW w:w="600" w:type="pct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BC2AE3" w:rsidRPr="00BC2AE3" w:rsidRDefault="00BC2AE3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a-DK"/>
              </w:rPr>
            </w:pPr>
            <w:r w:rsidRPr="00BC2A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a-DK"/>
              </w:rPr>
              <w:t>(no. of steps)</w:t>
            </w:r>
          </w:p>
        </w:tc>
      </w:tr>
      <w:tr w:rsidR="00C244A7" w:rsidRPr="004C2E4B" w:rsidTr="00BC2AE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Actigraph GT3x</w:t>
            </w:r>
            <w:r w:rsid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r w:rsidR="00C244A7" w:rsidRPr="00C244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(a)</w:t>
            </w:r>
          </w:p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8 ± 3.9</w:t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12.3 ± 4.7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5± 1.5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16 ± 4.1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7 ± 2.6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4 ± 1.5</w:t>
            </w:r>
          </w:p>
        </w:tc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8 ± 2.4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2151B" w:rsidRPr="004C2E4B" w:rsidRDefault="0002151B" w:rsidP="00BC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 xml:space="preserve">992 ± 186 </w:t>
            </w:r>
          </w:p>
        </w:tc>
      </w:tr>
      <w:tr w:rsidR="00C244A7" w:rsidRPr="004C2E4B" w:rsidTr="00BC2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ActivPAL Micro4</w:t>
            </w:r>
            <w:r w:rsid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r w:rsidR="00C244A7" w:rsidRPr="00C244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(a)</w:t>
            </w:r>
          </w:p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8 ± 4.4</w:t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12.2 ± 4.3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5 ± 1.3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16 ±3.7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7 ± 2.5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4 ± 1.8</w:t>
            </w:r>
          </w:p>
        </w:tc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9 ± 3.1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980 ± 184</w:t>
            </w:r>
          </w:p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C244A7" w:rsidRPr="004C2E4B" w:rsidTr="00BC2AE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Axivity AX3</w:t>
            </w:r>
            <w:r w:rsid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r w:rsidR="00C244A7" w:rsidRPr="00C244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(a)</w:t>
            </w:r>
          </w:p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8 ± 5.3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11.9 ± 3.4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5 ± 1.6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16 ± 3.8</w:t>
            </w: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7 ± 2.6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4 ± 1.2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9 ± 2.7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972 ± 180</w:t>
            </w:r>
          </w:p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C244A7" w:rsidRPr="004C2E4B" w:rsidTr="00BC2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da-DK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Sit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Stand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Move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Walk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Run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Stairs</w:t>
            </w:r>
          </w:p>
        </w:tc>
        <w:tc>
          <w:tcPr>
            <w:tcW w:w="470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Cycle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2151B" w:rsidRPr="000347C2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034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Steps</w:t>
            </w:r>
          </w:p>
        </w:tc>
      </w:tr>
      <w:tr w:rsidR="00C244A7" w:rsidRPr="004C2E4B" w:rsidTr="00A724E0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2151B" w:rsidRPr="00A724E0" w:rsidRDefault="0002151B" w:rsidP="00A724E0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4C2E4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AbsSD</w:t>
            </w:r>
            <w:proofErr w:type="spellEnd"/>
            <w:r w:rsid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r w:rsidR="00C244A7" w:rsidRP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(b)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0.1 ± 0.25</w:t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0.2 ± 0.26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0.2 ± 0.13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0.2 ± 0.13</w:t>
            </w:r>
          </w:p>
        </w:tc>
        <w:tc>
          <w:tcPr>
            <w:tcW w:w="5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0.1 ± 0.08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0.2 ± 0.17</w:t>
            </w:r>
          </w:p>
        </w:tc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0.20 ± 0.29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28 ± 21 steps</w:t>
            </w:r>
          </w:p>
        </w:tc>
      </w:tr>
      <w:tr w:rsidR="00C244A7" w:rsidRPr="004C2E4B" w:rsidTr="00A72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>CV</w:t>
            </w:r>
            <w:r w:rsidR="00BC2AE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r w:rsidR="00C244A7" w:rsidRP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(</w:t>
            </w:r>
            <w:r w:rsidR="00BC2AE3" w:rsidRP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c</w:t>
            </w:r>
            <w:r w:rsidR="00C244A7" w:rsidRPr="00C244A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highlight w:val="yellow"/>
                <w:vertAlign w:val="superscript"/>
                <w:lang w:val="en-US" w:eastAsia="da-DK"/>
              </w:rPr>
              <w:t>)</w:t>
            </w:r>
          </w:p>
        </w:tc>
        <w:tc>
          <w:tcPr>
            <w:tcW w:w="534" w:type="pct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0.05</w:t>
            </w:r>
          </w:p>
        </w:tc>
        <w:tc>
          <w:tcPr>
            <w:tcW w:w="535" w:type="pct"/>
            <w:tcBorders>
              <w:top w:val="nil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0.04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0.16</w:t>
            </w:r>
          </w:p>
        </w:tc>
        <w:tc>
          <w:tcPr>
            <w:tcW w:w="535" w:type="pct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0.04</w:t>
            </w:r>
          </w:p>
        </w:tc>
        <w:tc>
          <w:tcPr>
            <w:tcW w:w="534" w:type="pct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0.04</w:t>
            </w:r>
          </w:p>
        </w:tc>
        <w:tc>
          <w:tcPr>
            <w:tcW w:w="535" w:type="pct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0.18</w:t>
            </w:r>
          </w:p>
        </w:tc>
        <w:tc>
          <w:tcPr>
            <w:tcW w:w="470" w:type="pct"/>
            <w:tcBorders>
              <w:top w:val="nil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0.07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:rsidR="0002151B" w:rsidRPr="004C2E4B" w:rsidRDefault="0002151B" w:rsidP="00173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</w:pPr>
            <w:r w:rsidRPr="004C2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da-DK"/>
              </w:rPr>
              <w:t>0.03</w:t>
            </w:r>
          </w:p>
        </w:tc>
      </w:tr>
    </w:tbl>
    <w:p w:rsidR="0002151B" w:rsidRPr="004C2E4B" w:rsidRDefault="00C244A7" w:rsidP="0002151B">
      <w:pPr>
        <w:pStyle w:val="Billedteks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(</w:t>
      </w:r>
      <w:r w:rsidR="00BC2AE3">
        <w:rPr>
          <w:rFonts w:ascii="Times New Roman" w:hAnsi="Times New Roman" w:cs="Times New Roman"/>
          <w:b w:val="0"/>
          <w:color w:val="auto"/>
          <w:lang w:val="en-US"/>
        </w:rPr>
        <w:t>a)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 Activity classifications are based on those d</w:t>
      </w:r>
      <w:r w:rsidR="00B4447A">
        <w:rPr>
          <w:rFonts w:ascii="Times New Roman" w:hAnsi="Times New Roman" w:cs="Times New Roman"/>
          <w:b w:val="0"/>
          <w:color w:val="auto"/>
          <w:lang w:val="en-US"/>
        </w:rPr>
        <w:t>efined by Skotte et al. 2014 (1)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>.</w:t>
      </w:r>
      <w:r w:rsidR="0002151B" w:rsidRPr="004C2E4B">
        <w:rPr>
          <w:rFonts w:ascii="Times New Roman" w:hAnsi="Times New Roman" w:cs="Times New Roman"/>
          <w:bCs w:val="0"/>
          <w:color w:val="auto"/>
          <w:sz w:val="24"/>
          <w:szCs w:val="22"/>
          <w:lang w:val="en-US"/>
        </w:rPr>
        <w:t xml:space="preserve"> </w:t>
      </w:r>
      <w:r w:rsidR="00B4447A" w:rsidRPr="00B4447A">
        <w:rPr>
          <w:rFonts w:ascii="Times New Roman" w:hAnsi="Times New Roman" w:cs="Times New Roman"/>
          <w:b w:val="0"/>
          <w:bCs w:val="0"/>
          <w:color w:val="auto"/>
          <w:highlight w:val="yellow"/>
          <w:lang w:val="en-US"/>
        </w:rPr>
        <w:t xml:space="preserve">Step count was derived according to </w:t>
      </w:r>
      <w:proofErr w:type="spellStart"/>
      <w:r w:rsidR="00B4447A" w:rsidRPr="00B4447A">
        <w:rPr>
          <w:rFonts w:ascii="Times New Roman" w:hAnsi="Times New Roman" w:cs="Times New Roman"/>
          <w:b w:val="0"/>
          <w:bCs w:val="0"/>
          <w:color w:val="auto"/>
          <w:highlight w:val="yellow"/>
          <w:lang w:val="en-US"/>
        </w:rPr>
        <w:t>Ingebrigtsen</w:t>
      </w:r>
      <w:proofErr w:type="spellEnd"/>
      <w:r w:rsidR="00B4447A" w:rsidRPr="00B4447A">
        <w:rPr>
          <w:rFonts w:ascii="Times New Roman" w:hAnsi="Times New Roman" w:cs="Times New Roman"/>
          <w:b w:val="0"/>
          <w:bCs w:val="0"/>
          <w:color w:val="auto"/>
          <w:highlight w:val="yellow"/>
          <w:lang w:val="en-US"/>
        </w:rPr>
        <w:t xml:space="preserve"> et al. 2013 (10).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Values </w:t>
      </w:r>
      <w:proofErr w:type="gramStart"/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>are</w:t>
      </w:r>
      <w:proofErr w:type="gramEnd"/>
      <w:r w:rsidR="0002151B" w:rsidRPr="004C2E4B">
        <w:rPr>
          <w:rFonts w:ascii="Times New Roman" w:hAnsi="Times New Roman" w:cs="Times New Roman"/>
          <w:color w:val="auto"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>computed from the average duration of semi-standardized accelerometry measurements. Accelerometers from three different brands (Actigraph Gt3x+, Axivity AX3, and ActivPAL Micro4) were placed in a vertical line on the midsection of the thigh. The order of placement was randomized and balanced. Proportion was calculated as</w:t>
      </w:r>
      <w:proofErr w:type="gramStart"/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: </w:t>
      </w:r>
      <w:proofErr w:type="gramEnd"/>
      <m:oMath>
        <m:r>
          <w:rPr>
            <w:rFonts w:ascii="Cambria Math" w:hAnsi="Cambria Math" w:cs="Times New Roman"/>
            <w:color w:val="auto"/>
            <w:lang w:val="en-US"/>
          </w:rPr>
          <m:t>scaled mean</m:t>
        </m:r>
        <m:r>
          <m:rPr>
            <m:sty m:val="bi"/>
          </m:rPr>
          <w:rPr>
            <w:rFonts w:ascii="Cambria Math" w:hAnsi="Cambria Math" w:cs="Times New Roman"/>
            <w:color w:val="auto"/>
            <w:lang w:val="en-US"/>
          </w:rPr>
          <m:t xml:space="preserve">= </m:t>
        </m:r>
        <m:f>
          <m:fPr>
            <m:ctrlPr>
              <w:rPr>
                <w:rFonts w:ascii="Cambria Math" w:hAnsi="Cambria Math" w:cs="Times New Roman"/>
                <w:b w:val="0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auto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color w:val="auto"/>
                <w:lang w:val="en-US"/>
              </w:rPr>
              <m:t>17.350</m:t>
            </m:r>
          </m:den>
        </m:f>
        <m:r>
          <w:rPr>
            <w:rFonts w:ascii="Cambria Math" w:hAnsi="Cambria Math" w:cs="Times New Roman"/>
            <w:color w:val="auto"/>
            <w:lang w:val="en-US"/>
          </w:rPr>
          <m:t>*60</m:t>
        </m:r>
      </m:oMath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; where </w:t>
      </w:r>
      <m:oMath>
        <m:r>
          <w:rPr>
            <w:rFonts w:ascii="Cambria Math" w:hAnsi="Cambria Math" w:cs="Times New Roman"/>
            <w:color w:val="auto"/>
            <w:lang w:val="en-US"/>
          </w:rPr>
          <m:t>x</m:t>
        </m:r>
      </m:oMath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 is the original mean and the mean measurement duration is 17.350 minutes</w:t>
      </w:r>
    </w:p>
    <w:p w:rsidR="0002151B" w:rsidRPr="004C2E4B" w:rsidRDefault="00C244A7" w:rsidP="0002151B">
      <w:pPr>
        <w:pStyle w:val="Billedtekst"/>
        <w:rPr>
          <w:rFonts w:ascii="Times New Roman" w:hAnsi="Times New Roman" w:cs="Times New Roman"/>
          <w:b w:val="0"/>
          <w:color w:val="auto"/>
          <w:lang w:val="en-US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(</w:t>
      </w:r>
      <w:r w:rsidR="00BC2AE3">
        <w:rPr>
          <w:rFonts w:ascii="Times New Roman" w:hAnsi="Times New Roman" w:cs="Times New Roman"/>
          <w:b w:val="0"/>
          <w:color w:val="auto"/>
          <w:lang w:val="en-US"/>
        </w:rPr>
        <w:t>b)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r w:rsidR="00B4447A" w:rsidRPr="003540D4">
        <w:rPr>
          <w:rFonts w:ascii="Times New Roman" w:hAnsi="Times New Roman" w:cs="Times New Roman"/>
          <w:b w:val="0"/>
          <w:color w:val="auto"/>
          <w:highlight w:val="yellow"/>
          <w:lang w:val="en-US"/>
        </w:rPr>
        <w:t>Mean</w:t>
      </w:r>
      <w:r w:rsidR="00B4447A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>SD is calculated as the</w:t>
      </w:r>
      <w:r w:rsidR="0002151B" w:rsidRPr="004C2E4B">
        <w:rPr>
          <w:rFonts w:ascii="Times New Roman" w:hAnsi="Times New Roman" w:cs="Times New Roman"/>
          <w:b w:val="0"/>
          <w:i/>
          <w:color w:val="auto"/>
          <w:lang w:val="en-US"/>
        </w:rPr>
        <w:t xml:space="preserve"> average</w:t>
      </w:r>
      <w:r w:rsidR="0002151B"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 standard deviation in activity durations between all three devices, for each </w:t>
      </w:r>
      <w:r w:rsidR="0002151B">
        <w:rPr>
          <w:rFonts w:ascii="Times New Roman" w:hAnsi="Times New Roman" w:cs="Times New Roman"/>
          <w:b w:val="0"/>
          <w:color w:val="auto"/>
          <w:lang w:val="en-US"/>
        </w:rPr>
        <w:t>participant.</w:t>
      </w:r>
    </w:p>
    <w:p w:rsidR="0002151B" w:rsidRPr="004C2E4B" w:rsidRDefault="00C244A7" w:rsidP="0002151B">
      <w:pPr>
        <w:rPr>
          <w:rFonts w:ascii="Times New Roman" w:hAnsi="Times New Roman" w:cs="Times New Roman"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Cs/>
          <w:sz w:val="18"/>
          <w:szCs w:val="18"/>
          <w:lang w:val="en-US"/>
        </w:rPr>
        <w:t>(</w:t>
      </w:r>
      <w:r w:rsidR="00BC2AE3">
        <w:rPr>
          <w:rFonts w:ascii="Times New Roman" w:hAnsi="Times New Roman" w:cs="Times New Roman"/>
          <w:bCs/>
          <w:sz w:val="18"/>
          <w:szCs w:val="18"/>
          <w:lang w:val="en-US"/>
        </w:rPr>
        <w:t>c</w:t>
      </w:r>
      <w:proofErr w:type="gramStart"/>
      <w:r w:rsidR="00BC2AE3">
        <w:rPr>
          <w:rFonts w:ascii="Times New Roman" w:hAnsi="Times New Roman" w:cs="Times New Roman"/>
          <w:bCs/>
          <w:sz w:val="18"/>
          <w:szCs w:val="18"/>
          <w:lang w:val="en-US"/>
        </w:rPr>
        <w:t>)</w:t>
      </w:r>
      <w:r w:rsidR="0002151B" w:rsidRPr="004C2E4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18"/>
            <w:szCs w:val="18"/>
            <w:lang w:val="en-US"/>
          </w:rPr>
          <m:t>CV=σ/</m:t>
        </m:r>
        <m:bar>
          <m:barPr>
            <m:pos m:val="top"/>
            <m:ctrlPr>
              <w:rPr>
                <w:rFonts w:ascii="Cambria Math" w:hAnsi="Cambria Math" w:cs="Times New Roman"/>
                <w:bCs/>
                <w:sz w:val="18"/>
                <w:szCs w:val="18"/>
                <w:lang w:val="en-US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  <w:lang w:val="en-US"/>
              </w:rPr>
              <m:t>A</m:t>
            </m:r>
          </m:e>
        </m:bar>
      </m:oMath>
      <w:r w:rsidR="0002151B" w:rsidRPr="004C2E4B">
        <w:rPr>
          <w:rFonts w:ascii="Times New Roman" w:hAnsi="Times New Roman" w:cs="Times New Roman"/>
          <w:bCs/>
          <w:sz w:val="18"/>
          <w:szCs w:val="18"/>
          <w:lang w:val="en-US"/>
        </w:rPr>
        <w:t>;</w:t>
      </w:r>
      <w:r w:rsidR="0002151B" w:rsidRPr="004C2E4B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 where</w:t>
      </w:r>
      <w:r w:rsidR="0002151B" w:rsidRPr="004C2E4B">
        <w:rPr>
          <w:rFonts w:eastAsiaTheme="minorEastAsia"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σ</m:t>
        </m:r>
      </m:oMath>
      <w:r w:rsidR="0002151B" w:rsidRPr="00BC2AE3">
        <w:rPr>
          <w:rFonts w:eastAsiaTheme="minorEastAsia"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= SD and </w:t>
      </w:r>
      <m:oMath>
        <m:bar>
          <m:barPr>
            <m:pos m:val="top"/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bar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A</m:t>
            </m:r>
          </m:e>
        </m:bar>
      </m:oMath>
      <w:r w:rsidR="0002151B" w:rsidRPr="004C2E4B">
        <w:rPr>
          <w:rFonts w:eastAsiaTheme="minorEastAsia"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Cs/>
          <w:sz w:val="18"/>
          <w:szCs w:val="18"/>
          <w:lang w:val="en-US"/>
        </w:rPr>
        <w:t>= the mean of activity duration between all three devices, for each participant</w:t>
      </w:r>
    </w:p>
    <w:p w:rsidR="0002151B" w:rsidRDefault="0002151B" w:rsidP="0002151B">
      <w:pPr>
        <w:spacing w:after="0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</w:pPr>
    </w:p>
    <w:p w:rsidR="0002151B" w:rsidRDefault="0002151B" w:rsidP="0002151B">
      <w:pPr>
        <w:rPr>
          <w:rFonts w:ascii="Times New Roman" w:hAnsi="Times New Roman" w:cs="Times New Roman"/>
          <w:sz w:val="24"/>
          <w:lang w:val="en-US"/>
        </w:rPr>
      </w:pPr>
    </w:p>
    <w:p w:rsidR="0002151B" w:rsidRDefault="0002151B" w:rsidP="0002151B">
      <w:pPr>
        <w:rPr>
          <w:rFonts w:ascii="Times New Roman" w:hAnsi="Times New Roman" w:cs="Times New Roman"/>
          <w:sz w:val="24"/>
          <w:lang w:val="en-US"/>
        </w:rPr>
      </w:pPr>
    </w:p>
    <w:p w:rsidR="0002151B" w:rsidRDefault="0002151B" w:rsidP="0002151B">
      <w:pPr>
        <w:rPr>
          <w:rFonts w:ascii="Times New Roman" w:hAnsi="Times New Roman" w:cs="Times New Roman"/>
          <w:sz w:val="24"/>
          <w:lang w:val="en-US"/>
        </w:rPr>
      </w:pPr>
    </w:p>
    <w:p w:rsidR="0002151B" w:rsidRDefault="0002151B" w:rsidP="0002151B">
      <w:pPr>
        <w:rPr>
          <w:rFonts w:ascii="Times New Roman" w:hAnsi="Times New Roman" w:cs="Times New Roman"/>
          <w:sz w:val="24"/>
          <w:lang w:val="en-US"/>
        </w:rPr>
      </w:pPr>
    </w:p>
    <w:p w:rsidR="0002151B" w:rsidRPr="004C2E4B" w:rsidRDefault="0002151B" w:rsidP="0002151B">
      <w:pPr>
        <w:rPr>
          <w:rFonts w:ascii="Times New Roman" w:hAnsi="Times New Roman" w:cs="Times New Roman"/>
          <w:sz w:val="24"/>
          <w:lang w:val="en-US"/>
        </w:rPr>
      </w:pPr>
      <w:r w:rsidRPr="007B5A99">
        <w:rPr>
          <w:rFonts w:ascii="Times New Roman" w:hAnsi="Times New Roman" w:cs="Times New Roman"/>
          <w:sz w:val="24"/>
          <w:lang w:val="en-US"/>
        </w:rPr>
        <w:lastRenderedPageBreak/>
        <w:t>Table A2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4C2E4B">
        <w:rPr>
          <w:rFonts w:ascii="Times New Roman" w:hAnsi="Times New Roman" w:cs="Times New Roman"/>
          <w:sz w:val="24"/>
          <w:lang w:val="en-US"/>
        </w:rPr>
        <w:t xml:space="preserve">– Technical features of the ActiGraph GT3X+, Axivity AX3, and ActivPAL Micro4 accelerometers </w:t>
      </w:r>
    </w:p>
    <w:tbl>
      <w:tblPr>
        <w:tblStyle w:val="Lysskygge"/>
        <w:tblW w:w="0" w:type="auto"/>
        <w:tblLook w:val="04A0" w:firstRow="1" w:lastRow="0" w:firstColumn="1" w:lastColumn="0" w:noHBand="0" w:noVBand="1"/>
      </w:tblPr>
      <w:tblGrid>
        <w:gridCol w:w="3091"/>
        <w:gridCol w:w="3470"/>
        <w:gridCol w:w="3470"/>
        <w:gridCol w:w="3621"/>
      </w:tblGrid>
      <w:tr w:rsidR="0002151B" w:rsidRPr="004C2E4B" w:rsidTr="00173C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Attribute</w:t>
            </w:r>
          </w:p>
        </w:tc>
        <w:tc>
          <w:tcPr>
            <w:tcW w:w="0" w:type="auto"/>
            <w:hideMark/>
          </w:tcPr>
          <w:p w:rsidR="0002151B" w:rsidRPr="004C2E4B" w:rsidRDefault="0002151B" w:rsidP="00173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Actigraph GT3X+</w:t>
            </w:r>
          </w:p>
        </w:tc>
        <w:tc>
          <w:tcPr>
            <w:tcW w:w="0" w:type="auto"/>
            <w:hideMark/>
          </w:tcPr>
          <w:p w:rsidR="0002151B" w:rsidRPr="004C2E4B" w:rsidRDefault="0002151B" w:rsidP="00173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Axivity AX3</w:t>
            </w:r>
          </w:p>
        </w:tc>
        <w:tc>
          <w:tcPr>
            <w:tcW w:w="0" w:type="auto"/>
            <w:hideMark/>
          </w:tcPr>
          <w:p w:rsidR="0002151B" w:rsidRPr="004C2E4B" w:rsidRDefault="0002151B" w:rsidP="00173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ActivPAL Micro4</w:t>
            </w:r>
          </w:p>
        </w:tc>
      </w:tr>
      <w:tr w:rsidR="0002151B" w:rsidRPr="004C2E4B" w:rsidTr="00173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00000" w:themeColor="text1"/>
              <w:bottom w:val="nil"/>
              <w:right w:val="single" w:sz="4" w:space="0" w:color="auto"/>
            </w:tcBorders>
            <w:shd w:val="clear" w:color="auto" w:fill="auto"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Sensing unit</w:t>
            </w:r>
          </w:p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MEMS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MEMS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MEMS</w:t>
            </w:r>
          </w:p>
        </w:tc>
      </w:tr>
      <w:tr w:rsidR="0002151B" w:rsidRPr="004C2E4B" w:rsidTr="00173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Range</w:t>
            </w:r>
          </w:p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±6g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±2-16g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±2-4g</w:t>
            </w:r>
          </w:p>
        </w:tc>
      </w:tr>
      <w:tr w:rsidR="0002151B" w:rsidRPr="004C2E4B" w:rsidTr="00173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Dimensions</w:t>
            </w:r>
          </w:p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19 × 34 × 45mm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7.6 × 23 × 32.5mm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0347C2">
              <w:rPr>
                <w:rFonts w:ascii="Times New Roman" w:hAnsi="Times New Roman" w:cs="Times New Roman"/>
                <w:sz w:val="24"/>
                <w:lang w:val="en-US"/>
              </w:rPr>
              <w:t xml:space="preserve">23.5 </w:t>
            </w: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×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43 </w:t>
            </w: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×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5mm</w:t>
            </w:r>
          </w:p>
        </w:tc>
      </w:tr>
      <w:tr w:rsidR="0002151B" w:rsidRPr="004C2E4B" w:rsidTr="00173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 xml:space="preserve">Default Sample </w:t>
            </w:r>
          </w:p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Frequency</w:t>
            </w:r>
          </w:p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100Hz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20 Hz </w:t>
            </w:r>
          </w:p>
        </w:tc>
      </w:tr>
      <w:tr w:rsidR="0002151B" w:rsidRPr="004C2E4B" w:rsidTr="00173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Manufacturer recommended position</w:t>
            </w:r>
          </w:p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Wrist, waist, ankle, thigh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None specifically 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Right mid-thigh</w:t>
            </w:r>
          </w:p>
        </w:tc>
      </w:tr>
      <w:tr w:rsidR="0002151B" w:rsidRPr="004C2E4B" w:rsidTr="00173CC9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Orientation Sensitive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AE2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Yes</w:t>
            </w:r>
            <w:r w:rsidR="00AE2EF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E2EF7" w:rsidRPr="00AE2EF7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(correctable if positioned upside down)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AE2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Yes</w:t>
            </w:r>
            <w:r w:rsidR="00AE2EF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E2EF7" w:rsidRPr="00AE2EF7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(correctable if positioned upside down)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51B" w:rsidRPr="004C2E4B" w:rsidRDefault="0002151B" w:rsidP="00AE2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Yes </w:t>
            </w:r>
            <w:r w:rsidR="00AE2EF7" w:rsidRPr="004C2E4B">
              <w:rPr>
                <w:rFonts w:ascii="Times New Roman" w:hAnsi="Times New Roman" w:cs="Times New Roman"/>
                <w:sz w:val="24"/>
                <w:lang w:val="en-US"/>
              </w:rPr>
              <w:t>(correctable if positioned upside down)</w:t>
            </w:r>
          </w:p>
        </w:tc>
      </w:tr>
      <w:tr w:rsidR="0002151B" w:rsidRPr="004C2E4B" w:rsidTr="00173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 xml:space="preserve">Raw file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.GT3x(.csv available)</w:t>
            </w:r>
          </w:p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.CWA (.csv available)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.PAL (.csv available)</w:t>
            </w:r>
          </w:p>
        </w:tc>
      </w:tr>
      <w:tr w:rsidR="0002151B" w:rsidRPr="004C2E4B" w:rsidTr="00173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51B" w:rsidRPr="004C2E4B" w:rsidRDefault="0002151B" w:rsidP="00173CC9">
            <w:pPr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b w:val="0"/>
                <w:sz w:val="24"/>
                <w:lang w:val="en-US"/>
              </w:rPr>
              <w:t>Software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ActiLife v6.13.3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Open Movement GUI v1.0.0.30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02151B" w:rsidRPr="004C2E4B" w:rsidRDefault="0002151B" w:rsidP="00173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PALconnect</w:t>
            </w:r>
            <w:proofErr w:type="spellEnd"/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 v8.9.8.48 &amp; </w:t>
            </w:r>
            <w:proofErr w:type="spellStart"/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>PALbatch</w:t>
            </w:r>
            <w:proofErr w:type="spellEnd"/>
            <w:r w:rsidRPr="004C2E4B">
              <w:rPr>
                <w:rFonts w:ascii="Times New Roman" w:hAnsi="Times New Roman" w:cs="Times New Roman"/>
                <w:sz w:val="24"/>
                <w:lang w:val="en-US"/>
              </w:rPr>
              <w:t xml:space="preserve"> v8.9.4.17</w:t>
            </w:r>
          </w:p>
        </w:tc>
      </w:tr>
    </w:tbl>
    <w:p w:rsidR="0002151B" w:rsidRPr="004C2E4B" w:rsidRDefault="0002151B" w:rsidP="0002151B">
      <w:pPr>
        <w:spacing w:after="0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  <w:sectPr w:rsidR="0002151B" w:rsidRPr="004C2E4B">
          <w:pgSz w:w="16838" w:h="11906" w:orient="landscape"/>
          <w:pgMar w:top="1134" w:right="1701" w:bottom="1134" w:left="1701" w:header="708" w:footer="708" w:gutter="0"/>
          <w:cols w:space="708"/>
        </w:sectPr>
      </w:pPr>
    </w:p>
    <w:p w:rsidR="0002151B" w:rsidRPr="004C2E4B" w:rsidRDefault="0002151B" w:rsidP="0002151B">
      <w:pPr>
        <w:jc w:val="center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4C2E4B">
        <w:rPr>
          <w:rFonts w:ascii="Times New Roman" w:hAnsi="Times New Roman" w:cs="Times New Roman"/>
          <w:b/>
          <w:bCs/>
          <w:sz w:val="24"/>
          <w:szCs w:val="18"/>
          <w:lang w:val="en-US"/>
        </w:rPr>
        <w:lastRenderedPageBreak/>
        <w:t>Section B</w:t>
      </w:r>
    </w:p>
    <w:p w:rsidR="0002151B" w:rsidRPr="004C2E4B" w:rsidRDefault="00BC2AE3" w:rsidP="0002151B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sz w:val="24"/>
          <w:szCs w:val="18"/>
          <w:lang w:val="en-US"/>
        </w:rPr>
        <w:t>Bland</w:t>
      </w:r>
      <w:r w:rsidRPr="003540D4">
        <w:rPr>
          <w:rFonts w:ascii="Times New Roman" w:hAnsi="Times New Roman" w:cs="Times New Roman"/>
          <w:bCs/>
          <w:sz w:val="24"/>
          <w:szCs w:val="18"/>
          <w:highlight w:val="yellow"/>
          <w:lang w:val="en-US"/>
        </w:rPr>
        <w:t>-</w:t>
      </w:r>
      <w:r w:rsidR="0002151B"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Altman agreement between Actigraph Gt3x and Axivity AX3 estimates of </w:t>
      </w:r>
      <w:r w:rsidR="0002151B">
        <w:rPr>
          <w:rFonts w:ascii="Times New Roman" w:hAnsi="Times New Roman" w:cs="Times New Roman"/>
          <w:bCs/>
          <w:sz w:val="24"/>
          <w:szCs w:val="18"/>
          <w:lang w:val="en-US"/>
        </w:rPr>
        <w:t>physical behaviors</w:t>
      </w:r>
      <w:r w:rsidR="0002151B"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 are presented in figure 1(a) &amp; figure 1(b).</w:t>
      </w:r>
      <w:r w:rsidR="0002151B" w:rsidRPr="004C2E4B">
        <w:rPr>
          <w:rFonts w:ascii="Times New Roman" w:hAnsi="Times New Roman" w:cs="Times New Roman"/>
          <w:b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Cs/>
          <w:lang w:val="en-US"/>
        </w:rPr>
        <w:t>Differences are based on free-living measurements; therefore, data from 19 participants is included. The following physical activities and postures are depicted: B1 = Lie/Sit; B2 = Stand; B3 = Move; B4 = walk; B5 = run; B6 = stair climbing; B7 = cycle; B8 = stepping.</w:t>
      </w:r>
    </w:p>
    <w:p w:rsidR="0002151B" w:rsidRPr="004C2E4B" w:rsidRDefault="0002151B" w:rsidP="0002151B">
      <w:pPr>
        <w:rPr>
          <w:rFonts w:ascii="Times New Roman" w:hAnsi="Times New Roman" w:cs="Times New Roman"/>
          <w:lang w:val="en-US"/>
        </w:rPr>
        <w:sectPr w:rsidR="0002151B" w:rsidRPr="004C2E4B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02151B" w:rsidRPr="004C2E4B" w:rsidRDefault="0002151B" w:rsidP="0002151B">
      <w:pPr>
        <w:jc w:val="center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4864FD">
        <w:rPr>
          <w:rFonts w:ascii="Times New Roman" w:hAnsi="Times New Roman" w:cs="Times New Roman"/>
          <w:bCs/>
          <w:sz w:val="24"/>
          <w:szCs w:val="18"/>
          <w:lang w:val="en-US"/>
        </w:rPr>
        <w:lastRenderedPageBreak/>
        <w:t>Figure 1(a)</w:t>
      </w:r>
      <w:r w:rsidRPr="004C2E4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</w:t>
      </w:r>
      <w:r w:rsidR="00BC2AE3">
        <w:rPr>
          <w:rFonts w:ascii="Times New Roman" w:hAnsi="Times New Roman" w:cs="Times New Roman"/>
          <w:b/>
          <w:bCs/>
          <w:sz w:val="24"/>
          <w:szCs w:val="18"/>
          <w:lang w:val="en-US"/>
        </w:rPr>
        <w:t>–</w:t>
      </w:r>
      <w:r w:rsidR="00BC2AE3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 Bland</w:t>
      </w:r>
      <w:r w:rsidR="00BC2AE3" w:rsidRPr="003540D4">
        <w:rPr>
          <w:rFonts w:ascii="Times New Roman" w:hAnsi="Times New Roman" w:cs="Times New Roman"/>
          <w:bCs/>
          <w:sz w:val="24"/>
          <w:szCs w:val="18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Altman agreements between Actigraph Gt3x and Axivity AX3 </w:t>
      </w:r>
      <w:r>
        <w:rPr>
          <w:rFonts w:ascii="Times New Roman" w:hAnsi="Times New Roman" w:cs="Times New Roman"/>
          <w:bCs/>
          <w:sz w:val="24"/>
          <w:szCs w:val="18"/>
          <w:lang w:val="en-US"/>
        </w:rPr>
        <w:t xml:space="preserve">physical behavior </w:t>
      </w:r>
      <w:r w:rsidRPr="004C2E4B">
        <w:rPr>
          <w:rFonts w:ascii="Times New Roman" w:hAnsi="Times New Roman" w:cs="Times New Roman"/>
          <w:bCs/>
          <w:sz w:val="24"/>
          <w:szCs w:val="18"/>
          <w:lang w:val="en-US"/>
        </w:rPr>
        <w:t>estimates</w:t>
      </w:r>
    </w:p>
    <w:p w:rsidR="0002151B" w:rsidRPr="004C2E4B" w:rsidRDefault="006A5F23" w:rsidP="0002151B">
      <w:pPr>
        <w:keepNext/>
        <w:jc w:val="center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64C129BC">
            <wp:extent cx="6840000" cy="5400000"/>
            <wp:effectExtent l="0" t="0" r="0" b="0"/>
            <wp:docPr id="31" name="Billed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51B" w:rsidRPr="004C2E4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bCs w:val="0"/>
          <w:color w:val="auto"/>
          <w:lang w:val="en-US"/>
        </w:rPr>
      </w:pPr>
      <w:r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Y-axis reference lines from indicate mean, upper and lower limit of agreement (±1.96 SD). </w:t>
      </w:r>
    </w:p>
    <w:p w:rsidR="0002151B" w:rsidRDefault="0002151B" w:rsidP="0002151B">
      <w:pPr>
        <w:jc w:val="center"/>
        <w:rPr>
          <w:rFonts w:ascii="Times New Roman" w:hAnsi="Times New Roman" w:cs="Times New Roman"/>
          <w:bCs/>
          <w:noProof/>
          <w:sz w:val="24"/>
          <w:szCs w:val="18"/>
          <w:lang w:eastAsia="en-GB"/>
        </w:rPr>
      </w:pPr>
      <w:r w:rsidRPr="004864FD">
        <w:rPr>
          <w:rFonts w:ascii="Times New Roman" w:hAnsi="Times New Roman" w:cs="Times New Roman"/>
          <w:bCs/>
          <w:sz w:val="24"/>
          <w:szCs w:val="18"/>
          <w:lang w:val="en-US"/>
        </w:rPr>
        <w:lastRenderedPageBreak/>
        <w:t>Figure 1(b)</w:t>
      </w:r>
      <w:r w:rsidRPr="004C2E4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</w:t>
      </w:r>
      <w:r w:rsidR="00BC2AE3">
        <w:rPr>
          <w:rFonts w:ascii="Times New Roman" w:hAnsi="Times New Roman" w:cs="Times New Roman"/>
          <w:b/>
          <w:bCs/>
          <w:sz w:val="24"/>
          <w:szCs w:val="18"/>
          <w:lang w:val="en-US"/>
        </w:rPr>
        <w:t>–</w:t>
      </w:r>
      <w:r w:rsidRPr="004C2E4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</w:t>
      </w:r>
      <w:r w:rsidR="00BC2AE3">
        <w:rPr>
          <w:rFonts w:ascii="Times New Roman" w:hAnsi="Times New Roman" w:cs="Times New Roman"/>
          <w:bCs/>
          <w:sz w:val="24"/>
          <w:szCs w:val="18"/>
          <w:lang w:val="en-US"/>
        </w:rPr>
        <w:t>Bland</w:t>
      </w:r>
      <w:r w:rsidR="00BC2AE3" w:rsidRPr="003540D4">
        <w:rPr>
          <w:rFonts w:ascii="Times New Roman" w:hAnsi="Times New Roman" w:cs="Times New Roman"/>
          <w:bCs/>
          <w:sz w:val="24"/>
          <w:szCs w:val="18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Altman agreement between Actigraph Gt3x and Axivity AX3 </w:t>
      </w:r>
      <w:r>
        <w:rPr>
          <w:rFonts w:ascii="Times New Roman" w:hAnsi="Times New Roman" w:cs="Times New Roman"/>
          <w:bCs/>
          <w:sz w:val="24"/>
          <w:szCs w:val="18"/>
          <w:lang w:val="en-US"/>
        </w:rPr>
        <w:t xml:space="preserve">physical behavior </w:t>
      </w:r>
      <w:r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estimates </w:t>
      </w:r>
    </w:p>
    <w:p w:rsidR="006A5F23" w:rsidRPr="004C2E4B" w:rsidRDefault="006A5F23" w:rsidP="0002151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29207F6">
            <wp:extent cx="6840000" cy="5400000"/>
            <wp:effectExtent l="0" t="0" r="0" b="0"/>
            <wp:docPr id="38" name="Billed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51B" w:rsidRPr="004C2E4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color w:val="auto"/>
          <w:lang w:val="en-US"/>
        </w:rPr>
        <w:sectPr w:rsidR="0002151B" w:rsidRPr="004C2E4B" w:rsidSect="00430A80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  <w:r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Y-axis reference lines from indicate mean, upper and lower limit of agreement (±1.96 SD). </w:t>
      </w:r>
    </w:p>
    <w:p w:rsidR="0002151B" w:rsidRPr="004C2E4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color w:val="auto"/>
          <w:lang w:val="en-US"/>
        </w:rPr>
      </w:pPr>
    </w:p>
    <w:p w:rsidR="0002151B" w:rsidRPr="004C2E4B" w:rsidRDefault="0002151B" w:rsidP="0002151B">
      <w:pPr>
        <w:rPr>
          <w:lang w:val="en-US"/>
        </w:rPr>
      </w:pP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2E4B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C</w:t>
      </w:r>
    </w:p>
    <w:p w:rsidR="0002151B" w:rsidRPr="004C2E4B" w:rsidRDefault="00BC2AE3" w:rsidP="0002151B">
      <w:pPr>
        <w:rPr>
          <w:rFonts w:ascii="Times New Roman" w:hAnsi="Times New Roman" w:cs="Times New Roman"/>
          <w:lang w:val="en-US"/>
        </w:rPr>
        <w:sectPr w:rsidR="0002151B" w:rsidRPr="004C2E4B" w:rsidSect="008B7A09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18"/>
          <w:lang w:val="en-US"/>
        </w:rPr>
        <w:t>Bland</w:t>
      </w:r>
      <w:r w:rsidRPr="003540D4">
        <w:rPr>
          <w:rFonts w:ascii="Times New Roman" w:hAnsi="Times New Roman" w:cs="Times New Roman"/>
          <w:bCs/>
          <w:sz w:val="24"/>
          <w:szCs w:val="18"/>
          <w:highlight w:val="yellow"/>
          <w:lang w:val="en-US"/>
        </w:rPr>
        <w:t>-</w:t>
      </w:r>
      <w:r w:rsidR="0002151B"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Altman agreement between Actigraph Gt3x and ActivPAL Micro4 estimates of </w:t>
      </w:r>
      <w:r w:rsidR="0002151B">
        <w:rPr>
          <w:rFonts w:ascii="Times New Roman" w:hAnsi="Times New Roman" w:cs="Times New Roman"/>
          <w:bCs/>
          <w:sz w:val="24"/>
          <w:szCs w:val="18"/>
          <w:lang w:val="en-US"/>
        </w:rPr>
        <w:t>physical behaviors</w:t>
      </w:r>
      <w:r w:rsidR="0002151B"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 are presented in figure 2(a) &amp; figure 2(b).</w:t>
      </w:r>
      <w:r w:rsidR="0002151B" w:rsidRPr="004C2E4B">
        <w:rPr>
          <w:rFonts w:ascii="Times New Roman" w:hAnsi="Times New Roman" w:cs="Times New Roman"/>
          <w:b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Cs/>
          <w:lang w:val="en-US"/>
        </w:rPr>
        <w:t>Differences are based on free-living measurements; therefore, data from 19 participants is included. The following physical activities and postures are depicted: C1 = Lie/Sit; C2 = Stand; C3 = Move; C4 = walk; C5 = run; C6 = stair climbing; C7 = cycle; C8 = stepping.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64FD">
        <w:rPr>
          <w:rFonts w:ascii="Times New Roman" w:hAnsi="Times New Roman" w:cs="Times New Roman"/>
          <w:bCs/>
          <w:sz w:val="24"/>
          <w:szCs w:val="18"/>
          <w:lang w:val="en-US"/>
        </w:rPr>
        <w:lastRenderedPageBreak/>
        <w:t>Figure 2(a)</w:t>
      </w:r>
      <w:r w:rsidRPr="004C2E4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</w:t>
      </w:r>
      <w:r w:rsidR="00BC2AE3">
        <w:rPr>
          <w:rFonts w:ascii="Times New Roman" w:hAnsi="Times New Roman" w:cs="Times New Roman"/>
          <w:b/>
          <w:bCs/>
          <w:sz w:val="24"/>
          <w:szCs w:val="18"/>
          <w:lang w:val="en-US"/>
        </w:rPr>
        <w:t>–</w:t>
      </w:r>
      <w:r w:rsidRPr="004C2E4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</w:t>
      </w:r>
      <w:r w:rsidR="00BC2AE3">
        <w:rPr>
          <w:rFonts w:ascii="Times New Roman" w:hAnsi="Times New Roman" w:cs="Times New Roman"/>
          <w:bCs/>
          <w:sz w:val="24"/>
          <w:szCs w:val="18"/>
          <w:lang w:val="en-US"/>
        </w:rPr>
        <w:t>Bland</w:t>
      </w:r>
      <w:r w:rsidR="00BC2AE3" w:rsidRPr="003540D4">
        <w:rPr>
          <w:rFonts w:ascii="Times New Roman" w:hAnsi="Times New Roman" w:cs="Times New Roman"/>
          <w:bCs/>
          <w:sz w:val="24"/>
          <w:szCs w:val="18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Altman agreement between Actigraph Gt3x and ActivPAL Micro4 estimates of </w:t>
      </w:r>
      <w:r>
        <w:rPr>
          <w:rFonts w:ascii="Times New Roman" w:hAnsi="Times New Roman" w:cs="Times New Roman"/>
          <w:bCs/>
          <w:sz w:val="24"/>
          <w:szCs w:val="18"/>
          <w:lang w:val="en-US"/>
        </w:rPr>
        <w:t>physical behavior estimates</w:t>
      </w:r>
      <w:r w:rsidRPr="004C2E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Pr="004C2E4B" w:rsidRDefault="006A5F23" w:rsidP="00021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88304B0">
            <wp:extent cx="6840000" cy="5400000"/>
            <wp:effectExtent l="0" t="0" r="0" b="0"/>
            <wp:docPr id="35" name="Billed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51B" w:rsidRPr="004C2E4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bCs w:val="0"/>
          <w:color w:val="auto"/>
          <w:lang w:val="en-US"/>
        </w:rPr>
      </w:pPr>
      <w:r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Y-axis reference lines from indicate mean, upper and lower limit of agreement (±1.96 SD). </w:t>
      </w:r>
    </w:p>
    <w:p w:rsidR="0002151B" w:rsidRPr="004C2E4B" w:rsidRDefault="0002151B" w:rsidP="00021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2151B" w:rsidRPr="004C2E4B" w:rsidRDefault="0002151B" w:rsidP="0002151B">
      <w:pPr>
        <w:pStyle w:val="Billedtekst"/>
        <w:keepNext/>
        <w:rPr>
          <w:rFonts w:ascii="Times New Roman" w:hAnsi="Times New Roman" w:cs="Times New Roman"/>
          <w:b w:val="0"/>
          <w:color w:val="auto"/>
          <w:sz w:val="24"/>
          <w:lang w:val="en-US"/>
        </w:rPr>
      </w:pPr>
      <w:r w:rsidRPr="004864FD">
        <w:rPr>
          <w:rFonts w:ascii="Times New Roman" w:hAnsi="Times New Roman" w:cs="Times New Roman"/>
          <w:b w:val="0"/>
          <w:color w:val="auto"/>
          <w:sz w:val="24"/>
          <w:lang w:val="en-US"/>
        </w:rPr>
        <w:t>Figure 2(b)</w:t>
      </w:r>
      <w:r w:rsidRPr="004C2E4B"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BC2AE3">
        <w:rPr>
          <w:rFonts w:ascii="Times New Roman" w:hAnsi="Times New Roman" w:cs="Times New Roman"/>
          <w:color w:val="auto"/>
          <w:sz w:val="24"/>
          <w:lang w:val="en-US"/>
        </w:rPr>
        <w:t>–</w:t>
      </w:r>
      <w:r w:rsidRPr="004C2E4B"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BC2AE3">
        <w:rPr>
          <w:rFonts w:ascii="Times New Roman" w:hAnsi="Times New Roman" w:cs="Times New Roman"/>
          <w:b w:val="0"/>
          <w:color w:val="auto"/>
          <w:sz w:val="24"/>
          <w:lang w:val="en-US"/>
        </w:rPr>
        <w:t>Bland</w:t>
      </w:r>
      <w:r w:rsidR="00BC2AE3" w:rsidRPr="003540D4">
        <w:rPr>
          <w:rFonts w:ascii="Times New Roman" w:hAnsi="Times New Roman" w:cs="Times New Roman"/>
          <w:b w:val="0"/>
          <w:color w:val="auto"/>
          <w:sz w:val="24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Altman agreement between Actigraph Gt3x and ActivPAL Micro4 </w:t>
      </w:r>
      <w:r>
        <w:rPr>
          <w:rFonts w:ascii="Times New Roman" w:hAnsi="Times New Roman" w:cs="Times New Roman"/>
          <w:b w:val="0"/>
          <w:color w:val="auto"/>
          <w:sz w:val="24"/>
          <w:lang w:val="en-US"/>
        </w:rPr>
        <w:t>physical behavior estimates</w:t>
      </w:r>
    </w:p>
    <w:p w:rsidR="0002151B" w:rsidRPr="004C2E4B" w:rsidRDefault="00143852" w:rsidP="00021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9D7E7B5">
            <wp:extent cx="6840000" cy="5400000"/>
            <wp:effectExtent l="0" t="0" r="0" b="0"/>
            <wp:docPr id="27" name="Billed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51B" w:rsidRPr="004C2E4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color w:val="auto"/>
          <w:lang w:val="en-US"/>
        </w:rPr>
        <w:sectPr w:rsidR="0002151B" w:rsidRPr="004C2E4B" w:rsidSect="008B7A09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  <w:r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Y-axis reference lines from indicate mean, upper and lower limit of agreement (±1.96 SD). </w:t>
      </w:r>
    </w:p>
    <w:p w:rsidR="0002151B" w:rsidRPr="004C2E4B" w:rsidRDefault="0002151B" w:rsidP="0002151B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C2E4B">
        <w:rPr>
          <w:rFonts w:ascii="Times New Roman" w:hAnsi="Times New Roman" w:cs="Times New Roman"/>
          <w:b/>
          <w:sz w:val="24"/>
          <w:lang w:val="en-US"/>
        </w:rPr>
        <w:lastRenderedPageBreak/>
        <w:t>Section D</w:t>
      </w:r>
    </w:p>
    <w:p w:rsidR="0002151B" w:rsidRPr="004C2E4B" w:rsidRDefault="00BC2AE3" w:rsidP="0002151B">
      <w:pPr>
        <w:rPr>
          <w:rFonts w:ascii="Times New Roman" w:hAnsi="Times New Roman" w:cs="Times New Roman"/>
          <w:bCs/>
          <w:lang w:val="en-US"/>
        </w:rPr>
        <w:sectPr w:rsidR="0002151B" w:rsidRPr="004C2E4B" w:rsidSect="008B7A09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18"/>
          <w:lang w:val="en-US"/>
        </w:rPr>
        <w:t>Bland</w:t>
      </w:r>
      <w:r w:rsidRPr="003540D4">
        <w:rPr>
          <w:rFonts w:ascii="Times New Roman" w:hAnsi="Times New Roman" w:cs="Times New Roman"/>
          <w:bCs/>
          <w:sz w:val="24"/>
          <w:szCs w:val="18"/>
          <w:highlight w:val="yellow"/>
          <w:lang w:val="en-US"/>
        </w:rPr>
        <w:t>-</w:t>
      </w:r>
      <w:r w:rsidR="0002151B"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Altman agreement between Axivity AX3 and ActivPAL Micro4 estimates of </w:t>
      </w:r>
      <w:r w:rsidR="0002151B">
        <w:rPr>
          <w:rFonts w:ascii="Times New Roman" w:hAnsi="Times New Roman" w:cs="Times New Roman"/>
          <w:bCs/>
          <w:sz w:val="24"/>
          <w:szCs w:val="18"/>
          <w:lang w:val="en-US"/>
        </w:rPr>
        <w:t>physical behaviors</w:t>
      </w:r>
      <w:r w:rsidR="0002151B" w:rsidRPr="004C2E4B">
        <w:rPr>
          <w:rFonts w:ascii="Times New Roman" w:hAnsi="Times New Roman" w:cs="Times New Roman"/>
          <w:bCs/>
          <w:sz w:val="24"/>
          <w:szCs w:val="18"/>
          <w:lang w:val="en-US"/>
        </w:rPr>
        <w:t xml:space="preserve"> are presented in figure 2(a) &amp; figure 2(b).</w:t>
      </w:r>
      <w:r w:rsidR="0002151B" w:rsidRPr="004C2E4B">
        <w:rPr>
          <w:rFonts w:ascii="Times New Roman" w:hAnsi="Times New Roman" w:cs="Times New Roman"/>
          <w:b/>
          <w:lang w:val="en-US"/>
        </w:rPr>
        <w:t xml:space="preserve"> </w:t>
      </w:r>
      <w:r w:rsidR="0002151B" w:rsidRPr="004C2E4B">
        <w:rPr>
          <w:rFonts w:ascii="Times New Roman" w:hAnsi="Times New Roman" w:cs="Times New Roman"/>
          <w:bCs/>
          <w:lang w:val="en-US"/>
        </w:rPr>
        <w:t xml:space="preserve">Differences are based on free-living measurements; therefore, data from 19 participants is included. The following </w:t>
      </w:r>
      <w:r w:rsidR="0002151B">
        <w:rPr>
          <w:rFonts w:ascii="Times New Roman" w:hAnsi="Times New Roman" w:cs="Times New Roman"/>
          <w:bCs/>
          <w:lang w:val="en-US"/>
        </w:rPr>
        <w:t xml:space="preserve">physical activities and postures </w:t>
      </w:r>
      <w:r w:rsidR="0002151B" w:rsidRPr="004C2E4B">
        <w:rPr>
          <w:rFonts w:ascii="Times New Roman" w:hAnsi="Times New Roman" w:cs="Times New Roman"/>
          <w:bCs/>
          <w:lang w:val="en-US"/>
        </w:rPr>
        <w:t>are depicted: D1 = Lie/Sit; D2 = Stand; D3 = Move; D4 = walk; D5 = run; D6 = stair climbing; D7 = cycle; D8 = stepping.</w:t>
      </w:r>
    </w:p>
    <w:p w:rsidR="0002151B" w:rsidRPr="004C2E4B" w:rsidRDefault="0002151B" w:rsidP="0002151B">
      <w:pPr>
        <w:pStyle w:val="Billedtekst"/>
        <w:keepNext/>
        <w:jc w:val="both"/>
        <w:rPr>
          <w:rFonts w:ascii="Times New Roman" w:hAnsi="Times New Roman" w:cs="Times New Roman"/>
          <w:b w:val="0"/>
          <w:color w:val="auto"/>
          <w:sz w:val="24"/>
          <w:lang w:val="en-US"/>
        </w:rPr>
      </w:pPr>
      <w:r w:rsidRPr="004864FD">
        <w:rPr>
          <w:rFonts w:ascii="Times New Roman" w:hAnsi="Times New Roman" w:cs="Times New Roman"/>
          <w:b w:val="0"/>
          <w:color w:val="auto"/>
          <w:sz w:val="24"/>
          <w:lang w:val="en-US"/>
        </w:rPr>
        <w:lastRenderedPageBreak/>
        <w:t>Figure 3(a)</w:t>
      </w:r>
      <w:r w:rsidRPr="004C2E4B"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BC2AE3">
        <w:rPr>
          <w:rFonts w:ascii="Times New Roman" w:hAnsi="Times New Roman" w:cs="Times New Roman"/>
          <w:color w:val="auto"/>
          <w:sz w:val="24"/>
          <w:lang w:val="en-US"/>
        </w:rPr>
        <w:t>–</w:t>
      </w:r>
      <w:r w:rsidR="00BC2AE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Bland</w:t>
      </w:r>
      <w:r w:rsidR="00BC2AE3" w:rsidRPr="003540D4">
        <w:rPr>
          <w:rFonts w:ascii="Times New Roman" w:hAnsi="Times New Roman" w:cs="Times New Roman"/>
          <w:b w:val="0"/>
          <w:color w:val="auto"/>
          <w:sz w:val="24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Altman agreement between Axivity AX3 and ActivPAL Micro4 </w:t>
      </w:r>
      <w:r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physical behavior </w:t>
      </w:r>
      <w:r w:rsidRPr="004C2E4B">
        <w:rPr>
          <w:rFonts w:ascii="Times New Roman" w:hAnsi="Times New Roman" w:cs="Times New Roman"/>
          <w:b w:val="0"/>
          <w:color w:val="auto"/>
          <w:sz w:val="24"/>
          <w:lang w:val="en-US"/>
        </w:rPr>
        <w:t>estimates</w:t>
      </w:r>
    </w:p>
    <w:p w:rsidR="0002151B" w:rsidRPr="004C2E4B" w:rsidRDefault="006A5F23" w:rsidP="0002151B">
      <w:pPr>
        <w:tabs>
          <w:tab w:val="left" w:pos="4005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522F99D0">
            <wp:extent cx="6817168" cy="5400000"/>
            <wp:effectExtent l="0" t="0" r="3175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168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51B" w:rsidRPr="004C2E4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bCs w:val="0"/>
          <w:color w:val="auto"/>
          <w:lang w:val="en-US"/>
        </w:rPr>
      </w:pPr>
      <w:r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Y-axis reference lines from indicate mean, upper and lower limit of agreement (±1.96 SD). </w:t>
      </w:r>
    </w:p>
    <w:p w:rsidR="0002151B" w:rsidRPr="004C2E4B" w:rsidRDefault="0002151B" w:rsidP="0002151B">
      <w:pPr>
        <w:pStyle w:val="Billedtekst"/>
        <w:keepNext/>
        <w:rPr>
          <w:rFonts w:ascii="Times New Roman" w:hAnsi="Times New Roman" w:cs="Times New Roman"/>
          <w:b w:val="0"/>
          <w:color w:val="auto"/>
          <w:sz w:val="24"/>
          <w:lang w:val="en-US"/>
        </w:rPr>
      </w:pPr>
      <w:r w:rsidRPr="004864FD">
        <w:rPr>
          <w:rFonts w:ascii="Times New Roman" w:hAnsi="Times New Roman" w:cs="Times New Roman"/>
          <w:b w:val="0"/>
          <w:color w:val="auto"/>
          <w:sz w:val="24"/>
          <w:lang w:val="en-US"/>
        </w:rPr>
        <w:lastRenderedPageBreak/>
        <w:t>Figure</w:t>
      </w:r>
      <w:r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3(b</w:t>
      </w:r>
      <w:r w:rsidRPr="004864FD">
        <w:rPr>
          <w:rFonts w:ascii="Times New Roman" w:hAnsi="Times New Roman" w:cs="Times New Roman"/>
          <w:b w:val="0"/>
          <w:color w:val="auto"/>
          <w:sz w:val="24"/>
          <w:lang w:val="en-US"/>
        </w:rPr>
        <w:t>)</w:t>
      </w:r>
      <w:r w:rsidRPr="004C2E4B"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BC2AE3">
        <w:rPr>
          <w:rFonts w:ascii="Times New Roman" w:hAnsi="Times New Roman" w:cs="Times New Roman"/>
          <w:color w:val="auto"/>
          <w:sz w:val="24"/>
          <w:lang w:val="en-US"/>
        </w:rPr>
        <w:t>–</w:t>
      </w:r>
      <w:r w:rsidR="00BC2AE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Bland</w:t>
      </w:r>
      <w:bookmarkStart w:id="0" w:name="_GoBack"/>
      <w:bookmarkEnd w:id="0"/>
      <w:r w:rsidR="00BC2AE3" w:rsidRPr="003540D4">
        <w:rPr>
          <w:rFonts w:ascii="Times New Roman" w:hAnsi="Times New Roman" w:cs="Times New Roman"/>
          <w:b w:val="0"/>
          <w:color w:val="auto"/>
          <w:sz w:val="24"/>
          <w:highlight w:val="yellow"/>
          <w:lang w:val="en-US"/>
        </w:rPr>
        <w:t>-</w:t>
      </w:r>
      <w:r w:rsidRPr="004C2E4B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Altman agreement between Axivity AX3 and ActivPAL Micro4 </w:t>
      </w:r>
      <w:r>
        <w:rPr>
          <w:rFonts w:ascii="Times New Roman" w:hAnsi="Times New Roman" w:cs="Times New Roman"/>
          <w:b w:val="0"/>
          <w:color w:val="auto"/>
          <w:sz w:val="24"/>
          <w:lang w:val="en-US"/>
        </w:rPr>
        <w:t>physical behavior estimates</w:t>
      </w:r>
    </w:p>
    <w:p w:rsidR="0002151B" w:rsidRPr="004C2E4B" w:rsidRDefault="006A5F23" w:rsidP="0002151B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eastAsia="en-GB"/>
        </w:rPr>
        <w:drawing>
          <wp:inline distT="0" distB="0" distL="0" distR="0" wp14:anchorId="16092EE6">
            <wp:extent cx="6840000" cy="5400000"/>
            <wp:effectExtent l="0" t="0" r="0" b="0"/>
            <wp:docPr id="37" name="Billed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51B" w:rsidRDefault="0002151B" w:rsidP="0002151B">
      <w:pPr>
        <w:pStyle w:val="Billedtekst"/>
        <w:jc w:val="center"/>
        <w:rPr>
          <w:rFonts w:ascii="Times New Roman" w:hAnsi="Times New Roman" w:cs="Times New Roman"/>
          <w:b w:val="0"/>
          <w:color w:val="auto"/>
          <w:lang w:val="en-US"/>
        </w:rPr>
        <w:sectPr w:rsidR="0002151B" w:rsidSect="008B7A09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  <w:r w:rsidRPr="004C2E4B">
        <w:rPr>
          <w:rFonts w:ascii="Times New Roman" w:hAnsi="Times New Roman" w:cs="Times New Roman"/>
          <w:b w:val="0"/>
          <w:color w:val="auto"/>
          <w:lang w:val="en-US"/>
        </w:rPr>
        <w:t xml:space="preserve">Y-axis reference lines from indicate mean, upper and lower limit of agreement (±1.96 SD). </w:t>
      </w:r>
    </w:p>
    <w:p w:rsidR="0002151B" w:rsidRPr="007B5A99" w:rsidRDefault="0002151B" w:rsidP="0002151B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7B5A99">
        <w:rPr>
          <w:rFonts w:ascii="Times New Roman" w:hAnsi="Times New Roman" w:cs="Times New Roman"/>
          <w:b/>
          <w:sz w:val="24"/>
          <w:lang w:val="en-US"/>
        </w:rPr>
        <w:lastRenderedPageBreak/>
        <w:t>Section E</w:t>
      </w:r>
    </w:p>
    <w:p w:rsidR="0002151B" w:rsidRDefault="0002151B" w:rsidP="0002151B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Operational definitions used for the annotation of video observations recorded during physical behavior measurement in the semi-standardized setting. To restrict judgments to the current frame and reduce the tendency to predict movements, the following conditions were pre-defined for annotating: </w:t>
      </w:r>
      <w:r w:rsidRPr="001F78EB">
        <w:rPr>
          <w:rFonts w:ascii="Times New Roman" w:hAnsi="Times New Roman" w:cs="Times New Roman"/>
          <w:i/>
          <w:sz w:val="24"/>
          <w:lang w:val="en-US"/>
        </w:rPr>
        <w:t>“The judgement of a posture or activity may only take the current frame (n) and the previous frame (n-1) into account. Therefore to change classification frame (n) has to distinctly fit a new classification from frame (n-1).”</w:t>
      </w:r>
      <w:r>
        <w:rPr>
          <w:rFonts w:ascii="Times New Roman" w:hAnsi="Times New Roman" w:cs="Times New Roman"/>
          <w:sz w:val="24"/>
          <w:lang w:val="en-US"/>
        </w:rPr>
        <w:t xml:space="preserve"> Where (n) is the frame number. Definitions were grouped into four categories as documented in table E.</w:t>
      </w:r>
    </w:p>
    <w:p w:rsidR="0002151B" w:rsidRPr="004864FD" w:rsidRDefault="0002151B" w:rsidP="0002151B">
      <w:pPr>
        <w:pStyle w:val="Billedtekst"/>
        <w:keepNext/>
        <w:rPr>
          <w:rFonts w:ascii="Times New Roman" w:hAnsi="Times New Roman" w:cs="Times New Roman"/>
          <w:b w:val="0"/>
          <w:color w:val="auto"/>
          <w:sz w:val="24"/>
        </w:rPr>
      </w:pPr>
      <w:r w:rsidRPr="004864FD">
        <w:rPr>
          <w:rFonts w:ascii="Times New Roman" w:hAnsi="Times New Roman" w:cs="Times New Roman"/>
          <w:b w:val="0"/>
          <w:color w:val="auto"/>
          <w:sz w:val="24"/>
        </w:rPr>
        <w:t xml:space="preserve">Table </w:t>
      </w:r>
      <w:r>
        <w:rPr>
          <w:rFonts w:ascii="Times New Roman" w:hAnsi="Times New Roman" w:cs="Times New Roman"/>
          <w:b w:val="0"/>
          <w:color w:val="auto"/>
          <w:sz w:val="24"/>
        </w:rPr>
        <w:t>E</w:t>
      </w:r>
      <w:r w:rsidRPr="004864FD">
        <w:rPr>
          <w:rFonts w:ascii="Times New Roman" w:hAnsi="Times New Roman" w:cs="Times New Roman"/>
          <w:b w:val="0"/>
          <w:color w:val="auto"/>
          <w:sz w:val="24"/>
        </w:rPr>
        <w:t xml:space="preserve"> – Definitions used in the annotation of video observations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20"/>
        <w:gridCol w:w="3267"/>
        <w:gridCol w:w="3267"/>
      </w:tblGrid>
      <w:tr w:rsidR="0002151B" w:rsidTr="00173CC9">
        <w:tc>
          <w:tcPr>
            <w:tcW w:w="3320" w:type="dxa"/>
            <w:tcBorders>
              <w:left w:val="nil"/>
            </w:tcBorders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Category</w:t>
            </w: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Activity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Definition</w:t>
            </w:r>
          </w:p>
        </w:tc>
      </w:tr>
      <w:tr w:rsidR="0002151B" w:rsidTr="00173CC9">
        <w:tc>
          <w:tcPr>
            <w:tcW w:w="3320" w:type="dxa"/>
            <w:vMerge w:val="restart"/>
            <w:tcBorders>
              <w:left w:val="nil"/>
            </w:tcBorders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Upright activities and postures – the participant is on their feet, with a thigh angle above 45 degrees with respect to the ground</w:t>
            </w: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Standing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 movement of the center of gravity outside of the base of support</w:t>
            </w:r>
          </w:p>
        </w:tc>
      </w:tr>
      <w:tr w:rsidR="0002151B" w:rsidTr="00173CC9">
        <w:tc>
          <w:tcPr>
            <w:tcW w:w="3320" w:type="dxa"/>
            <w:vMerge/>
            <w:tcBorders>
              <w:left w:val="nil"/>
            </w:tcBorders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Move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Movement of the center of gravity outside the base of support, while not classified as any other activity</w:t>
            </w:r>
          </w:p>
        </w:tc>
      </w:tr>
      <w:tr w:rsidR="0002151B" w:rsidTr="00173CC9">
        <w:tc>
          <w:tcPr>
            <w:tcW w:w="3320" w:type="dxa"/>
            <w:vMerge/>
            <w:tcBorders>
              <w:left w:val="nil"/>
            </w:tcBorders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Walking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Movement of the center of gravity in the anterior direction.</w:t>
            </w:r>
          </w:p>
        </w:tc>
      </w:tr>
      <w:tr w:rsidR="0002151B" w:rsidTr="00173CC9">
        <w:tc>
          <w:tcPr>
            <w:tcW w:w="3320" w:type="dxa"/>
            <w:vMerge/>
            <w:tcBorders>
              <w:left w:val="nil"/>
            </w:tcBorders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Stair climbing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Walking while on a stair case, including between stair platforms, not including static standing.</w:t>
            </w:r>
          </w:p>
        </w:tc>
      </w:tr>
      <w:tr w:rsidR="0002151B" w:rsidTr="00173CC9">
        <w:tc>
          <w:tcPr>
            <w:tcW w:w="3320" w:type="dxa"/>
            <w:vMerge/>
            <w:tcBorders>
              <w:left w:val="nil"/>
            </w:tcBorders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Running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Movement of the center of gravity in the anterior direction, with both feet leaving the ground simultaneously.</w:t>
            </w:r>
          </w:p>
        </w:tc>
      </w:tr>
      <w:tr w:rsidR="0002151B" w:rsidTr="00173CC9">
        <w:tc>
          <w:tcPr>
            <w:tcW w:w="3320" w:type="dxa"/>
            <w:tcBorders>
              <w:left w:val="nil"/>
            </w:tcBorders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Posture-based classification</w:t>
            </w: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Sitting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 trunk posture of over a 45 degree angle form the ground, with a thigh angle below 45 degrees also relative to the ground. Buttocks should be the primary weight bearing body part.</w:t>
            </w:r>
          </w:p>
        </w:tc>
      </w:tr>
      <w:tr w:rsidR="0002151B" w:rsidTr="00173CC9">
        <w:tc>
          <w:tcPr>
            <w:tcW w:w="3320" w:type="dxa"/>
            <w:tcBorders>
              <w:left w:val="nil"/>
            </w:tcBorders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Other activities</w:t>
            </w: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Cycling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Once the participants weight is fully supported by the bicycle</w:t>
            </w:r>
          </w:p>
        </w:tc>
      </w:tr>
      <w:tr w:rsidR="0002151B" w:rsidTr="00173CC9">
        <w:tc>
          <w:tcPr>
            <w:tcW w:w="3320" w:type="dxa"/>
            <w:vMerge w:val="restart"/>
            <w:tcBorders>
              <w:left w:val="nil"/>
            </w:tcBorders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Miscellaneous</w:t>
            </w: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Invisible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Participant is obstructed and therefore activity in not classifiable on frame</w:t>
            </w:r>
          </w:p>
        </w:tc>
      </w:tr>
      <w:tr w:rsidR="0002151B" w:rsidTr="00173CC9">
        <w:tc>
          <w:tcPr>
            <w:tcW w:w="3320" w:type="dxa"/>
            <w:vMerge/>
            <w:tcBorders>
              <w:left w:val="nil"/>
            </w:tcBorders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67" w:type="dxa"/>
            <w:vAlign w:val="center"/>
          </w:tcPr>
          <w:p w:rsidR="0002151B" w:rsidRDefault="0002151B" w:rsidP="00173CC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Other</w:t>
            </w:r>
          </w:p>
        </w:tc>
        <w:tc>
          <w:tcPr>
            <w:tcW w:w="3267" w:type="dxa"/>
            <w:tcBorders>
              <w:right w:val="nil"/>
            </w:tcBorders>
            <w:vAlign w:val="center"/>
          </w:tcPr>
          <w:p w:rsidR="0002151B" w:rsidRDefault="0002151B" w:rsidP="00173CC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Observed activities not fitting into the definitions above</w:t>
            </w:r>
          </w:p>
        </w:tc>
      </w:tr>
    </w:tbl>
    <w:p w:rsidR="007044BB" w:rsidRPr="0002151B" w:rsidRDefault="003540D4">
      <w:pPr>
        <w:rPr>
          <w:lang w:val="en-US"/>
        </w:rPr>
      </w:pPr>
    </w:p>
    <w:sectPr w:rsidR="007044BB" w:rsidRPr="0002151B" w:rsidSect="007B5A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1B"/>
    <w:rsid w:val="0002151B"/>
    <w:rsid w:val="00064B41"/>
    <w:rsid w:val="00143852"/>
    <w:rsid w:val="003540D4"/>
    <w:rsid w:val="003B2719"/>
    <w:rsid w:val="004901CE"/>
    <w:rsid w:val="006A5F23"/>
    <w:rsid w:val="00872739"/>
    <w:rsid w:val="00A724E0"/>
    <w:rsid w:val="00AE2EF7"/>
    <w:rsid w:val="00B4447A"/>
    <w:rsid w:val="00BC2AE3"/>
    <w:rsid w:val="00BD0DE1"/>
    <w:rsid w:val="00C2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51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Lysskygge">
    <w:name w:val="Light Shading"/>
    <w:basedOn w:val="Tabel-Normal"/>
    <w:uiPriority w:val="60"/>
    <w:rsid w:val="000215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-Gitter">
    <w:name w:val="Table Grid"/>
    <w:basedOn w:val="Tabel-Normal"/>
    <w:uiPriority w:val="59"/>
    <w:rsid w:val="00021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0215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2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2151B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1438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51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Lysskygge">
    <w:name w:val="Light Shading"/>
    <w:basedOn w:val="Tabel-Normal"/>
    <w:uiPriority w:val="60"/>
    <w:rsid w:val="000215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-Gitter">
    <w:name w:val="Table Grid"/>
    <w:basedOn w:val="Tabel-Normal"/>
    <w:uiPriority w:val="59"/>
    <w:rsid w:val="00021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0215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2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2151B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1438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Joseph Crowley</dc:creator>
  <cp:lastModifiedBy>Patrick Joseph Crowley</cp:lastModifiedBy>
  <cp:revision>4</cp:revision>
  <dcterms:created xsi:type="dcterms:W3CDTF">2019-07-17T13:28:00Z</dcterms:created>
  <dcterms:modified xsi:type="dcterms:W3CDTF">2019-08-08T12:54:00Z</dcterms:modified>
</cp:coreProperties>
</file>