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399" w:rsidRPr="00A94D74" w:rsidRDefault="00106DA2" w:rsidP="00A94D74">
      <w:pPr>
        <w:pBdr>
          <w:bottom w:val="single" w:sz="4" w:space="1" w:color="auto"/>
        </w:pBdr>
        <w:rPr>
          <w:b/>
          <w:color w:val="FF0000"/>
        </w:rPr>
      </w:pPr>
      <w:r w:rsidRPr="00D32A2F">
        <w:rPr>
          <w:b/>
          <w:color w:val="FF0000"/>
        </w:rPr>
        <w:t xml:space="preserve">Figure S1: </w:t>
      </w:r>
      <w:r w:rsidR="00776903" w:rsidRPr="00D32A2F">
        <w:rPr>
          <w:b/>
          <w:color w:val="FF0000"/>
        </w:rPr>
        <w:t xml:space="preserve">Sensitivity analysis </w:t>
      </w:r>
    </w:p>
    <w:p w:rsidR="00776903" w:rsidRDefault="0000214F" w:rsidP="00854B9D">
      <w:pPr>
        <w:shd w:val="clear" w:color="auto" w:fill="BFBFBF" w:themeFill="background1" w:themeFillShade="BF"/>
        <w:jc w:val="center"/>
      </w:pPr>
      <w:r w:rsidRPr="0000214F">
        <w:rPr>
          <w:b/>
        </w:rPr>
        <w:t xml:space="preserve">MET </w:t>
      </w:r>
      <w:r w:rsidRPr="0000214F">
        <w:rPr>
          <w:b/>
          <w:bCs/>
          <w:noProof/>
        </w:rPr>
        <w:t>m/wk</w:t>
      </w:r>
    </w:p>
    <w:p w:rsidR="00A733D3" w:rsidRDefault="00A733D3" w:rsidP="00A733D3">
      <w:pPr>
        <w:rPr>
          <w:b/>
        </w:rPr>
      </w:pPr>
      <w:r>
        <w:rPr>
          <w:b/>
        </w:rPr>
        <w:t xml:space="preserve">Low risk </w:t>
      </w:r>
      <w:r w:rsidR="00C15A4D">
        <w:rPr>
          <w:b/>
        </w:rPr>
        <w:t xml:space="preserve">studies </w:t>
      </w:r>
      <w:r>
        <w:rPr>
          <w:b/>
        </w:rPr>
        <w:t>only</w:t>
      </w:r>
      <w:r w:rsidR="00A94D74">
        <w:rPr>
          <w:b/>
          <w:vertAlign w:val="superscript"/>
        </w:rPr>
        <w:t>1</w:t>
      </w:r>
      <w:r>
        <w:rPr>
          <w:b/>
        </w:rPr>
        <w:t xml:space="preserve"> </w:t>
      </w:r>
    </w:p>
    <w:p w:rsidR="0000214F" w:rsidRDefault="00A733D3">
      <w:r>
        <w:rPr>
          <w:noProof/>
          <w:lang w:eastAsia="en-GB"/>
        </w:rPr>
        <w:drawing>
          <wp:inline distT="0" distB="0" distL="0" distR="0">
            <wp:extent cx="6667500" cy="1533525"/>
            <wp:effectExtent l="19050" t="19050" r="19050" b="285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533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733D3" w:rsidRPr="00A733D3" w:rsidRDefault="00A94D74" w:rsidP="00A733D3">
      <w:pPr>
        <w:rPr>
          <w:sz w:val="18"/>
        </w:rPr>
      </w:pPr>
      <w:r>
        <w:rPr>
          <w:sz w:val="18"/>
          <w:vertAlign w:val="superscript"/>
        </w:rPr>
        <w:t>1</w:t>
      </w:r>
      <w:r w:rsidR="00C15A4D">
        <w:rPr>
          <w:sz w:val="18"/>
          <w:vertAlign w:val="superscript"/>
        </w:rPr>
        <w:t xml:space="preserve"> </w:t>
      </w:r>
      <w:r w:rsidR="00A733D3" w:rsidRPr="00A733D3">
        <w:rPr>
          <w:sz w:val="18"/>
        </w:rPr>
        <w:t xml:space="preserve">Removing high risk </w:t>
      </w:r>
      <w:proofErr w:type="spellStart"/>
      <w:r w:rsidR="00A733D3" w:rsidRPr="00A733D3">
        <w:rPr>
          <w:sz w:val="18"/>
        </w:rPr>
        <w:t>Oostdam</w:t>
      </w:r>
      <w:proofErr w:type="spellEnd"/>
      <w:r w:rsidR="00A733D3" w:rsidRPr="00A733D3">
        <w:rPr>
          <w:sz w:val="18"/>
        </w:rPr>
        <w:t xml:space="preserve"> et al (2012) and unclear risk Callaway et al (2010), Hawkins et al (2015) and </w:t>
      </w:r>
      <w:proofErr w:type="spellStart"/>
      <w:r w:rsidR="00A733D3" w:rsidRPr="00A733D3">
        <w:rPr>
          <w:sz w:val="18"/>
        </w:rPr>
        <w:t>Szmeja</w:t>
      </w:r>
      <w:proofErr w:type="spellEnd"/>
      <w:r w:rsidR="00A733D3" w:rsidRPr="00A733D3">
        <w:rPr>
          <w:sz w:val="18"/>
        </w:rPr>
        <w:t xml:space="preserve"> et al (2014) </w:t>
      </w:r>
    </w:p>
    <w:p w:rsidR="00D32A2F" w:rsidRDefault="004E1756" w:rsidP="00A94D7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9067BC">
        <w:rPr>
          <w:rFonts w:asciiTheme="minorHAnsi" w:hAnsiTheme="minorHAnsi"/>
          <w:sz w:val="22"/>
          <w:szCs w:val="22"/>
        </w:rPr>
        <w:t>A meta-analysis</w:t>
      </w:r>
      <w:r>
        <w:rPr>
          <w:rFonts w:asciiTheme="minorHAnsi" w:hAnsiTheme="minorHAnsi"/>
          <w:sz w:val="22"/>
          <w:szCs w:val="22"/>
        </w:rPr>
        <w:t xml:space="preserve"> for MET minutes per week</w:t>
      </w:r>
      <w:r w:rsidRPr="009067BC">
        <w:rPr>
          <w:rFonts w:asciiTheme="minorHAnsi" w:hAnsiTheme="minorHAnsi"/>
          <w:sz w:val="22"/>
          <w:szCs w:val="22"/>
        </w:rPr>
        <w:t xml:space="preserve"> </w:t>
      </w:r>
      <w:r w:rsidR="00D32A2F">
        <w:rPr>
          <w:rFonts w:asciiTheme="minorHAnsi" w:hAnsiTheme="minorHAnsi"/>
          <w:sz w:val="22"/>
          <w:szCs w:val="22"/>
        </w:rPr>
        <w:t>including low risk studies only,</w:t>
      </w:r>
      <w:r w:rsidRPr="009067BC">
        <w:rPr>
          <w:rFonts w:asciiTheme="minorHAnsi" w:hAnsiTheme="minorHAnsi"/>
          <w:sz w:val="22"/>
          <w:szCs w:val="22"/>
        </w:rPr>
        <w:t xml:space="preserve"> demonstrated a significant increase in MET minutes per week</w:t>
      </w:r>
      <w:r>
        <w:rPr>
          <w:rFonts w:asciiTheme="minorHAnsi" w:hAnsiTheme="minorHAnsi"/>
          <w:sz w:val="22"/>
          <w:szCs w:val="22"/>
        </w:rPr>
        <w:t xml:space="preserve"> (SMD 0.37 [0.10, 0.63], Z = 2.67</w:t>
      </w:r>
      <w:r w:rsidRPr="009067BC">
        <w:rPr>
          <w:rFonts w:asciiTheme="minorHAnsi" w:hAnsiTheme="minorHAnsi"/>
          <w:sz w:val="22"/>
          <w:szCs w:val="22"/>
        </w:rPr>
        <w:t xml:space="preserve"> P = 0.00</w:t>
      </w:r>
      <w:r>
        <w:rPr>
          <w:rFonts w:asciiTheme="minorHAnsi" w:hAnsiTheme="minorHAnsi"/>
          <w:sz w:val="22"/>
          <w:szCs w:val="22"/>
        </w:rPr>
        <w:t>8</w:t>
      </w:r>
      <w:r w:rsidRPr="009067BC">
        <w:rPr>
          <w:rFonts w:asciiTheme="minorHAnsi" w:hAnsiTheme="minorHAnsi"/>
          <w:sz w:val="22"/>
          <w:szCs w:val="22"/>
        </w:rPr>
        <w:t>). However, the studies were significantly heterogeneous (</w:t>
      </w:r>
      <w:r w:rsidRPr="009067BC">
        <w:rPr>
          <w:rFonts w:asciiTheme="minorHAnsi" w:hAnsiTheme="minorHAnsi" w:cs="Arial"/>
          <w:bCs/>
          <w:sz w:val="22"/>
          <w:szCs w:val="22"/>
          <w:shd w:val="clear" w:color="auto" w:fill="FFFFFF"/>
        </w:rPr>
        <w:t>χ</w:t>
      </w:r>
      <w:r w:rsidRPr="009067BC">
        <w:rPr>
          <w:rFonts w:asciiTheme="minorHAnsi" w:hAnsiTheme="minorHAnsi" w:cs="Arial"/>
          <w:bCs/>
          <w:sz w:val="22"/>
          <w:szCs w:val="22"/>
          <w:shd w:val="clear" w:color="auto" w:fill="FFFFFF"/>
          <w:vertAlign w:val="superscript"/>
        </w:rPr>
        <w:t>2</w:t>
      </w:r>
      <w:r>
        <w:rPr>
          <w:rFonts w:asciiTheme="minorHAnsi" w:hAnsiTheme="minorHAnsi" w:cs="Arial"/>
          <w:bCs/>
          <w:sz w:val="22"/>
          <w:szCs w:val="22"/>
          <w:shd w:val="clear" w:color="auto" w:fill="FFFFFF"/>
        </w:rPr>
        <w:t xml:space="preserve"> = 42.43</w:t>
      </w:r>
      <w:r w:rsidR="00D32A2F">
        <w:rPr>
          <w:rFonts w:asciiTheme="minorHAnsi" w:hAnsiTheme="minorHAnsi" w:cs="Arial"/>
          <w:bCs/>
          <w:sz w:val="22"/>
          <w:szCs w:val="22"/>
          <w:shd w:val="clear" w:color="auto" w:fill="FFFFFF"/>
        </w:rPr>
        <w:t xml:space="preserve">, </w:t>
      </w:r>
      <w:proofErr w:type="spellStart"/>
      <w:r w:rsidR="00D32A2F">
        <w:rPr>
          <w:rFonts w:asciiTheme="minorHAnsi" w:hAnsiTheme="minorHAnsi" w:cs="Arial"/>
          <w:bCs/>
          <w:sz w:val="22"/>
          <w:szCs w:val="22"/>
          <w:shd w:val="clear" w:color="auto" w:fill="FFFFFF"/>
        </w:rPr>
        <w:t>d.f.</w:t>
      </w:r>
      <w:proofErr w:type="spellEnd"/>
      <w:r w:rsidR="00D32A2F">
        <w:rPr>
          <w:rFonts w:asciiTheme="minorHAnsi" w:hAnsiTheme="minorHAnsi" w:cs="Arial"/>
          <w:bCs/>
          <w:sz w:val="22"/>
          <w:szCs w:val="22"/>
          <w:shd w:val="clear" w:color="auto" w:fill="FFFFFF"/>
        </w:rPr>
        <w:t xml:space="preserve"> = 3</w:t>
      </w:r>
      <w:r w:rsidRPr="009067BC">
        <w:rPr>
          <w:rFonts w:asciiTheme="minorHAnsi" w:hAnsiTheme="minorHAnsi" w:cs="Arial"/>
          <w:bCs/>
          <w:sz w:val="22"/>
          <w:szCs w:val="22"/>
          <w:shd w:val="clear" w:color="auto" w:fill="FFFFFF"/>
        </w:rPr>
        <w:t xml:space="preserve"> [P &lt;0.0001), </w:t>
      </w:r>
      <w:r w:rsidRPr="009067BC">
        <w:rPr>
          <w:rFonts w:asciiTheme="minorHAnsi" w:hAnsiTheme="minorHAnsi"/>
          <w:sz w:val="22"/>
          <w:szCs w:val="22"/>
        </w:rPr>
        <w:t>I</w:t>
      </w:r>
      <w:r w:rsidRPr="009067BC">
        <w:rPr>
          <w:rFonts w:asciiTheme="minorHAnsi" w:hAnsiTheme="minorHAnsi"/>
          <w:sz w:val="22"/>
          <w:szCs w:val="22"/>
          <w:vertAlign w:val="superscript"/>
        </w:rPr>
        <w:t xml:space="preserve">2 </w:t>
      </w:r>
      <w:r w:rsidRPr="009067BC">
        <w:rPr>
          <w:rFonts w:asciiTheme="minorHAnsi" w:hAnsiTheme="minorHAnsi"/>
          <w:sz w:val="22"/>
          <w:szCs w:val="22"/>
        </w:rPr>
        <w:t>= 93%.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A94D74" w:rsidRPr="00A94D74" w:rsidRDefault="00A94D74" w:rsidP="00A94D7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A733D3" w:rsidRPr="00A733D3" w:rsidRDefault="00A733D3">
      <w:pPr>
        <w:rPr>
          <w:b/>
          <w:vertAlign w:val="superscript"/>
        </w:rPr>
      </w:pPr>
      <w:r w:rsidRPr="00A733D3">
        <w:rPr>
          <w:b/>
        </w:rPr>
        <w:t xml:space="preserve">Unclear risk </w:t>
      </w:r>
      <w:r w:rsidR="00C15A4D">
        <w:rPr>
          <w:b/>
        </w:rPr>
        <w:t xml:space="preserve">studies </w:t>
      </w:r>
      <w:r w:rsidRPr="00A733D3">
        <w:rPr>
          <w:b/>
        </w:rPr>
        <w:t>only</w:t>
      </w:r>
      <w:r w:rsidR="00A94D74">
        <w:rPr>
          <w:b/>
          <w:vertAlign w:val="superscript"/>
        </w:rPr>
        <w:t>2</w:t>
      </w:r>
    </w:p>
    <w:p w:rsidR="00A733D3" w:rsidRDefault="00A733D3">
      <w:pPr>
        <w:rPr>
          <w:vertAlign w:val="superscript"/>
        </w:rPr>
      </w:pPr>
      <w:r>
        <w:rPr>
          <w:noProof/>
          <w:vertAlign w:val="superscript"/>
          <w:lang w:eastAsia="en-GB"/>
        </w:rPr>
        <w:drawing>
          <wp:inline distT="0" distB="0" distL="0" distR="0">
            <wp:extent cx="6591300" cy="1409700"/>
            <wp:effectExtent l="19050" t="19050" r="19050" b="190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1409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733D3" w:rsidRPr="00A733D3" w:rsidRDefault="00A94D74" w:rsidP="00A733D3">
      <w:pPr>
        <w:rPr>
          <w:sz w:val="18"/>
        </w:rPr>
      </w:pPr>
      <w:r>
        <w:rPr>
          <w:sz w:val="18"/>
          <w:vertAlign w:val="superscript"/>
        </w:rPr>
        <w:t>2</w:t>
      </w:r>
      <w:r w:rsidR="00C15A4D">
        <w:rPr>
          <w:sz w:val="18"/>
          <w:vertAlign w:val="superscript"/>
        </w:rPr>
        <w:t xml:space="preserve"> </w:t>
      </w:r>
      <w:r w:rsidR="00A733D3" w:rsidRPr="00A733D3">
        <w:rPr>
          <w:sz w:val="18"/>
        </w:rPr>
        <w:t xml:space="preserve">Removing high risk </w:t>
      </w:r>
      <w:proofErr w:type="spellStart"/>
      <w:r w:rsidR="00A733D3" w:rsidRPr="00A733D3">
        <w:rPr>
          <w:sz w:val="18"/>
        </w:rPr>
        <w:t>Oostdam</w:t>
      </w:r>
      <w:proofErr w:type="spellEnd"/>
      <w:r w:rsidR="00A733D3" w:rsidRPr="00A733D3">
        <w:rPr>
          <w:sz w:val="18"/>
        </w:rPr>
        <w:t xml:space="preserve"> et al (2012) and </w:t>
      </w:r>
      <w:r w:rsidR="00854B9D">
        <w:rPr>
          <w:sz w:val="18"/>
        </w:rPr>
        <w:t xml:space="preserve">low risk Dodd et al (2014), Kennelly et al (2018), Poston et al (2013) and Van Horn et al (2018) </w:t>
      </w:r>
    </w:p>
    <w:p w:rsidR="00A94D74" w:rsidRDefault="00D32A2F" w:rsidP="00A94D7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9067BC">
        <w:rPr>
          <w:rFonts w:asciiTheme="minorHAnsi" w:hAnsiTheme="minorHAnsi"/>
          <w:sz w:val="22"/>
          <w:szCs w:val="22"/>
        </w:rPr>
        <w:t>A meta-analysis</w:t>
      </w:r>
      <w:r>
        <w:rPr>
          <w:rFonts w:asciiTheme="minorHAnsi" w:hAnsiTheme="minorHAnsi"/>
          <w:sz w:val="22"/>
          <w:szCs w:val="22"/>
        </w:rPr>
        <w:t xml:space="preserve"> for MET minutes per week</w:t>
      </w:r>
      <w:r w:rsidRPr="009067B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including </w:t>
      </w:r>
      <w:r>
        <w:rPr>
          <w:rFonts w:asciiTheme="minorHAnsi" w:hAnsiTheme="minorHAnsi"/>
          <w:sz w:val="22"/>
          <w:szCs w:val="22"/>
        </w:rPr>
        <w:t xml:space="preserve">unclear </w:t>
      </w:r>
      <w:r>
        <w:rPr>
          <w:rFonts w:asciiTheme="minorHAnsi" w:hAnsiTheme="minorHAnsi"/>
          <w:sz w:val="22"/>
          <w:szCs w:val="22"/>
        </w:rPr>
        <w:t>risk studies only,</w:t>
      </w:r>
      <w:r w:rsidRPr="009067BC">
        <w:rPr>
          <w:rFonts w:asciiTheme="minorHAnsi" w:hAnsiTheme="minorHAnsi"/>
          <w:sz w:val="22"/>
          <w:szCs w:val="22"/>
        </w:rPr>
        <w:t xml:space="preserve"> demonstrated a </w:t>
      </w:r>
      <w:r>
        <w:rPr>
          <w:rFonts w:asciiTheme="minorHAnsi" w:hAnsiTheme="minorHAnsi"/>
          <w:sz w:val="22"/>
          <w:szCs w:val="22"/>
        </w:rPr>
        <w:t>non-</w:t>
      </w:r>
      <w:r w:rsidRPr="009067BC">
        <w:rPr>
          <w:rFonts w:asciiTheme="minorHAnsi" w:hAnsiTheme="minorHAnsi"/>
          <w:sz w:val="22"/>
          <w:szCs w:val="22"/>
        </w:rPr>
        <w:t>significant increase in MET minutes per week</w:t>
      </w:r>
      <w:r>
        <w:rPr>
          <w:rFonts w:asciiTheme="minorHAnsi" w:hAnsiTheme="minorHAnsi"/>
          <w:sz w:val="22"/>
          <w:szCs w:val="22"/>
        </w:rPr>
        <w:t xml:space="preserve"> (SMD 0.83</w:t>
      </w:r>
      <w:r>
        <w:rPr>
          <w:rFonts w:asciiTheme="minorHAnsi" w:hAnsiTheme="minorHAnsi"/>
          <w:sz w:val="22"/>
          <w:szCs w:val="22"/>
        </w:rPr>
        <w:t xml:space="preserve"> [</w:t>
      </w:r>
      <w:r>
        <w:rPr>
          <w:rFonts w:asciiTheme="minorHAnsi" w:hAnsiTheme="minorHAnsi"/>
          <w:sz w:val="22"/>
          <w:szCs w:val="22"/>
        </w:rPr>
        <w:t>-0.26, 1.92], Z = 1.49 P = 0.14</w:t>
      </w:r>
      <w:r w:rsidRPr="009067BC">
        <w:rPr>
          <w:rFonts w:asciiTheme="minorHAnsi" w:hAnsiTheme="minorHAnsi"/>
          <w:sz w:val="22"/>
          <w:szCs w:val="22"/>
        </w:rPr>
        <w:t>). However, the studies were significantly heterogeneous (</w:t>
      </w:r>
      <w:r w:rsidRPr="009067BC">
        <w:rPr>
          <w:rFonts w:asciiTheme="minorHAnsi" w:hAnsiTheme="minorHAnsi" w:cs="Arial"/>
          <w:bCs/>
          <w:sz w:val="22"/>
          <w:szCs w:val="22"/>
          <w:shd w:val="clear" w:color="auto" w:fill="FFFFFF"/>
        </w:rPr>
        <w:t>χ</w:t>
      </w:r>
      <w:r w:rsidRPr="009067BC">
        <w:rPr>
          <w:rFonts w:asciiTheme="minorHAnsi" w:hAnsiTheme="minorHAnsi" w:cs="Arial"/>
          <w:bCs/>
          <w:sz w:val="22"/>
          <w:szCs w:val="22"/>
          <w:shd w:val="clear" w:color="auto" w:fill="FFFFFF"/>
          <w:vertAlign w:val="superscript"/>
        </w:rPr>
        <w:t>2</w:t>
      </w:r>
      <w:r>
        <w:rPr>
          <w:rFonts w:asciiTheme="minorHAnsi" w:hAnsiTheme="minorHAnsi" w:cs="Arial"/>
          <w:bCs/>
          <w:sz w:val="22"/>
          <w:szCs w:val="22"/>
          <w:shd w:val="clear" w:color="auto" w:fill="FFFFFF"/>
        </w:rPr>
        <w:t xml:space="preserve"> = </w:t>
      </w:r>
      <w:r>
        <w:rPr>
          <w:rFonts w:asciiTheme="minorHAnsi" w:hAnsiTheme="minorHAnsi" w:cs="Arial"/>
          <w:bCs/>
          <w:sz w:val="22"/>
          <w:szCs w:val="22"/>
          <w:shd w:val="clear" w:color="auto" w:fill="FFFFFF"/>
        </w:rPr>
        <w:t xml:space="preserve">40.68, </w:t>
      </w:r>
      <w:proofErr w:type="spellStart"/>
      <w:r>
        <w:rPr>
          <w:rFonts w:asciiTheme="minorHAnsi" w:hAnsiTheme="minorHAnsi" w:cs="Arial"/>
          <w:bCs/>
          <w:sz w:val="22"/>
          <w:szCs w:val="22"/>
          <w:shd w:val="clear" w:color="auto" w:fill="FFFFFF"/>
        </w:rPr>
        <w:t>d.f.</w:t>
      </w:r>
      <w:proofErr w:type="spellEnd"/>
      <w:r>
        <w:rPr>
          <w:rFonts w:asciiTheme="minorHAnsi" w:hAnsiTheme="minorHAnsi" w:cs="Arial"/>
          <w:bCs/>
          <w:sz w:val="22"/>
          <w:szCs w:val="22"/>
          <w:shd w:val="clear" w:color="auto" w:fill="FFFFFF"/>
        </w:rPr>
        <w:t xml:space="preserve"> = 2</w:t>
      </w:r>
      <w:r w:rsidRPr="009067BC">
        <w:rPr>
          <w:rFonts w:asciiTheme="minorHAnsi" w:hAnsiTheme="minorHAnsi" w:cs="Arial"/>
          <w:bCs/>
          <w:sz w:val="22"/>
          <w:szCs w:val="22"/>
          <w:shd w:val="clear" w:color="auto" w:fill="FFFFFF"/>
        </w:rPr>
        <w:t xml:space="preserve"> [P &lt;0.0001), </w:t>
      </w:r>
      <w:r w:rsidRPr="009067BC">
        <w:rPr>
          <w:rFonts w:asciiTheme="minorHAnsi" w:hAnsiTheme="minorHAnsi"/>
          <w:sz w:val="22"/>
          <w:szCs w:val="22"/>
        </w:rPr>
        <w:t>I</w:t>
      </w:r>
      <w:r w:rsidRPr="009067BC">
        <w:rPr>
          <w:rFonts w:asciiTheme="minorHAnsi" w:hAnsiTheme="minorHAnsi"/>
          <w:sz w:val="22"/>
          <w:szCs w:val="22"/>
          <w:vertAlign w:val="superscript"/>
        </w:rPr>
        <w:t xml:space="preserve">2 </w:t>
      </w:r>
      <w:r>
        <w:rPr>
          <w:rFonts w:asciiTheme="minorHAnsi" w:hAnsiTheme="minorHAnsi"/>
          <w:sz w:val="22"/>
          <w:szCs w:val="22"/>
        </w:rPr>
        <w:t>= 95</w:t>
      </w:r>
      <w:r w:rsidRPr="009067BC">
        <w:rPr>
          <w:rFonts w:asciiTheme="minorHAnsi" w:hAnsiTheme="minorHAnsi"/>
          <w:sz w:val="22"/>
          <w:szCs w:val="22"/>
        </w:rPr>
        <w:t>%.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A94D74" w:rsidRPr="00A94D74" w:rsidRDefault="00A94D74" w:rsidP="00A94D7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0"/>
          <w:szCs w:val="22"/>
        </w:rPr>
      </w:pPr>
    </w:p>
    <w:p w:rsidR="00A94D74" w:rsidRDefault="00A94D74" w:rsidP="00A94D7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b/>
          <w:sz w:val="22"/>
          <w:vertAlign w:val="superscript"/>
        </w:rPr>
      </w:pPr>
      <w:r w:rsidRPr="00A94D74">
        <w:rPr>
          <w:rFonts w:asciiTheme="minorHAnsi" w:hAnsiTheme="minorHAnsi"/>
          <w:b/>
          <w:sz w:val="22"/>
        </w:rPr>
        <w:t>Low risk and unclear risk studies</w:t>
      </w:r>
      <w:r>
        <w:rPr>
          <w:rFonts w:asciiTheme="minorHAnsi" w:hAnsiTheme="minorHAnsi"/>
          <w:b/>
          <w:sz w:val="22"/>
          <w:vertAlign w:val="superscript"/>
        </w:rPr>
        <w:t>3</w:t>
      </w:r>
    </w:p>
    <w:p w:rsidR="00A94D74" w:rsidRPr="00A94D74" w:rsidRDefault="00A94D74" w:rsidP="00A94D7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0"/>
          <w:szCs w:val="22"/>
        </w:rPr>
      </w:pPr>
    </w:p>
    <w:p w:rsidR="00A94D74" w:rsidRPr="00A733D3" w:rsidRDefault="00A94D74" w:rsidP="00A94D74">
      <w:pPr>
        <w:rPr>
          <w:sz w:val="18"/>
        </w:rPr>
      </w:pPr>
      <w:r w:rsidRPr="00A733D3">
        <w:rPr>
          <w:noProof/>
          <w:sz w:val="18"/>
          <w:lang w:eastAsia="en-GB"/>
        </w:rPr>
        <w:drawing>
          <wp:inline distT="0" distB="0" distL="0" distR="0" wp14:anchorId="362743D4" wp14:editId="1B61EDD7">
            <wp:extent cx="6638925" cy="2066925"/>
            <wp:effectExtent l="19050" t="19050" r="28575" b="285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066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94D74" w:rsidRPr="00A733D3" w:rsidRDefault="00A94D74" w:rsidP="00A94D74">
      <w:pPr>
        <w:rPr>
          <w:sz w:val="18"/>
        </w:rPr>
      </w:pPr>
      <w:r>
        <w:rPr>
          <w:sz w:val="18"/>
          <w:vertAlign w:val="superscript"/>
        </w:rPr>
        <w:t>3</w:t>
      </w:r>
      <w:r w:rsidRPr="00A733D3">
        <w:rPr>
          <w:sz w:val="18"/>
        </w:rPr>
        <w:t xml:space="preserve"> Removing high risk paper </w:t>
      </w:r>
      <w:proofErr w:type="spellStart"/>
      <w:r w:rsidRPr="00A733D3">
        <w:rPr>
          <w:sz w:val="18"/>
        </w:rPr>
        <w:t>Oostdam</w:t>
      </w:r>
      <w:proofErr w:type="spellEnd"/>
      <w:r w:rsidRPr="00A733D3">
        <w:rPr>
          <w:sz w:val="18"/>
        </w:rPr>
        <w:t xml:space="preserve"> et al (2012)</w:t>
      </w:r>
    </w:p>
    <w:p w:rsidR="00A94D74" w:rsidRDefault="00A94D74" w:rsidP="00A94D7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9067BC">
        <w:rPr>
          <w:rFonts w:asciiTheme="minorHAnsi" w:hAnsiTheme="minorHAnsi"/>
          <w:sz w:val="22"/>
          <w:szCs w:val="22"/>
        </w:rPr>
        <w:t>A meta-analysis</w:t>
      </w:r>
      <w:r>
        <w:rPr>
          <w:rFonts w:asciiTheme="minorHAnsi" w:hAnsiTheme="minorHAnsi"/>
          <w:sz w:val="22"/>
          <w:szCs w:val="22"/>
        </w:rPr>
        <w:t xml:space="preserve"> for MET minutes per week</w:t>
      </w:r>
      <w:r w:rsidRPr="009067B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including low and unclear risk studies </w:t>
      </w:r>
      <w:r w:rsidRPr="009067BC">
        <w:rPr>
          <w:rFonts w:asciiTheme="minorHAnsi" w:hAnsiTheme="minorHAnsi"/>
          <w:sz w:val="22"/>
          <w:szCs w:val="22"/>
        </w:rPr>
        <w:t>demonstrated a significant increase in MET minutes per week</w:t>
      </w:r>
      <w:r>
        <w:rPr>
          <w:rFonts w:asciiTheme="minorHAnsi" w:hAnsiTheme="minorHAnsi"/>
          <w:sz w:val="22"/>
          <w:szCs w:val="22"/>
        </w:rPr>
        <w:t xml:space="preserve"> (SMD 0.44 [0.18, 0.70], Z = 2.67</w:t>
      </w:r>
      <w:r w:rsidRPr="009067BC">
        <w:rPr>
          <w:rFonts w:asciiTheme="minorHAnsi" w:hAnsiTheme="minorHAnsi"/>
          <w:sz w:val="22"/>
          <w:szCs w:val="22"/>
        </w:rPr>
        <w:t xml:space="preserve"> P = 0.00</w:t>
      </w:r>
      <w:r>
        <w:rPr>
          <w:rFonts w:asciiTheme="minorHAnsi" w:hAnsiTheme="minorHAnsi"/>
          <w:sz w:val="22"/>
          <w:szCs w:val="22"/>
        </w:rPr>
        <w:t>8</w:t>
      </w:r>
      <w:r w:rsidRPr="009067BC">
        <w:rPr>
          <w:rFonts w:asciiTheme="minorHAnsi" w:hAnsiTheme="minorHAnsi"/>
          <w:sz w:val="22"/>
          <w:szCs w:val="22"/>
        </w:rPr>
        <w:t>). However, the studies were significantly heterogeneous (</w:t>
      </w:r>
      <w:r w:rsidRPr="009067BC">
        <w:rPr>
          <w:rFonts w:asciiTheme="minorHAnsi" w:hAnsiTheme="minorHAnsi" w:cs="Arial"/>
          <w:bCs/>
          <w:sz w:val="22"/>
          <w:szCs w:val="22"/>
          <w:shd w:val="clear" w:color="auto" w:fill="FFFFFF"/>
        </w:rPr>
        <w:t>χ</w:t>
      </w:r>
      <w:r w:rsidRPr="009067BC">
        <w:rPr>
          <w:rFonts w:asciiTheme="minorHAnsi" w:hAnsiTheme="minorHAnsi" w:cs="Arial"/>
          <w:bCs/>
          <w:sz w:val="22"/>
          <w:szCs w:val="22"/>
          <w:shd w:val="clear" w:color="auto" w:fill="FFFFFF"/>
          <w:vertAlign w:val="superscript"/>
        </w:rPr>
        <w:t>2</w:t>
      </w:r>
      <w:r>
        <w:rPr>
          <w:rFonts w:asciiTheme="minorHAnsi" w:hAnsiTheme="minorHAnsi" w:cs="Arial"/>
          <w:bCs/>
          <w:sz w:val="22"/>
          <w:szCs w:val="22"/>
          <w:shd w:val="clear" w:color="auto" w:fill="FFFFFF"/>
        </w:rPr>
        <w:t xml:space="preserve"> = 96.53, </w:t>
      </w:r>
      <w:proofErr w:type="spellStart"/>
      <w:r>
        <w:rPr>
          <w:rFonts w:asciiTheme="minorHAnsi" w:hAnsiTheme="minorHAnsi" w:cs="Arial"/>
          <w:bCs/>
          <w:sz w:val="22"/>
          <w:szCs w:val="22"/>
          <w:shd w:val="clear" w:color="auto" w:fill="FFFFFF"/>
        </w:rPr>
        <w:t>d.f.</w:t>
      </w:r>
      <w:proofErr w:type="spellEnd"/>
      <w:r>
        <w:rPr>
          <w:rFonts w:asciiTheme="minorHAnsi" w:hAnsiTheme="minorHAnsi" w:cs="Arial"/>
          <w:bCs/>
          <w:sz w:val="22"/>
          <w:szCs w:val="22"/>
          <w:shd w:val="clear" w:color="auto" w:fill="FFFFFF"/>
        </w:rPr>
        <w:t xml:space="preserve"> = 6</w:t>
      </w:r>
      <w:r w:rsidRPr="009067BC">
        <w:rPr>
          <w:rFonts w:asciiTheme="minorHAnsi" w:hAnsiTheme="minorHAnsi" w:cs="Arial"/>
          <w:bCs/>
          <w:sz w:val="22"/>
          <w:szCs w:val="22"/>
          <w:shd w:val="clear" w:color="auto" w:fill="FFFFFF"/>
        </w:rPr>
        <w:t xml:space="preserve"> [P &lt;0.0001), </w:t>
      </w:r>
      <w:r w:rsidRPr="009067BC">
        <w:rPr>
          <w:rFonts w:asciiTheme="minorHAnsi" w:hAnsiTheme="minorHAnsi"/>
          <w:sz w:val="22"/>
          <w:szCs w:val="22"/>
        </w:rPr>
        <w:t>I</w:t>
      </w:r>
      <w:r w:rsidRPr="009067BC">
        <w:rPr>
          <w:rFonts w:asciiTheme="minorHAnsi" w:hAnsiTheme="minorHAnsi"/>
          <w:sz w:val="22"/>
          <w:szCs w:val="22"/>
          <w:vertAlign w:val="superscript"/>
        </w:rPr>
        <w:t xml:space="preserve">2 </w:t>
      </w:r>
      <w:r>
        <w:rPr>
          <w:rFonts w:asciiTheme="minorHAnsi" w:hAnsiTheme="minorHAnsi"/>
          <w:sz w:val="22"/>
          <w:szCs w:val="22"/>
        </w:rPr>
        <w:t>= 94</w:t>
      </w:r>
      <w:r w:rsidRPr="009067BC">
        <w:rPr>
          <w:rFonts w:asciiTheme="minorHAnsi" w:hAnsiTheme="minorHAnsi"/>
          <w:sz w:val="22"/>
          <w:szCs w:val="22"/>
        </w:rPr>
        <w:t>%.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A94D74" w:rsidRDefault="00A94D74">
      <w:pPr>
        <w:rPr>
          <w:vertAlign w:val="superscript"/>
        </w:rPr>
      </w:pPr>
    </w:p>
    <w:p w:rsidR="00854B9D" w:rsidRPr="008C2A5B" w:rsidRDefault="00854B9D" w:rsidP="00854B9D">
      <w:pPr>
        <w:shd w:val="clear" w:color="auto" w:fill="BFBFBF" w:themeFill="background1" w:themeFillShade="BF"/>
        <w:jc w:val="center"/>
        <w:rPr>
          <w:b/>
          <w:noProof/>
          <w:lang w:eastAsia="en-GB"/>
        </w:rPr>
      </w:pPr>
      <w:r w:rsidRPr="008C2A5B">
        <w:rPr>
          <w:b/>
          <w:noProof/>
          <w:lang w:eastAsia="en-GB"/>
        </w:rPr>
        <w:lastRenderedPageBreak/>
        <w:t>Steps</w:t>
      </w:r>
      <w:r>
        <w:rPr>
          <w:b/>
          <w:noProof/>
          <w:lang w:eastAsia="en-GB"/>
        </w:rPr>
        <w:t xml:space="preserve"> Count Data</w:t>
      </w:r>
    </w:p>
    <w:p w:rsidR="00854B9D" w:rsidRPr="00854B9D" w:rsidRDefault="00854B9D" w:rsidP="00854B9D">
      <w:pPr>
        <w:rPr>
          <w:b/>
          <w:vertAlign w:val="superscript"/>
        </w:rPr>
      </w:pPr>
      <w:r w:rsidRPr="00854B9D">
        <w:rPr>
          <w:b/>
        </w:rPr>
        <w:t xml:space="preserve">Low risk </w:t>
      </w:r>
      <w:r w:rsidR="00C15A4D" w:rsidRPr="00854B9D">
        <w:rPr>
          <w:b/>
        </w:rPr>
        <w:t>s</w:t>
      </w:r>
      <w:r w:rsidR="00C15A4D">
        <w:rPr>
          <w:b/>
        </w:rPr>
        <w:t>tudies o</w:t>
      </w:r>
      <w:r w:rsidRPr="00854B9D">
        <w:rPr>
          <w:b/>
        </w:rPr>
        <w:t>nly</w:t>
      </w:r>
      <w:r w:rsidR="00A94D74">
        <w:rPr>
          <w:b/>
          <w:vertAlign w:val="superscript"/>
        </w:rPr>
        <w:t>1</w:t>
      </w:r>
    </w:p>
    <w:p w:rsidR="00854B9D" w:rsidRDefault="00854B9D" w:rsidP="00854B9D">
      <w:pPr>
        <w:rPr>
          <w:sz w:val="18"/>
          <w:vertAlign w:val="superscript"/>
        </w:rPr>
      </w:pPr>
      <w:r>
        <w:rPr>
          <w:noProof/>
          <w:sz w:val="18"/>
          <w:vertAlign w:val="superscript"/>
          <w:lang w:eastAsia="en-GB"/>
        </w:rPr>
        <w:drawing>
          <wp:inline distT="0" distB="0" distL="0" distR="0">
            <wp:extent cx="6610350" cy="1076325"/>
            <wp:effectExtent l="19050" t="19050" r="19050" b="285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076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54B9D" w:rsidRDefault="00A94D74" w:rsidP="00854B9D">
      <w:pPr>
        <w:rPr>
          <w:sz w:val="18"/>
        </w:rPr>
      </w:pPr>
      <w:r>
        <w:rPr>
          <w:sz w:val="18"/>
          <w:vertAlign w:val="superscript"/>
        </w:rPr>
        <w:t>1</w:t>
      </w:r>
      <w:r w:rsidR="00854B9D">
        <w:rPr>
          <w:sz w:val="18"/>
        </w:rPr>
        <w:t xml:space="preserve"> Removing unclear risk paper Bruno et al (2017) and Renault et al (2014)</w:t>
      </w:r>
    </w:p>
    <w:p w:rsidR="00D32A2F" w:rsidRPr="009067BC" w:rsidRDefault="00D32A2F" w:rsidP="00D32A2F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bookmarkStart w:id="0" w:name="_GoBack"/>
      <w:r w:rsidRPr="009067BC">
        <w:rPr>
          <w:rFonts w:asciiTheme="minorHAnsi" w:hAnsiTheme="minorHAnsi"/>
          <w:sz w:val="22"/>
          <w:szCs w:val="22"/>
        </w:rPr>
        <w:t>A meta-analysis</w:t>
      </w:r>
      <w:r>
        <w:rPr>
          <w:rFonts w:asciiTheme="minorHAnsi" w:hAnsiTheme="minorHAnsi"/>
          <w:sz w:val="22"/>
          <w:szCs w:val="22"/>
        </w:rPr>
        <w:t xml:space="preserve"> for step count including</w:t>
      </w:r>
      <w:r>
        <w:rPr>
          <w:rFonts w:asciiTheme="minorHAnsi" w:hAnsiTheme="minorHAnsi"/>
          <w:sz w:val="22"/>
          <w:szCs w:val="22"/>
        </w:rPr>
        <w:t xml:space="preserve"> one low risk study </w:t>
      </w:r>
      <w:r>
        <w:rPr>
          <w:rFonts w:asciiTheme="minorHAnsi" w:hAnsiTheme="minorHAnsi"/>
          <w:sz w:val="22"/>
          <w:szCs w:val="22"/>
        </w:rPr>
        <w:t>only,</w:t>
      </w:r>
      <w:r w:rsidRPr="009067BC">
        <w:rPr>
          <w:rFonts w:asciiTheme="minorHAnsi" w:hAnsiTheme="minorHAnsi"/>
          <w:sz w:val="22"/>
          <w:szCs w:val="22"/>
        </w:rPr>
        <w:t xml:space="preserve"> demonstrated a </w:t>
      </w:r>
      <w:r>
        <w:rPr>
          <w:rFonts w:asciiTheme="minorHAnsi" w:hAnsiTheme="minorHAnsi"/>
          <w:sz w:val="22"/>
          <w:szCs w:val="22"/>
        </w:rPr>
        <w:t>non-significant increase</w:t>
      </w:r>
      <w:r w:rsidRPr="009067BC">
        <w:rPr>
          <w:rFonts w:asciiTheme="minorHAnsi" w:hAnsiTheme="minorHAnsi"/>
          <w:sz w:val="22"/>
          <w:szCs w:val="22"/>
        </w:rPr>
        <w:t xml:space="preserve"> in </w:t>
      </w:r>
      <w:r>
        <w:rPr>
          <w:rFonts w:asciiTheme="minorHAnsi" w:hAnsiTheme="minorHAnsi"/>
          <w:sz w:val="22"/>
          <w:szCs w:val="22"/>
        </w:rPr>
        <w:t xml:space="preserve">steps (SMD </w:t>
      </w:r>
      <w:r>
        <w:rPr>
          <w:rFonts w:asciiTheme="minorHAnsi" w:hAnsiTheme="minorHAnsi"/>
          <w:sz w:val="22"/>
          <w:szCs w:val="22"/>
        </w:rPr>
        <w:t>0.44</w:t>
      </w:r>
      <w:r>
        <w:rPr>
          <w:rFonts w:asciiTheme="minorHAnsi" w:hAnsiTheme="minorHAnsi"/>
          <w:sz w:val="22"/>
          <w:szCs w:val="22"/>
        </w:rPr>
        <w:t xml:space="preserve"> [</w:t>
      </w:r>
      <w:r w:rsidR="00A94D74">
        <w:rPr>
          <w:rFonts w:asciiTheme="minorHAnsi" w:hAnsiTheme="minorHAnsi"/>
          <w:sz w:val="22"/>
          <w:szCs w:val="22"/>
        </w:rPr>
        <w:t>-0.21, 1.09], Z = 1.32 P = 0.19</w:t>
      </w:r>
      <w:r>
        <w:rPr>
          <w:rFonts w:asciiTheme="minorHAnsi" w:hAnsiTheme="minorHAnsi"/>
          <w:sz w:val="22"/>
          <w:szCs w:val="22"/>
        </w:rPr>
        <w:t>) with heterogeneity not applicable</w:t>
      </w:r>
      <w:bookmarkEnd w:id="0"/>
      <w:r>
        <w:rPr>
          <w:rFonts w:asciiTheme="minorHAnsi" w:hAnsiTheme="minorHAnsi"/>
          <w:sz w:val="22"/>
          <w:szCs w:val="22"/>
        </w:rPr>
        <w:t xml:space="preserve">. </w:t>
      </w:r>
    </w:p>
    <w:p w:rsidR="00D32A2F" w:rsidRDefault="00D32A2F" w:rsidP="00D32A2F">
      <w:pPr>
        <w:rPr>
          <w:sz w:val="18"/>
        </w:rPr>
      </w:pPr>
    </w:p>
    <w:p w:rsidR="00A94D74" w:rsidRPr="00854B9D" w:rsidRDefault="00A94D74" w:rsidP="00A94D74">
      <w:pPr>
        <w:rPr>
          <w:b/>
          <w:vertAlign w:val="superscript"/>
        </w:rPr>
      </w:pPr>
      <w:r w:rsidRPr="00A733D3">
        <w:rPr>
          <w:b/>
        </w:rPr>
        <w:t xml:space="preserve">Unclear risk </w:t>
      </w:r>
      <w:r>
        <w:rPr>
          <w:b/>
        </w:rPr>
        <w:t xml:space="preserve">studies </w:t>
      </w:r>
      <w:r w:rsidRPr="00A733D3">
        <w:rPr>
          <w:b/>
        </w:rPr>
        <w:t>only</w:t>
      </w:r>
      <w:r>
        <w:rPr>
          <w:b/>
          <w:vertAlign w:val="superscript"/>
        </w:rPr>
        <w:t>2</w:t>
      </w:r>
    </w:p>
    <w:p w:rsidR="00A94D74" w:rsidRDefault="00A94D74" w:rsidP="00A94D74">
      <w:pPr>
        <w:rPr>
          <w:vertAlign w:val="superscript"/>
        </w:rPr>
      </w:pPr>
      <w:r>
        <w:rPr>
          <w:noProof/>
          <w:vertAlign w:val="superscript"/>
          <w:lang w:eastAsia="en-GB"/>
        </w:rPr>
        <w:drawing>
          <wp:inline distT="0" distB="0" distL="0" distR="0" wp14:anchorId="375D4116" wp14:editId="0F96C4EF">
            <wp:extent cx="6657975" cy="1219200"/>
            <wp:effectExtent l="19050" t="19050" r="28575" b="190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1219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94D74" w:rsidRDefault="00A94D74" w:rsidP="00A94D74">
      <w:pPr>
        <w:rPr>
          <w:sz w:val="18"/>
        </w:rPr>
      </w:pPr>
      <w:r>
        <w:rPr>
          <w:sz w:val="18"/>
          <w:vertAlign w:val="superscript"/>
        </w:rPr>
        <w:t>1</w:t>
      </w:r>
      <w:r w:rsidRPr="00A733D3">
        <w:rPr>
          <w:sz w:val="18"/>
        </w:rPr>
        <w:t xml:space="preserve"> Removing </w:t>
      </w:r>
      <w:r>
        <w:rPr>
          <w:sz w:val="18"/>
        </w:rPr>
        <w:t>low</w:t>
      </w:r>
      <w:r w:rsidRPr="00A733D3">
        <w:rPr>
          <w:sz w:val="18"/>
        </w:rPr>
        <w:t xml:space="preserve"> risk paper</w:t>
      </w:r>
      <w:r>
        <w:rPr>
          <w:sz w:val="18"/>
        </w:rPr>
        <w:t xml:space="preserve"> Kai Ling Kong et al (2014)</w:t>
      </w:r>
    </w:p>
    <w:p w:rsidR="00A94D74" w:rsidRPr="009067BC" w:rsidRDefault="00A94D74" w:rsidP="00A94D7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9067BC">
        <w:rPr>
          <w:rFonts w:asciiTheme="minorHAnsi" w:hAnsiTheme="minorHAnsi"/>
          <w:sz w:val="22"/>
          <w:szCs w:val="22"/>
        </w:rPr>
        <w:t>A meta-analysis</w:t>
      </w:r>
      <w:r>
        <w:rPr>
          <w:rFonts w:asciiTheme="minorHAnsi" w:hAnsiTheme="minorHAnsi"/>
          <w:sz w:val="22"/>
          <w:szCs w:val="22"/>
        </w:rPr>
        <w:t xml:space="preserve"> for step count including unclear risk studies only,</w:t>
      </w:r>
      <w:r w:rsidRPr="009067BC">
        <w:rPr>
          <w:rFonts w:asciiTheme="minorHAnsi" w:hAnsiTheme="minorHAnsi"/>
          <w:sz w:val="22"/>
          <w:szCs w:val="22"/>
        </w:rPr>
        <w:t xml:space="preserve"> demonstrated a </w:t>
      </w:r>
      <w:r>
        <w:rPr>
          <w:rFonts w:asciiTheme="minorHAnsi" w:hAnsiTheme="minorHAnsi"/>
          <w:sz w:val="22"/>
          <w:szCs w:val="22"/>
        </w:rPr>
        <w:t>significant de</w:t>
      </w:r>
      <w:r w:rsidRPr="009067BC">
        <w:rPr>
          <w:rFonts w:asciiTheme="minorHAnsi" w:hAnsiTheme="minorHAnsi"/>
          <w:sz w:val="22"/>
          <w:szCs w:val="22"/>
        </w:rPr>
        <w:t xml:space="preserve">crease in </w:t>
      </w:r>
      <w:r>
        <w:rPr>
          <w:rFonts w:asciiTheme="minorHAnsi" w:hAnsiTheme="minorHAnsi"/>
          <w:sz w:val="22"/>
          <w:szCs w:val="22"/>
        </w:rPr>
        <w:t xml:space="preserve">steps (SMD -0.51 [-0.86, -0.16], Z = 2.88 P = 0.004) with heterogeneity not applicable. </w:t>
      </w:r>
    </w:p>
    <w:p w:rsidR="00854B9D" w:rsidRPr="00854B9D" w:rsidRDefault="00854B9D" w:rsidP="00854B9D"/>
    <w:sectPr w:rsidR="00854B9D" w:rsidRPr="00854B9D" w:rsidSect="00A94D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903"/>
    <w:rsid w:val="0000214F"/>
    <w:rsid w:val="00106DA2"/>
    <w:rsid w:val="004E1756"/>
    <w:rsid w:val="00576063"/>
    <w:rsid w:val="00776903"/>
    <w:rsid w:val="00827E3F"/>
    <w:rsid w:val="00854B9D"/>
    <w:rsid w:val="00A733D3"/>
    <w:rsid w:val="00A94D74"/>
    <w:rsid w:val="00AB7775"/>
    <w:rsid w:val="00C021DB"/>
    <w:rsid w:val="00C15A4D"/>
    <w:rsid w:val="00C71C0C"/>
    <w:rsid w:val="00D32A2F"/>
    <w:rsid w:val="00D90399"/>
    <w:rsid w:val="00F23FE8"/>
    <w:rsid w:val="00F5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9F9A7"/>
  <w15:chartTrackingRefBased/>
  <w15:docId w15:val="{457A1C49-6DCE-4F98-A100-08A04D0EB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1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75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rsid w:val="004E1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WebChar">
    <w:name w:val="Normal (Web) Char"/>
    <w:basedOn w:val="DefaultParagraphFont"/>
    <w:link w:val="NormalWeb"/>
    <w:uiPriority w:val="99"/>
    <w:rsid w:val="004E1756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5.wdp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Flannery, Caragh</dc:creator>
  <cp:keywords/>
  <dc:description/>
  <cp:lastModifiedBy>Flannery, Caragh</cp:lastModifiedBy>
  <cp:revision>6</cp:revision>
  <cp:lastPrinted>2019-10-04T08:49:00Z</cp:lastPrinted>
  <dcterms:created xsi:type="dcterms:W3CDTF">2019-09-26T10:27:00Z</dcterms:created>
  <dcterms:modified xsi:type="dcterms:W3CDTF">2019-10-04T09:17:00Z</dcterms:modified>
</cp:coreProperties>
</file>