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4E4" w:rsidRPr="00DD310C" w:rsidRDefault="000124E4" w:rsidP="000124E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D310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S1. Inclusion and exclusion criteria for systematic literature searches on family and the physical activity (review #1), sedentary (review #2), and sleep (review #3) behaviours of children and youth. </w:t>
      </w:r>
    </w:p>
    <w:p w:rsidR="000124E4" w:rsidRPr="00DD310C" w:rsidRDefault="000124E4" w:rsidP="000124E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756"/>
        <w:gridCol w:w="3756"/>
      </w:tblGrid>
      <w:tr w:rsidR="000124E4" w:rsidRPr="00DD310C" w:rsidTr="00B76D38">
        <w:trPr>
          <w:jc w:val="center"/>
        </w:trPr>
        <w:tc>
          <w:tcPr>
            <w:tcW w:w="1838" w:type="dxa"/>
          </w:tcPr>
          <w:p w:rsidR="000124E4" w:rsidRPr="00DD310C" w:rsidRDefault="000124E4" w:rsidP="00B76D38">
            <w:pPr>
              <w:spacing w:after="0" w:line="240" w:lineRule="auto"/>
              <w:jc w:val="center"/>
              <w:rPr>
                <w:rFonts w:ascii="Times" w:eastAsia="Calibri" w:hAnsi="Times" w:cs="Times New Roman"/>
                <w:b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/>
                <w:sz w:val="24"/>
                <w:szCs w:val="24"/>
              </w:rPr>
              <w:t>Criterion</w:t>
            </w:r>
          </w:p>
        </w:tc>
        <w:tc>
          <w:tcPr>
            <w:tcW w:w="3756" w:type="dxa"/>
            <w:shd w:val="clear" w:color="auto" w:fill="auto"/>
          </w:tcPr>
          <w:p w:rsidR="000124E4" w:rsidRPr="00DD310C" w:rsidRDefault="000124E4" w:rsidP="00B76D38">
            <w:pPr>
              <w:spacing w:after="0" w:line="240" w:lineRule="auto"/>
              <w:jc w:val="center"/>
              <w:rPr>
                <w:rFonts w:ascii="Times" w:eastAsia="Calibri" w:hAnsi="Times" w:cs="Times New Roman"/>
                <w:b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/>
                <w:sz w:val="24"/>
                <w:szCs w:val="24"/>
              </w:rPr>
              <w:t>Inclusion criteria</w:t>
            </w:r>
          </w:p>
        </w:tc>
        <w:tc>
          <w:tcPr>
            <w:tcW w:w="3756" w:type="dxa"/>
            <w:shd w:val="clear" w:color="auto" w:fill="auto"/>
          </w:tcPr>
          <w:p w:rsidR="000124E4" w:rsidRPr="00DD310C" w:rsidRDefault="000124E4" w:rsidP="00B76D38">
            <w:pPr>
              <w:spacing w:after="0" w:line="240" w:lineRule="auto"/>
              <w:jc w:val="center"/>
              <w:rPr>
                <w:rFonts w:ascii="Times" w:eastAsia="Calibri" w:hAnsi="Times" w:cs="Times New Roman"/>
                <w:b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/>
                <w:sz w:val="24"/>
                <w:szCs w:val="24"/>
              </w:rPr>
              <w:t>Exclusion criteria</w:t>
            </w:r>
          </w:p>
        </w:tc>
      </w:tr>
      <w:tr w:rsidR="000124E4" w:rsidRPr="00DD310C" w:rsidTr="00B76D38">
        <w:trPr>
          <w:jc w:val="center"/>
        </w:trPr>
        <w:tc>
          <w:tcPr>
            <w:tcW w:w="1838" w:type="dxa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Language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English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Non-English studies</w:t>
            </w:r>
          </w:p>
        </w:tc>
      </w:tr>
      <w:tr w:rsidR="000124E4" w:rsidRPr="00DD310C" w:rsidTr="00B76D38">
        <w:trPr>
          <w:jc w:val="center"/>
        </w:trPr>
        <w:tc>
          <w:tcPr>
            <w:tcW w:w="1838" w:type="dxa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Type of article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Times New Roman" w:hAnsi="Times" w:cs="Times New Roman"/>
                <w:sz w:val="24"/>
                <w:szCs w:val="24"/>
              </w:rPr>
              <w:t>Original research, published</w:t>
            </w:r>
            <w:r w:rsidRPr="00DD310C">
              <w:rPr>
                <w:rFonts w:ascii="Times" w:eastAsia="Times New Roman" w:hAnsi="Times" w:cs="Times New Roman"/>
                <w:sz w:val="24"/>
                <w:szCs w:val="24"/>
              </w:rPr>
              <w:br/>
              <w:t>in a peer review journa</w:t>
            </w: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l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Articles that were not peer-reviewed or original research.</w:t>
            </w:r>
          </w:p>
        </w:tc>
      </w:tr>
      <w:tr w:rsidR="000124E4" w:rsidRPr="00DD310C" w:rsidTr="00B76D38">
        <w:trPr>
          <w:jc w:val="center"/>
        </w:trPr>
        <w:tc>
          <w:tcPr>
            <w:tcW w:w="1838" w:type="dxa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Study design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Times New Roman" w:hAnsi="Times" w:cs="Times New Roman"/>
                <w:sz w:val="24"/>
                <w:szCs w:val="24"/>
              </w:rPr>
            </w:pPr>
            <w:r w:rsidRPr="00DD310C">
              <w:rPr>
                <w:rFonts w:ascii="Times" w:eastAsia="Times New Roman" w:hAnsi="Times" w:cs="Times New Roman"/>
                <w:sz w:val="24"/>
                <w:szCs w:val="24"/>
              </w:rPr>
              <w:t>All study types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</w:p>
        </w:tc>
      </w:tr>
      <w:tr w:rsidR="000124E4" w:rsidRPr="00DD310C" w:rsidTr="00B76D38">
        <w:trPr>
          <w:jc w:val="center"/>
        </w:trPr>
        <w:tc>
          <w:tcPr>
            <w:tcW w:w="1838" w:type="dxa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Study focus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Studies that focus on modifiable (e.g., parent behaviours and parent-child relationships) and non-modifiable (e.g., family structure, socio-economic status) characteristics of the family.</w:t>
            </w:r>
          </w:p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</w:p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Studies that examine the independent influence of family characteristics on children/youth’s physical activity/sedentary behaviour/sleep.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Articles that examine collective impact of various socializing agents (family, peers, and school/teachers) on children/youth’s physical activity/sedentary behaviour/sleep.</w:t>
            </w:r>
          </w:p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</w:p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Articles that examine the impact of family characteristics on child/youth physical activity/sedentary behaviour/sleep during pregnancy.</w:t>
            </w:r>
          </w:p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</w:p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Multicomponent interventions that actively target the family environment as well as other settings/environments (e.g., school-based interventions)</w:t>
            </w:r>
          </w:p>
        </w:tc>
      </w:tr>
      <w:tr w:rsidR="000124E4" w:rsidRPr="00DD310C" w:rsidTr="00B76D38">
        <w:trPr>
          <w:jc w:val="center"/>
        </w:trPr>
        <w:tc>
          <w:tcPr>
            <w:tcW w:w="1838" w:type="dxa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Literature focus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Articles where the focus is on the influence of family, which refers to those living in the same household as the child/youth. This includes, but is not limited to, the mother, father, siblings, caregiver, or other legal guardian.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Articles where the focus is on the influence of children/youth’s physical activity/sedentary behaviour/sleep on family members.</w:t>
            </w:r>
          </w:p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</w:p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Articles that examine the total influence of socializing agents (family, peers, and school/teachers) on children/youth’s physical activity/sedentary behaviour/sleep</w:t>
            </w:r>
          </w:p>
        </w:tc>
      </w:tr>
      <w:tr w:rsidR="000124E4" w:rsidRPr="00DD310C" w:rsidTr="00B76D38">
        <w:trPr>
          <w:jc w:val="center"/>
        </w:trPr>
        <w:tc>
          <w:tcPr>
            <w:tcW w:w="1838" w:type="dxa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bCs/>
                <w:sz w:val="24"/>
                <w:szCs w:val="24"/>
              </w:rPr>
              <w:t>Population sample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Children and youth (</w:t>
            </w:r>
            <m:oMath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≤</m:t>
              </m:r>
            </m:oMath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18 years).</w:t>
            </w:r>
          </w:p>
        </w:tc>
        <w:tc>
          <w:tcPr>
            <w:tcW w:w="3756" w:type="dxa"/>
            <w:shd w:val="clear" w:color="auto" w:fill="auto"/>
            <w:vAlign w:val="center"/>
          </w:tcPr>
          <w:p w:rsidR="000124E4" w:rsidRPr="00DD310C" w:rsidRDefault="000124E4" w:rsidP="00B76D38">
            <w:pPr>
              <w:spacing w:after="0" w:line="240" w:lineRule="auto"/>
              <w:rPr>
                <w:rFonts w:ascii="Times" w:eastAsia="Calibri" w:hAnsi="Times" w:cs="Times New Roman"/>
                <w:bCs/>
                <w:sz w:val="24"/>
                <w:szCs w:val="24"/>
              </w:rPr>
            </w:pPr>
            <w:r w:rsidRPr="00DD310C">
              <w:rPr>
                <w:rFonts w:ascii="Times" w:eastAsia="Calibri" w:hAnsi="Times" w:cs="Times New Roman"/>
                <w:sz w:val="24"/>
                <w:szCs w:val="24"/>
              </w:rPr>
              <w:t>Articles that target children/youth with a specific disease, illness, or condition, with the exception of children/youth with overweight/obesity.</w:t>
            </w:r>
          </w:p>
        </w:tc>
      </w:tr>
    </w:tbl>
    <w:p w:rsidR="000124E4" w:rsidRPr="00DD310C" w:rsidRDefault="000124E4" w:rsidP="000124E4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</w:p>
    <w:p w:rsidR="00041886" w:rsidRPr="0042199F" w:rsidRDefault="00041886" w:rsidP="0042199F">
      <w:pPr>
        <w:spacing w:after="0" w:line="240" w:lineRule="auto"/>
        <w:rPr>
          <w:rFonts w:ascii="Times" w:eastAsia="Calibri" w:hAnsi="Times" w:cs="Times New Roman"/>
          <w:sz w:val="24"/>
          <w:szCs w:val="24"/>
        </w:rPr>
      </w:pPr>
      <w:bookmarkStart w:id="0" w:name="_GoBack"/>
      <w:bookmarkEnd w:id="0"/>
    </w:p>
    <w:sectPr w:rsidR="00041886" w:rsidRPr="004219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E4"/>
    <w:rsid w:val="000124E4"/>
    <w:rsid w:val="00041886"/>
    <w:rsid w:val="0042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C5AD4A-8B74-454C-9CB7-08F6AE54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Rhodes</dc:creator>
  <cp:keywords/>
  <dc:description/>
  <cp:lastModifiedBy>Tremblay, Mark</cp:lastModifiedBy>
  <cp:revision>2</cp:revision>
  <dcterms:created xsi:type="dcterms:W3CDTF">2020-05-14T11:37:00Z</dcterms:created>
  <dcterms:modified xsi:type="dcterms:W3CDTF">2020-05-14T11:37:00Z</dcterms:modified>
</cp:coreProperties>
</file>