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23DCC" w14:textId="1E1DBF97" w:rsidR="00200E64" w:rsidRPr="00200E64" w:rsidRDefault="00200E64" w:rsidP="00200E64">
      <w:pPr>
        <w:pStyle w:val="Heading1"/>
        <w:pBdr>
          <w:bottom w:val="none" w:sz="0" w:space="0" w:color="auto"/>
        </w:pBdr>
        <w:spacing w:beforeLines="20" w:before="48" w:after="0"/>
        <w:rPr>
          <w:rFonts w:ascii="Times New Roman" w:hAnsi="Times New Roman" w:cs="Times New Roman"/>
          <w:b/>
          <w:bCs/>
          <w:color w:val="000000" w:themeColor="text1"/>
          <w:sz w:val="24"/>
          <w:szCs w:val="24"/>
          <w:lang w:val="en-AU"/>
        </w:rPr>
      </w:pPr>
      <w:bookmarkStart w:id="0" w:name="_Toc27596818"/>
      <w:bookmarkStart w:id="1" w:name="_Toc31131450"/>
      <w:r w:rsidRPr="00200E64">
        <w:rPr>
          <w:rFonts w:ascii="Times New Roman" w:hAnsi="Times New Roman" w:cs="Times New Roman"/>
          <w:b/>
          <w:bCs/>
          <w:color w:val="000000" w:themeColor="text1"/>
          <w:sz w:val="24"/>
          <w:szCs w:val="24"/>
          <w:lang w:val="en-AU"/>
        </w:rPr>
        <w:t xml:space="preserve">APPENDIX </w:t>
      </w:r>
      <w:r w:rsidR="007224FD">
        <w:rPr>
          <w:rFonts w:ascii="Times New Roman" w:hAnsi="Times New Roman" w:cs="Times New Roman"/>
          <w:b/>
          <w:bCs/>
          <w:color w:val="000000" w:themeColor="text1"/>
          <w:sz w:val="24"/>
          <w:szCs w:val="24"/>
          <w:lang w:val="en-AU"/>
        </w:rPr>
        <w:t>2</w:t>
      </w:r>
      <w:r w:rsidRPr="00200E64">
        <w:rPr>
          <w:rFonts w:ascii="Times New Roman" w:hAnsi="Times New Roman" w:cs="Times New Roman"/>
          <w:b/>
          <w:bCs/>
          <w:color w:val="000000" w:themeColor="text1"/>
          <w:sz w:val="24"/>
          <w:szCs w:val="24"/>
          <w:lang w:val="en-AU"/>
        </w:rPr>
        <w:t>. Categories of physical activity programmes (ProFaNE): definitions and application</w:t>
      </w:r>
      <w:bookmarkEnd w:id="0"/>
      <w:bookmarkEnd w:id="1"/>
      <w:r w:rsidRPr="00200E64">
        <w:rPr>
          <w:rFonts w:ascii="Times New Roman" w:hAnsi="Times New Roman" w:cs="Times New Roman"/>
          <w:b/>
          <w:bCs/>
          <w:color w:val="000000" w:themeColor="text1"/>
          <w:sz w:val="24"/>
          <w:szCs w:val="24"/>
          <w:lang w:val="en-AU"/>
        </w:rPr>
        <w:t xml:space="preserve"> </w:t>
      </w:r>
    </w:p>
    <w:p w14:paraId="04196227" w14:textId="77777777" w:rsidR="00200E64" w:rsidRPr="00200E64" w:rsidRDefault="00200E64" w:rsidP="00200E64">
      <w:pPr>
        <w:rPr>
          <w:rFonts w:ascii="Times New Roman" w:hAnsi="Times New Roman" w:cs="Times New Roman"/>
          <w:b/>
          <w:color w:val="000000" w:themeColor="text1"/>
          <w:sz w:val="24"/>
          <w:szCs w:val="24"/>
          <w:lang w:val="en-AU"/>
        </w:rPr>
      </w:pPr>
    </w:p>
    <w:tbl>
      <w:tblPr>
        <w:tblStyle w:val="TableGrid"/>
        <w:tblW w:w="0" w:type="auto"/>
        <w:tblLook w:val="04A0" w:firstRow="1" w:lastRow="0" w:firstColumn="1" w:lastColumn="0" w:noHBand="0" w:noVBand="1"/>
      </w:tblPr>
      <w:tblGrid>
        <w:gridCol w:w="2130"/>
        <w:gridCol w:w="3940"/>
        <w:gridCol w:w="2940"/>
      </w:tblGrid>
      <w:tr w:rsidR="00200E64" w:rsidRPr="00200E64" w14:paraId="160A49E9" w14:textId="77777777" w:rsidTr="00CB6255">
        <w:tc>
          <w:tcPr>
            <w:tcW w:w="0" w:type="auto"/>
            <w:hideMark/>
          </w:tcPr>
          <w:p w14:paraId="5CD717A1" w14:textId="77777777" w:rsidR="00200E64" w:rsidRPr="00200E64" w:rsidRDefault="00200E64" w:rsidP="00200E64">
            <w:pPr>
              <w:spacing w:before="100" w:beforeAutospacing="1" w:after="100" w:afterAutospacing="1" w:line="240" w:lineRule="auto"/>
              <w:jc w:val="center"/>
              <w:rPr>
                <w:rFonts w:ascii="Times New Roman" w:hAnsi="Times New Roman" w:cs="Times New Roman"/>
                <w:b/>
                <w:bCs/>
                <w:color w:val="000000" w:themeColor="text1"/>
                <w:sz w:val="24"/>
                <w:szCs w:val="24"/>
                <w:lang w:val="en-AU"/>
              </w:rPr>
            </w:pPr>
            <w:r w:rsidRPr="00200E64">
              <w:rPr>
                <w:rFonts w:ascii="Times New Roman" w:hAnsi="Times New Roman" w:cs="Times New Roman"/>
                <w:b/>
                <w:bCs/>
                <w:color w:val="000000" w:themeColor="text1"/>
                <w:sz w:val="24"/>
                <w:szCs w:val="24"/>
                <w:lang w:val="en-AU"/>
              </w:rPr>
              <w:t>Physical activity category</w:t>
            </w:r>
          </w:p>
        </w:tc>
        <w:tc>
          <w:tcPr>
            <w:tcW w:w="0" w:type="auto"/>
            <w:hideMark/>
          </w:tcPr>
          <w:p w14:paraId="42B274CC" w14:textId="77777777" w:rsidR="00200E64" w:rsidRPr="00200E64" w:rsidRDefault="00200E64" w:rsidP="00200E64">
            <w:pPr>
              <w:spacing w:before="100" w:beforeAutospacing="1" w:after="100" w:afterAutospacing="1" w:line="240" w:lineRule="auto"/>
              <w:jc w:val="center"/>
              <w:rPr>
                <w:rFonts w:ascii="Times New Roman" w:hAnsi="Times New Roman" w:cs="Times New Roman"/>
                <w:b/>
                <w:bCs/>
                <w:color w:val="000000" w:themeColor="text1"/>
                <w:sz w:val="24"/>
                <w:szCs w:val="24"/>
                <w:lang w:val="en-AU"/>
              </w:rPr>
            </w:pPr>
            <w:r w:rsidRPr="00200E64">
              <w:rPr>
                <w:rFonts w:ascii="Times New Roman" w:hAnsi="Times New Roman" w:cs="Times New Roman"/>
                <w:b/>
                <w:bCs/>
                <w:color w:val="000000" w:themeColor="text1"/>
                <w:sz w:val="24"/>
                <w:szCs w:val="24"/>
                <w:lang w:val="en-AU"/>
              </w:rPr>
              <w:t>ProFaNE description</w:t>
            </w:r>
          </w:p>
        </w:tc>
        <w:tc>
          <w:tcPr>
            <w:tcW w:w="0" w:type="auto"/>
            <w:hideMark/>
          </w:tcPr>
          <w:p w14:paraId="533792DF" w14:textId="77777777" w:rsidR="00200E64" w:rsidRPr="00200E64" w:rsidRDefault="00200E64" w:rsidP="00200E64">
            <w:pPr>
              <w:spacing w:before="100" w:beforeAutospacing="1" w:after="100" w:afterAutospacing="1" w:line="240" w:lineRule="auto"/>
              <w:jc w:val="center"/>
              <w:rPr>
                <w:rFonts w:ascii="Times New Roman" w:hAnsi="Times New Roman" w:cs="Times New Roman"/>
                <w:b/>
                <w:bCs/>
                <w:color w:val="000000" w:themeColor="text1"/>
                <w:sz w:val="24"/>
                <w:szCs w:val="24"/>
                <w:lang w:val="en-AU"/>
              </w:rPr>
            </w:pPr>
            <w:r w:rsidRPr="00200E64">
              <w:rPr>
                <w:rFonts w:ascii="Times New Roman" w:hAnsi="Times New Roman" w:cs="Times New Roman"/>
                <w:b/>
                <w:bCs/>
                <w:color w:val="000000" w:themeColor="text1"/>
                <w:sz w:val="24"/>
                <w:szCs w:val="24"/>
                <w:lang w:val="en-AU"/>
              </w:rPr>
              <w:t>How the category criteria were applied in this review</w:t>
            </w:r>
            <w:r w:rsidRPr="00200E64">
              <w:rPr>
                <w:rFonts w:ascii="Times New Roman" w:hAnsi="Times New Roman" w:cs="Times New Roman"/>
                <w:b/>
                <w:bCs/>
                <w:color w:val="000000" w:themeColor="text1"/>
                <w:sz w:val="24"/>
                <w:szCs w:val="24"/>
                <w:vertAlign w:val="superscript"/>
                <w:lang w:val="en-AU"/>
              </w:rPr>
              <w:t>a</w:t>
            </w:r>
          </w:p>
        </w:tc>
      </w:tr>
      <w:tr w:rsidR="00200E64" w:rsidRPr="00200E64" w14:paraId="4740DE52" w14:textId="77777777" w:rsidTr="00CB6255">
        <w:tc>
          <w:tcPr>
            <w:tcW w:w="0" w:type="auto"/>
            <w:hideMark/>
          </w:tcPr>
          <w:p w14:paraId="23C21B68"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Gait, balance, and functional training</w:t>
            </w:r>
          </w:p>
        </w:tc>
        <w:tc>
          <w:tcPr>
            <w:tcW w:w="0" w:type="auto"/>
            <w:hideMark/>
          </w:tcPr>
          <w:p w14:paraId="68A21B41"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 xml:space="preserve">Gait training involves specific correction of walking technique (e.g., posture, stride length and cadence) and changes of pace, level and direction. Balance training involves the efficient transfer of bodyweight from one part of the body to another or challenges specific aspects of the balance systems (e.g., vestibular systems). Balance retraining activities range from the re-education of basic functional movement patterns to a wide variety of dynamic activities that target more sophisticated aspects of balance. Functional training uses functional activities as the training </w:t>
            </w:r>
            <w:proofErr w:type="gramStart"/>
            <w:r w:rsidRPr="00200E64">
              <w:rPr>
                <w:rFonts w:ascii="Times New Roman" w:hAnsi="Times New Roman" w:cs="Times New Roman"/>
                <w:color w:val="000000" w:themeColor="text1"/>
                <w:sz w:val="24"/>
                <w:szCs w:val="24"/>
                <w:lang w:val="en-AU"/>
              </w:rPr>
              <w:t>stimulus, and</w:t>
            </w:r>
            <w:proofErr w:type="gramEnd"/>
            <w:r w:rsidRPr="00200E64">
              <w:rPr>
                <w:rFonts w:ascii="Times New Roman" w:hAnsi="Times New Roman" w:cs="Times New Roman"/>
                <w:color w:val="000000" w:themeColor="text1"/>
                <w:sz w:val="24"/>
                <w:szCs w:val="24"/>
                <w:lang w:val="en-AU"/>
              </w:rPr>
              <w:t xml:space="preserve"> is based on the theoretical concept of task specificity. All gait, balance and functional training should be based on an assessment of the participant’s abilities prior to starting the programme; tailoring of the intervention to the individual’s abilities; and progression of the exercise programme as ability improves</w:t>
            </w:r>
          </w:p>
        </w:tc>
        <w:tc>
          <w:tcPr>
            <w:tcW w:w="0" w:type="auto"/>
            <w:hideMark/>
          </w:tcPr>
          <w:p w14:paraId="2DFC687A"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Selected as exercise category if the intervention met the baseline assessment, tailoring and progression criteria. Selected as primary category for interventions where most exercises were conducted standing and where the intervention focus and most time spent was on exercise in this category</w:t>
            </w:r>
          </w:p>
        </w:tc>
      </w:tr>
      <w:tr w:rsidR="00200E64" w:rsidRPr="00200E64" w14:paraId="04E50CE0" w14:textId="77777777" w:rsidTr="00CB6255">
        <w:tc>
          <w:tcPr>
            <w:tcW w:w="0" w:type="auto"/>
            <w:hideMark/>
          </w:tcPr>
          <w:p w14:paraId="1E9DCD01"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Strength/resistance (including power)</w:t>
            </w:r>
          </w:p>
        </w:tc>
        <w:tc>
          <w:tcPr>
            <w:tcW w:w="0" w:type="auto"/>
            <w:hideMark/>
          </w:tcPr>
          <w:p w14:paraId="26CE5158"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 xml:space="preserve">The term 'resistance training' covers all types of weight training i.e. contracting the muscles against a resistance to ‘overload’ and bring about a training effect in the muscular system. The resistance is an external force, which can be one’s own body placed in an unusual relationship to gravity (e.g., prone back extension) or an external resistance (e.g., free weight). All strength/resistance training should be based on an assessment of the participant’s abilities prior to starting the programme; tailoring the intervention to the individual's abilities; and </w:t>
            </w:r>
            <w:r w:rsidRPr="00200E64">
              <w:rPr>
                <w:rFonts w:ascii="Times New Roman" w:hAnsi="Times New Roman" w:cs="Times New Roman"/>
                <w:color w:val="000000" w:themeColor="text1"/>
                <w:sz w:val="24"/>
                <w:szCs w:val="24"/>
                <w:lang w:val="en-AU"/>
              </w:rPr>
              <w:lastRenderedPageBreak/>
              <w:t>progression of the exercise programme as ability improves</w:t>
            </w:r>
          </w:p>
        </w:tc>
        <w:tc>
          <w:tcPr>
            <w:tcW w:w="0" w:type="auto"/>
            <w:hideMark/>
          </w:tcPr>
          <w:p w14:paraId="5413565D"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lastRenderedPageBreak/>
              <w:t>Selected as exercise category if the intervention met the baseline assessment, tailoring and progression criteria. Selected as primary category for interventions where additional resistance was used or where it was clear that overload was sufficient without external resistance and where the intervention focus and most time spent was on exercise in this category</w:t>
            </w:r>
          </w:p>
        </w:tc>
      </w:tr>
      <w:tr w:rsidR="00200E64" w:rsidRPr="00200E64" w14:paraId="595BCC27" w14:textId="77777777" w:rsidTr="00CB6255">
        <w:tc>
          <w:tcPr>
            <w:tcW w:w="0" w:type="auto"/>
            <w:hideMark/>
          </w:tcPr>
          <w:p w14:paraId="622B8DBE"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Flexibility</w:t>
            </w:r>
          </w:p>
        </w:tc>
        <w:tc>
          <w:tcPr>
            <w:tcW w:w="0" w:type="auto"/>
            <w:hideMark/>
          </w:tcPr>
          <w:p w14:paraId="3BE99DD9"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Flexibility training is the planned process by which stretching exercises are practised and progressed to restore or maintain the optimal range of movement (ROM) available to a joint or joints. The ranges of motion used by flexibility programmes may vary from restoration/maintenance of the entire physiological range of motion, or alternatively, maintenance of range that is essential to mobility or other functions</w:t>
            </w:r>
          </w:p>
        </w:tc>
        <w:tc>
          <w:tcPr>
            <w:tcW w:w="0" w:type="auto"/>
            <w:hideMark/>
          </w:tcPr>
          <w:p w14:paraId="0C594FEC"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Selected as exercise category if the intervention met the progression of stretching criterion. Selected as primary category for interventions where flexibility training was a stated aim of the intervention and where the intervention focus and most time spent was on exercise in this category</w:t>
            </w:r>
          </w:p>
        </w:tc>
      </w:tr>
      <w:tr w:rsidR="00200E64" w:rsidRPr="00200E64" w14:paraId="708A65E5" w14:textId="77777777" w:rsidTr="00CB6255">
        <w:tc>
          <w:tcPr>
            <w:tcW w:w="0" w:type="auto"/>
            <w:hideMark/>
          </w:tcPr>
          <w:p w14:paraId="31B3CF95"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3D</w:t>
            </w:r>
          </w:p>
        </w:tc>
        <w:tc>
          <w:tcPr>
            <w:tcW w:w="0" w:type="auto"/>
            <w:hideMark/>
          </w:tcPr>
          <w:p w14:paraId="5A2F51AE"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3D training involves constant movement in a controlled, fluid, repetitive way through all three spatial planes or dimensions (forward and back, side to side, and up and down). Tai Chi and Qi Gong incorporate specific weight transferences and require upright posture and subtle changes of head position and gaze direction. Dance involves a wide range of dynamic movement qualities, speeds and patterns</w:t>
            </w:r>
          </w:p>
        </w:tc>
        <w:tc>
          <w:tcPr>
            <w:tcW w:w="0" w:type="auto"/>
            <w:hideMark/>
          </w:tcPr>
          <w:p w14:paraId="645D7625"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Selected as exercise category if the intervention involved Tai Chi or dance. Selected as primary category for interventions where the intervention focus and most time spent was on exercise in this category</w:t>
            </w:r>
          </w:p>
        </w:tc>
      </w:tr>
      <w:tr w:rsidR="00200E64" w:rsidRPr="00200E64" w14:paraId="658BE0F4" w14:textId="77777777" w:rsidTr="00CB6255">
        <w:tc>
          <w:tcPr>
            <w:tcW w:w="0" w:type="auto"/>
            <w:hideMark/>
          </w:tcPr>
          <w:p w14:paraId="0873F715"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General physical activity</w:t>
            </w:r>
          </w:p>
        </w:tc>
        <w:tc>
          <w:tcPr>
            <w:tcW w:w="0" w:type="auto"/>
            <w:hideMark/>
          </w:tcPr>
          <w:p w14:paraId="63DAA1E4"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Physical activity is any bodily movement produced by skeletal muscle contraction resulting in a substantial increase in energy expenditure. Physical activity has both occupational, transportation and recreational components and includes pursuits like golf, tennis, and swimming. It also includes other active pastimes like gardening, cutting wood, and carpentry. Physical activity can provide progressive health benefits and is a catalyst for improving health attitudes, health habits, and lifestyle. Increasing habitual physical activity should be with specific recommendations as to duration, frequency and intensity if a physical or mental health improvement is indicated</w:t>
            </w:r>
          </w:p>
        </w:tc>
        <w:tc>
          <w:tcPr>
            <w:tcW w:w="0" w:type="auto"/>
            <w:hideMark/>
          </w:tcPr>
          <w:p w14:paraId="558189AF"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Selected as exercise category if the intervention included unstructured physical activity. We classed programmes that included unstructured walking as this category. Selected as primary category for interventions where the intervention focus and most time spent was on exercise in this category</w:t>
            </w:r>
          </w:p>
        </w:tc>
      </w:tr>
      <w:tr w:rsidR="00200E64" w:rsidRPr="00200E64" w14:paraId="71728B73" w14:textId="77777777" w:rsidTr="00CB6255">
        <w:tc>
          <w:tcPr>
            <w:tcW w:w="0" w:type="auto"/>
            <w:hideMark/>
          </w:tcPr>
          <w:p w14:paraId="4241DD70"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Endurance</w:t>
            </w:r>
          </w:p>
        </w:tc>
        <w:tc>
          <w:tcPr>
            <w:tcW w:w="0" w:type="auto"/>
            <w:hideMark/>
          </w:tcPr>
          <w:p w14:paraId="73D8E1A2"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 xml:space="preserve">Endurance training is aimed at cardiovascular conditioning and is aerobic in nature and simultaneously </w:t>
            </w:r>
            <w:r w:rsidRPr="00200E64">
              <w:rPr>
                <w:rFonts w:ascii="Times New Roman" w:hAnsi="Times New Roman" w:cs="Times New Roman"/>
                <w:color w:val="000000" w:themeColor="text1"/>
                <w:sz w:val="24"/>
                <w:szCs w:val="24"/>
                <w:lang w:val="en-AU"/>
              </w:rPr>
              <w:lastRenderedPageBreak/>
              <w:t>increases the heart rate and the return of blood to the heart</w:t>
            </w:r>
          </w:p>
        </w:tc>
        <w:tc>
          <w:tcPr>
            <w:tcW w:w="0" w:type="auto"/>
            <w:hideMark/>
          </w:tcPr>
          <w:p w14:paraId="6254FCC9"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lastRenderedPageBreak/>
              <w:t xml:space="preserve">Selected as exercise category if the intervention focused on structured aerobic training. We classed </w:t>
            </w:r>
            <w:r w:rsidRPr="00200E64">
              <w:rPr>
                <w:rFonts w:ascii="Times New Roman" w:hAnsi="Times New Roman" w:cs="Times New Roman"/>
                <w:color w:val="000000" w:themeColor="text1"/>
                <w:sz w:val="24"/>
                <w:szCs w:val="24"/>
                <w:lang w:val="en-AU"/>
              </w:rPr>
              <w:lastRenderedPageBreak/>
              <w:t>programmes that included treadmill walking as this category. Selected as primary category for interventions where the intervention focus and most time spent was on exercise in this category</w:t>
            </w:r>
          </w:p>
        </w:tc>
      </w:tr>
      <w:tr w:rsidR="00200E64" w:rsidRPr="00200E64" w14:paraId="1F9E2690" w14:textId="77777777" w:rsidTr="00CB6255">
        <w:tc>
          <w:tcPr>
            <w:tcW w:w="0" w:type="auto"/>
            <w:hideMark/>
          </w:tcPr>
          <w:p w14:paraId="525CB236"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lastRenderedPageBreak/>
              <w:t>Other</w:t>
            </w:r>
          </w:p>
        </w:tc>
        <w:tc>
          <w:tcPr>
            <w:tcW w:w="0" w:type="auto"/>
            <w:hideMark/>
          </w:tcPr>
          <w:p w14:paraId="492DB023"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Other kinds of exercises not described</w:t>
            </w:r>
          </w:p>
        </w:tc>
        <w:tc>
          <w:tcPr>
            <w:tcW w:w="0" w:type="auto"/>
            <w:hideMark/>
          </w:tcPr>
          <w:p w14:paraId="78CB057B" w14:textId="77777777"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Selected as exercise category if the intervention did not meet the other categories listed and where the intervention focus and most time spent was on exercise in this category</w:t>
            </w:r>
          </w:p>
        </w:tc>
      </w:tr>
      <w:tr w:rsidR="00200E64" w:rsidRPr="00200E64" w14:paraId="7EA75DED" w14:textId="77777777" w:rsidTr="00CB6255">
        <w:tc>
          <w:tcPr>
            <w:tcW w:w="0" w:type="auto"/>
            <w:gridSpan w:val="3"/>
          </w:tcPr>
          <w:p w14:paraId="113A24ED" w14:textId="759A7E01" w:rsidR="00200E64" w:rsidRPr="00200E64" w:rsidRDefault="00200E64" w:rsidP="00200E64">
            <w:pPr>
              <w:spacing w:before="100" w:beforeAutospacing="1" w:after="100" w:afterAutospacing="1" w:line="240" w:lineRule="auto"/>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vertAlign w:val="superscript"/>
                <w:lang w:val="en-AU"/>
              </w:rPr>
              <w:t>a</w:t>
            </w:r>
            <w:r w:rsidR="00DB7A5E" w:rsidRPr="00C77B2F">
              <w:rPr>
                <w:rFonts w:ascii="Times New Roman" w:hAnsi="Times New Roman" w:cs="Times New Roman"/>
                <w:color w:val="000000" w:themeColor="text1"/>
              </w:rPr>
              <w:t xml:space="preserve"> </w:t>
            </w:r>
            <w:proofErr w:type="gramStart"/>
            <w:r w:rsidR="00DB7A5E">
              <w:rPr>
                <w:rFonts w:ascii="Times New Roman" w:hAnsi="Times New Roman" w:cs="Times New Roman"/>
                <w:color w:val="000000" w:themeColor="text1"/>
              </w:rPr>
              <w:t>In</w:t>
            </w:r>
            <w:proofErr w:type="gramEnd"/>
            <w:r w:rsidR="00DB7A5E">
              <w:rPr>
                <w:rFonts w:ascii="Times New Roman" w:hAnsi="Times New Roman" w:cs="Times New Roman"/>
                <w:color w:val="000000" w:themeColor="text1"/>
              </w:rPr>
              <w:t xml:space="preserve"> addition to the categories described above, we </w:t>
            </w:r>
            <w:r w:rsidR="00DB7A5E" w:rsidRPr="00C77B2F">
              <w:rPr>
                <w:rFonts w:ascii="Times New Roman" w:hAnsi="Times New Roman" w:cs="Times New Roman"/>
                <w:color w:val="000000" w:themeColor="text1"/>
              </w:rPr>
              <w:t>also considered whether the exercise explicitly included bone loading (e.g., hopping or heel drops).</w:t>
            </w:r>
          </w:p>
        </w:tc>
      </w:tr>
    </w:tbl>
    <w:p w14:paraId="75CB5863" w14:textId="77777777" w:rsidR="00200E64" w:rsidRPr="00200E64" w:rsidRDefault="00200E64" w:rsidP="00200E64">
      <w:pPr>
        <w:tabs>
          <w:tab w:val="left" w:pos="2365"/>
        </w:tabs>
        <w:spacing w:before="100" w:beforeAutospacing="1" w:after="100" w:afterAutospacing="1"/>
        <w:rPr>
          <w:rFonts w:ascii="Times New Roman" w:hAnsi="Times New Roman" w:cs="Times New Roman"/>
          <w:color w:val="000000" w:themeColor="text1"/>
          <w:sz w:val="24"/>
          <w:szCs w:val="24"/>
          <w:lang w:val="en-AU"/>
        </w:rPr>
      </w:pPr>
      <w:r w:rsidRPr="00200E64">
        <w:rPr>
          <w:rFonts w:ascii="Times New Roman" w:hAnsi="Times New Roman" w:cs="Times New Roman"/>
          <w:color w:val="000000" w:themeColor="text1"/>
          <w:sz w:val="24"/>
          <w:szCs w:val="24"/>
          <w:lang w:val="en-AU"/>
        </w:rPr>
        <w:tab/>
      </w:r>
    </w:p>
    <w:p w14:paraId="150AC195" w14:textId="77777777" w:rsidR="00200E64" w:rsidRPr="00BE4753" w:rsidRDefault="00200E64" w:rsidP="00200E64">
      <w:pPr>
        <w:rPr>
          <w:rFonts w:ascii="Calibri" w:hAnsi="Calibri"/>
          <w:sz w:val="24"/>
          <w:szCs w:val="24"/>
          <w:lang w:val="en-AU"/>
        </w:rPr>
      </w:pPr>
    </w:p>
    <w:p w14:paraId="58B12F18" w14:textId="77777777" w:rsidR="00200E64" w:rsidRPr="00BE4753" w:rsidRDefault="00200E64" w:rsidP="00200E64">
      <w:pPr>
        <w:spacing w:after="120" w:line="264" w:lineRule="auto"/>
        <w:rPr>
          <w:rFonts w:ascii="Calibri" w:hAnsi="Calibri" w:cs="Calibri"/>
          <w:b/>
          <w:color w:val="000000"/>
          <w:sz w:val="24"/>
          <w:szCs w:val="24"/>
          <w:lang w:val="en-AU"/>
        </w:rPr>
      </w:pPr>
    </w:p>
    <w:p w14:paraId="530DF23D" w14:textId="2E9170E0" w:rsidR="00D946B6" w:rsidRPr="00200E64" w:rsidRDefault="00D946B6" w:rsidP="0015502D">
      <w:pPr>
        <w:spacing w:after="120" w:line="264" w:lineRule="auto"/>
        <w:rPr>
          <w:lang w:val="en-AU"/>
        </w:rPr>
      </w:pPr>
    </w:p>
    <w:sectPr w:rsidR="00D946B6" w:rsidRPr="00200E64" w:rsidSect="00B3347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E64"/>
    <w:rsid w:val="00057096"/>
    <w:rsid w:val="00132ACC"/>
    <w:rsid w:val="00133A0A"/>
    <w:rsid w:val="0015502D"/>
    <w:rsid w:val="001712F5"/>
    <w:rsid w:val="001E0ECB"/>
    <w:rsid w:val="00200E64"/>
    <w:rsid w:val="0047428F"/>
    <w:rsid w:val="00597362"/>
    <w:rsid w:val="005A7A5E"/>
    <w:rsid w:val="0067689E"/>
    <w:rsid w:val="007224FD"/>
    <w:rsid w:val="007D14E9"/>
    <w:rsid w:val="008572AA"/>
    <w:rsid w:val="00877CE0"/>
    <w:rsid w:val="008B2638"/>
    <w:rsid w:val="00AE29B3"/>
    <w:rsid w:val="00B33474"/>
    <w:rsid w:val="00B97B89"/>
    <w:rsid w:val="00C82BCB"/>
    <w:rsid w:val="00CE5A92"/>
    <w:rsid w:val="00D15132"/>
    <w:rsid w:val="00D22D11"/>
    <w:rsid w:val="00D2553B"/>
    <w:rsid w:val="00D61BA6"/>
    <w:rsid w:val="00D946B6"/>
    <w:rsid w:val="00DB7A5E"/>
    <w:rsid w:val="00E671E8"/>
    <w:rsid w:val="00E960A1"/>
    <w:rsid w:val="00EA6B43"/>
    <w:rsid w:val="00EC68D8"/>
    <w:rsid w:val="00FD37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83818B2"/>
  <w15:chartTrackingRefBased/>
  <w15:docId w15:val="{47D1F5AE-26C2-A247-9740-7FD81AD3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E64"/>
    <w:rPr>
      <w:rFonts w:eastAsiaTheme="minorEastAsia"/>
      <w:sz w:val="20"/>
      <w:szCs w:val="21"/>
      <w:lang w:val="en-US"/>
    </w:rPr>
  </w:style>
  <w:style w:type="paragraph" w:styleId="Heading1">
    <w:name w:val="heading 1"/>
    <w:basedOn w:val="Normal"/>
    <w:next w:val="Normal"/>
    <w:link w:val="Heading1Char"/>
    <w:uiPriority w:val="9"/>
    <w:qFormat/>
    <w:rsid w:val="00200E64"/>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0E64"/>
    <w:rPr>
      <w:rFonts w:asciiTheme="majorHAnsi" w:eastAsiaTheme="majorEastAsia" w:hAnsiTheme="majorHAnsi" w:cstheme="majorBidi"/>
      <w:color w:val="2F5496" w:themeColor="accent1" w:themeShade="BF"/>
      <w:sz w:val="36"/>
      <w:szCs w:val="36"/>
      <w:lang w:val="en-US"/>
    </w:rPr>
  </w:style>
  <w:style w:type="table" w:styleId="TableGrid">
    <w:name w:val="Table Grid"/>
    <w:basedOn w:val="TableNormal"/>
    <w:uiPriority w:val="39"/>
    <w:rsid w:val="00200E64"/>
    <w:pPr>
      <w:spacing w:after="120" w:line="264" w:lineRule="auto"/>
    </w:pPr>
    <w:rPr>
      <w:rFonts w:eastAsiaTheme="minorEastAsia"/>
      <w:sz w:val="21"/>
      <w:szCs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0E6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0E64"/>
    <w:rPr>
      <w:rFonts w:ascii="Times New Roman" w:eastAsiaTheme="minorEastAsia"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843</Words>
  <Characters>4810</Characters>
  <Application>Microsoft Office Word</Application>
  <DocSecurity>0</DocSecurity>
  <Lines>40</Lines>
  <Paragraphs>11</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De Barros Pinheiro</dc:creator>
  <cp:keywords/>
  <dc:description/>
  <cp:lastModifiedBy>Marina De Barros Pinheiro</cp:lastModifiedBy>
  <cp:revision>4</cp:revision>
  <dcterms:created xsi:type="dcterms:W3CDTF">2020-05-11T04:45:00Z</dcterms:created>
  <dcterms:modified xsi:type="dcterms:W3CDTF">2020-05-13T04:11:00Z</dcterms:modified>
</cp:coreProperties>
</file>