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FFC" w:rsidRPr="00BE5FB6" w:rsidRDefault="008060C4" w:rsidP="00325FFC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Additional t</w:t>
      </w:r>
      <w:bookmarkStart w:id="0" w:name="_GoBack"/>
      <w:bookmarkEnd w:id="0"/>
      <w:r w:rsidR="00325FFC">
        <w:rPr>
          <w:rFonts w:ascii="Times New Roman" w:eastAsia="Calibri" w:hAnsi="Times New Roman" w:cs="Times New Roman"/>
          <w:sz w:val="24"/>
          <w:szCs w:val="24"/>
        </w:rPr>
        <w:t xml:space="preserve">able </w:t>
      </w:r>
      <w:r w:rsidR="00325FFC" w:rsidRPr="00E6653F">
        <w:rPr>
          <w:rFonts w:ascii="Times New Roman" w:eastAsia="Calibri" w:hAnsi="Times New Roman" w:cs="Times New Roman"/>
          <w:sz w:val="24"/>
          <w:szCs w:val="24"/>
        </w:rPr>
        <w:t>2.</w:t>
      </w:r>
      <w:r w:rsidR="00325FFC" w:rsidRPr="00BE5F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25FFC" w:rsidRPr="00BE5FB6">
        <w:rPr>
          <w:rFonts w:ascii="Times New Roman" w:eastAsia="Calibri" w:hAnsi="Times New Roman" w:cs="Times New Roman"/>
          <w:sz w:val="24"/>
          <w:szCs w:val="24"/>
        </w:rPr>
        <w:t xml:space="preserve">Participant </w:t>
      </w:r>
      <w:r w:rsidR="00325FFC">
        <w:rPr>
          <w:rFonts w:ascii="Times New Roman" w:eastAsia="Calibri" w:hAnsi="Times New Roman" w:cs="Times New Roman"/>
          <w:sz w:val="24"/>
          <w:szCs w:val="24"/>
        </w:rPr>
        <w:t xml:space="preserve">concomitant </w:t>
      </w:r>
      <w:r w:rsidR="00325FFC" w:rsidRPr="00BE5FB6">
        <w:rPr>
          <w:rFonts w:ascii="Times New Roman" w:eastAsia="Calibri" w:hAnsi="Times New Roman" w:cs="Times New Roman"/>
          <w:sz w:val="24"/>
          <w:szCs w:val="24"/>
        </w:rPr>
        <w:t>medication</w:t>
      </w:r>
      <w:r w:rsidR="00325FFC">
        <w:rPr>
          <w:rFonts w:ascii="Times New Roman" w:eastAsia="Calibri" w:hAnsi="Times New Roman" w:cs="Times New Roman"/>
          <w:sz w:val="24"/>
          <w:szCs w:val="24"/>
        </w:rPr>
        <w:t xml:space="preserve">s. </w:t>
      </w: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2073"/>
      </w:tblGrid>
      <w:tr w:rsidR="00325FFC" w:rsidRPr="00BE5FB6" w:rsidTr="00BA59A1">
        <w:trPr>
          <w:trHeight w:val="603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Medication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325FFC" w:rsidRPr="00BE5FB6" w:rsidTr="00BA59A1">
        <w:trPr>
          <w:trHeight w:val="257"/>
        </w:trPr>
        <w:tc>
          <w:tcPr>
            <w:tcW w:w="4956" w:type="dxa"/>
            <w:tcBorders>
              <w:top w:val="single" w:sz="4" w:space="0" w:color="auto"/>
              <w:bottom w:val="nil"/>
            </w:tcBorders>
            <w:vAlign w:val="center"/>
          </w:tcPr>
          <w:p w:rsidR="00325FFC" w:rsidRPr="00BE5FB6" w:rsidRDefault="00325FFC" w:rsidP="00325FFC">
            <w:pPr>
              <w:spacing w:before="24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Angiotensin II receptor blockers</w:t>
            </w:r>
          </w:p>
        </w:tc>
        <w:tc>
          <w:tcPr>
            <w:tcW w:w="2073" w:type="dxa"/>
            <w:tcBorders>
              <w:top w:val="single" w:sz="4" w:space="0" w:color="auto"/>
              <w:bottom w:val="nil"/>
            </w:tcBorders>
            <w:vAlign w:val="center"/>
          </w:tcPr>
          <w:p w:rsidR="00325FFC" w:rsidRPr="00BE5FB6" w:rsidRDefault="00325FFC" w:rsidP="00325FFC">
            <w:pPr>
              <w:spacing w:before="24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12 (18%)</w:t>
            </w:r>
          </w:p>
        </w:tc>
      </w:tr>
      <w:tr w:rsidR="00325FFC" w:rsidRPr="00BE5FB6" w:rsidTr="00BA59A1">
        <w:trPr>
          <w:trHeight w:val="257"/>
        </w:trPr>
        <w:tc>
          <w:tcPr>
            <w:tcW w:w="4956" w:type="dxa"/>
            <w:tcBorders>
              <w:top w:val="nil"/>
            </w:tcBorders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Calcium channel blockers</w:t>
            </w:r>
          </w:p>
        </w:tc>
        <w:tc>
          <w:tcPr>
            <w:tcW w:w="2073" w:type="dxa"/>
            <w:tcBorders>
              <w:top w:val="nil"/>
            </w:tcBorders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8 (12%)</w:t>
            </w:r>
          </w:p>
        </w:tc>
      </w:tr>
      <w:tr w:rsidR="00325FFC" w:rsidRPr="00BE5FB6" w:rsidTr="00BA59A1">
        <w:trPr>
          <w:trHeight w:val="257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Angiotensin converting enzyme inhibitors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5 (7%)</w:t>
            </w:r>
          </w:p>
        </w:tc>
      </w:tr>
      <w:tr w:rsidR="00325FFC" w:rsidRPr="00BE5FB6" w:rsidTr="00BA59A1">
        <w:trPr>
          <w:trHeight w:val="257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Proton pump inhibitor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4 (6%)</w:t>
            </w:r>
          </w:p>
        </w:tc>
      </w:tr>
      <w:tr w:rsidR="00325FFC" w:rsidRPr="00BE5FB6" w:rsidTr="00BA59A1">
        <w:trPr>
          <w:trHeight w:val="257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Non-steroidal anti-inflammatory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4 (6%)</w:t>
            </w:r>
          </w:p>
        </w:tc>
      </w:tr>
      <w:tr w:rsidR="00325FFC" w:rsidRPr="00BE5FB6" w:rsidTr="00BA59A1">
        <w:trPr>
          <w:trHeight w:val="257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Thyroxine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3 (4%)</w:t>
            </w:r>
          </w:p>
        </w:tc>
      </w:tr>
      <w:tr w:rsidR="00325FFC" w:rsidRPr="00BE5FB6" w:rsidTr="00BA59A1">
        <w:trPr>
          <w:trHeight w:val="257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Diuretic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2 (3%)</w:t>
            </w:r>
          </w:p>
        </w:tc>
      </w:tr>
      <w:tr w:rsidR="00325FFC" w:rsidRPr="00BE5FB6" w:rsidTr="00BA59A1">
        <w:trPr>
          <w:trHeight w:val="257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Bronchodilator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3 (4%)</w:t>
            </w:r>
          </w:p>
        </w:tc>
      </w:tr>
      <w:tr w:rsidR="00325FFC" w:rsidRPr="00BE5FB6" w:rsidTr="00BA59A1">
        <w:trPr>
          <w:trHeight w:val="257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5-alpha reductase enzyme inhibitor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2 (3%)</w:t>
            </w:r>
          </w:p>
        </w:tc>
      </w:tr>
      <w:tr w:rsidR="00325FFC" w:rsidRPr="00BE5FB6" w:rsidTr="00BA59A1">
        <w:trPr>
          <w:trHeight w:val="80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Alpha-blocker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2 (3%)</w:t>
            </w:r>
          </w:p>
        </w:tc>
      </w:tr>
      <w:tr w:rsidR="00325FFC" w:rsidRPr="00BE5FB6" w:rsidTr="00BA59A1">
        <w:trPr>
          <w:trHeight w:val="80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Hormonal replacement therapy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1 (1%)</w:t>
            </w:r>
          </w:p>
        </w:tc>
      </w:tr>
      <w:tr w:rsidR="00325FFC" w:rsidRPr="00BE5FB6" w:rsidTr="00BA59A1">
        <w:trPr>
          <w:trHeight w:val="80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Anticonvulsant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1 (1%)</w:t>
            </w:r>
          </w:p>
        </w:tc>
      </w:tr>
      <w:tr w:rsidR="00325FFC" w:rsidRPr="00BE5FB6" w:rsidTr="00BA59A1">
        <w:trPr>
          <w:trHeight w:val="80"/>
        </w:trPr>
        <w:tc>
          <w:tcPr>
            <w:tcW w:w="4956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Inhaled corticosteroid</w:t>
            </w:r>
          </w:p>
        </w:tc>
        <w:tc>
          <w:tcPr>
            <w:tcW w:w="2073" w:type="dxa"/>
            <w:vAlign w:val="center"/>
          </w:tcPr>
          <w:p w:rsidR="00325FFC" w:rsidRPr="00BE5FB6" w:rsidRDefault="00325FFC" w:rsidP="00325FF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FB6">
              <w:rPr>
                <w:rFonts w:ascii="Times New Roman" w:eastAsia="Calibri" w:hAnsi="Times New Roman" w:cs="Times New Roman"/>
                <w:sz w:val="24"/>
                <w:szCs w:val="24"/>
              </w:rPr>
              <w:t>1 (1%)</w:t>
            </w:r>
          </w:p>
        </w:tc>
      </w:tr>
    </w:tbl>
    <w:p w:rsidR="00325FFC" w:rsidRDefault="00325FFC" w:rsidP="00325FF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93" w:rsidRDefault="00B51093"/>
    <w:sectPr w:rsidR="00B51093" w:rsidSect="00325FF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FC"/>
    <w:rsid w:val="00325FFC"/>
    <w:rsid w:val="008060C4"/>
    <w:rsid w:val="00B51093"/>
    <w:rsid w:val="00F5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DD616"/>
  <w15:chartTrackingRefBased/>
  <w15:docId w15:val="{E3524017-30BF-45AC-98F5-D0C59CE4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25FFC"/>
  </w:style>
  <w:style w:type="table" w:customStyle="1" w:styleId="TableGrid1">
    <w:name w:val="Table Grid1"/>
    <w:basedOn w:val="TableNormal"/>
    <w:next w:val="TableGrid"/>
    <w:uiPriority w:val="39"/>
    <w:rsid w:val="0032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2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Australia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Wheeler</dc:creator>
  <cp:keywords/>
  <dc:description/>
  <cp:lastModifiedBy>Michael Wheeler</cp:lastModifiedBy>
  <cp:revision>2</cp:revision>
  <dcterms:created xsi:type="dcterms:W3CDTF">2019-08-18T10:03:00Z</dcterms:created>
  <dcterms:modified xsi:type="dcterms:W3CDTF">2020-03-09T05:58:00Z</dcterms:modified>
</cp:coreProperties>
</file>