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F6403" w14:textId="030E3C9B" w:rsidR="008302FB" w:rsidRPr="00744BB6" w:rsidRDefault="008302FB" w:rsidP="008302FB">
      <w:pPr>
        <w:rPr>
          <w:color w:val="000000" w:themeColor="text1"/>
          <w:lang w:val="en-US"/>
        </w:rPr>
      </w:pPr>
      <w:bookmarkStart w:id="0" w:name="_GoBack"/>
      <w:bookmarkEnd w:id="0"/>
      <w:r w:rsidRPr="00A811A5">
        <w:rPr>
          <w:b/>
          <w:color w:val="000000" w:themeColor="text1"/>
          <w:lang w:val="en-US"/>
        </w:rPr>
        <w:t>Supplementary</w:t>
      </w:r>
      <w:r>
        <w:rPr>
          <w:b/>
          <w:color w:val="000000" w:themeColor="text1"/>
          <w:lang w:val="en-US"/>
        </w:rPr>
        <w:t xml:space="preserve"> Table</w:t>
      </w:r>
      <w:r w:rsidRPr="00A811A5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  <w:lang w:val="en-US"/>
        </w:rPr>
        <w:t>7</w:t>
      </w:r>
      <w:r w:rsidRPr="00A811A5">
        <w:rPr>
          <w:b/>
          <w:color w:val="000000" w:themeColor="text1"/>
          <w:lang w:val="en-US"/>
        </w:rPr>
        <w:t xml:space="preserve">. </w:t>
      </w:r>
      <w:r>
        <w:rPr>
          <w:b/>
          <w:szCs w:val="24"/>
          <w:lang w:val="en-US"/>
        </w:rPr>
        <w:t xml:space="preserve">Methodological </w:t>
      </w:r>
      <w:r w:rsidR="005230E1">
        <w:rPr>
          <w:b/>
          <w:szCs w:val="24"/>
          <w:lang w:val="en-US"/>
        </w:rPr>
        <w:t>q</w:t>
      </w:r>
      <w:r>
        <w:rPr>
          <w:b/>
          <w:szCs w:val="24"/>
          <w:lang w:val="en-US"/>
        </w:rPr>
        <w:t xml:space="preserve">uality of </w:t>
      </w:r>
      <w:r w:rsidR="005230E1">
        <w:rPr>
          <w:b/>
          <w:szCs w:val="24"/>
          <w:lang w:val="en-US"/>
        </w:rPr>
        <w:t>included s</w:t>
      </w:r>
      <w:r>
        <w:rPr>
          <w:b/>
          <w:szCs w:val="24"/>
          <w:lang w:val="en-US"/>
        </w:rPr>
        <w:t>tudies.</w:t>
      </w:r>
    </w:p>
    <w:tbl>
      <w:tblPr>
        <w:tblStyle w:val="Tabelraster"/>
        <w:tblW w:w="14736" w:type="dxa"/>
        <w:tblInd w:w="0" w:type="dxa"/>
        <w:tblLook w:val="04A0" w:firstRow="1" w:lastRow="0" w:firstColumn="1" w:lastColumn="0" w:noHBand="0" w:noVBand="1"/>
      </w:tblPr>
      <w:tblGrid>
        <w:gridCol w:w="2547"/>
        <w:gridCol w:w="1275"/>
        <w:gridCol w:w="851"/>
        <w:gridCol w:w="1559"/>
        <w:gridCol w:w="1276"/>
        <w:gridCol w:w="1700"/>
        <w:gridCol w:w="1620"/>
        <w:gridCol w:w="1498"/>
        <w:gridCol w:w="1132"/>
        <w:gridCol w:w="22"/>
        <w:gridCol w:w="1256"/>
      </w:tblGrid>
      <w:tr w:rsidR="008302FB" w:rsidRPr="00693379" w14:paraId="5C8BD8D1" w14:textId="77777777" w:rsidTr="00A61162">
        <w:tc>
          <w:tcPr>
            <w:tcW w:w="2547" w:type="dxa"/>
          </w:tcPr>
          <w:p w14:paraId="63ECA247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275" w:type="dxa"/>
          </w:tcPr>
          <w:p w14:paraId="081A59CF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A Selection Bias</w:t>
            </w:r>
          </w:p>
        </w:tc>
        <w:tc>
          <w:tcPr>
            <w:tcW w:w="851" w:type="dxa"/>
          </w:tcPr>
          <w:p w14:paraId="75F40FC5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B Study Design</w:t>
            </w:r>
          </w:p>
        </w:tc>
        <w:tc>
          <w:tcPr>
            <w:tcW w:w="1559" w:type="dxa"/>
          </w:tcPr>
          <w:p w14:paraId="2F0DF3E6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C Confounders</w:t>
            </w:r>
          </w:p>
        </w:tc>
        <w:tc>
          <w:tcPr>
            <w:tcW w:w="1276" w:type="dxa"/>
          </w:tcPr>
          <w:p w14:paraId="455297CB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D Blinding</w:t>
            </w:r>
            <w:r w:rsidRPr="00693379">
              <w:rPr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0" w:type="dxa"/>
          </w:tcPr>
          <w:p w14:paraId="0C962D67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E Data Collection Methods</w:t>
            </w:r>
          </w:p>
        </w:tc>
        <w:tc>
          <w:tcPr>
            <w:tcW w:w="1620" w:type="dxa"/>
          </w:tcPr>
          <w:p w14:paraId="7858760C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  <w:lang w:val="en-US"/>
              </w:rPr>
              <w:t>F Withdrawals and Drop-outs</w:t>
            </w:r>
          </w:p>
        </w:tc>
        <w:tc>
          <w:tcPr>
            <w:tcW w:w="1498" w:type="dxa"/>
          </w:tcPr>
          <w:p w14:paraId="74B59BF3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G Intervention Integrity</w:t>
            </w:r>
            <w:r w:rsidRPr="00693379">
              <w:rPr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2" w:type="dxa"/>
          </w:tcPr>
          <w:p w14:paraId="762CA133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H Analysis</w:t>
            </w:r>
          </w:p>
        </w:tc>
        <w:tc>
          <w:tcPr>
            <w:tcW w:w="1278" w:type="dxa"/>
            <w:gridSpan w:val="2"/>
          </w:tcPr>
          <w:p w14:paraId="29311F55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Overall Score</w:t>
            </w:r>
          </w:p>
        </w:tc>
      </w:tr>
      <w:tr w:rsidR="008302FB" w:rsidRPr="00693379" w14:paraId="1C5A5FA8" w14:textId="77777777" w:rsidTr="00A61162">
        <w:tc>
          <w:tcPr>
            <w:tcW w:w="14736" w:type="dxa"/>
            <w:gridSpan w:val="11"/>
          </w:tcPr>
          <w:p w14:paraId="7C09BB10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Body Composition</w:t>
            </w:r>
          </w:p>
        </w:tc>
      </w:tr>
      <w:tr w:rsidR="008302FB" w:rsidRPr="00693379" w14:paraId="59D038CD" w14:textId="77777777" w:rsidTr="00A61162">
        <w:tc>
          <w:tcPr>
            <w:tcW w:w="2547" w:type="dxa"/>
          </w:tcPr>
          <w:p w14:paraId="521479D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Carter et al. 2011</w:t>
            </w:r>
          </w:p>
        </w:tc>
        <w:tc>
          <w:tcPr>
            <w:tcW w:w="1275" w:type="dxa"/>
          </w:tcPr>
          <w:p w14:paraId="7692DD5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B42EB5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514C19A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6" w:type="dxa"/>
          </w:tcPr>
          <w:p w14:paraId="6F806DB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2CFEB83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42EEC83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8" w:type="dxa"/>
          </w:tcPr>
          <w:p w14:paraId="5D83A77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1EBC76F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3F2DC44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693379" w14:paraId="7260F400" w14:textId="77777777" w:rsidTr="00A61162">
        <w:tc>
          <w:tcPr>
            <w:tcW w:w="2547" w:type="dxa"/>
          </w:tcPr>
          <w:p w14:paraId="241FFC3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De Coen et al. 2013</w:t>
            </w:r>
          </w:p>
        </w:tc>
        <w:tc>
          <w:tcPr>
            <w:tcW w:w="1275" w:type="dxa"/>
          </w:tcPr>
          <w:p w14:paraId="7A1BD1D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184D718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6E0A2F9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17D1DB3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68D317D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05470EB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120C5A6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7EF3CAD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69B8D21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693379" w14:paraId="774968BF" w14:textId="77777777" w:rsidTr="00A61162">
        <w:tc>
          <w:tcPr>
            <w:tcW w:w="2547" w:type="dxa"/>
          </w:tcPr>
          <w:p w14:paraId="0C7DABE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Jago et al. 2005</w:t>
            </w:r>
          </w:p>
        </w:tc>
        <w:tc>
          <w:tcPr>
            <w:tcW w:w="1275" w:type="dxa"/>
          </w:tcPr>
          <w:p w14:paraId="4C39436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4BDB382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3407294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11C7909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3001C33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4EAC270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3D62C50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112EB82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485B72A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693379" w14:paraId="4CDE0393" w14:textId="77777777" w:rsidTr="00A61162">
        <w:tc>
          <w:tcPr>
            <w:tcW w:w="2547" w:type="dxa"/>
          </w:tcPr>
          <w:p w14:paraId="5644548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Metcalf et al. 2008</w:t>
            </w:r>
          </w:p>
        </w:tc>
        <w:tc>
          <w:tcPr>
            <w:tcW w:w="1275" w:type="dxa"/>
          </w:tcPr>
          <w:p w14:paraId="166CBE7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51" w:type="dxa"/>
          </w:tcPr>
          <w:p w14:paraId="64D32D1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14750FF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6" w:type="dxa"/>
          </w:tcPr>
          <w:p w14:paraId="69F1427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678F34E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7BEE71A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058B737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51D9FEB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6" w:type="dxa"/>
          </w:tcPr>
          <w:p w14:paraId="330E765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693379" w14:paraId="4896870E" w14:textId="77777777" w:rsidTr="00A61162">
        <w:tc>
          <w:tcPr>
            <w:tcW w:w="2547" w:type="dxa"/>
          </w:tcPr>
          <w:p w14:paraId="7C3C0BC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Saldanha-Gomes et al. 2017</w:t>
            </w:r>
          </w:p>
        </w:tc>
        <w:tc>
          <w:tcPr>
            <w:tcW w:w="1275" w:type="dxa"/>
          </w:tcPr>
          <w:p w14:paraId="269D727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51" w:type="dxa"/>
          </w:tcPr>
          <w:p w14:paraId="013C311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7D34299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552CE88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36E0E0C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6C1CF1E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 xml:space="preserve">F  </w:t>
            </w:r>
          </w:p>
        </w:tc>
        <w:tc>
          <w:tcPr>
            <w:tcW w:w="1498" w:type="dxa"/>
          </w:tcPr>
          <w:p w14:paraId="2D7A596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49C3CC4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7781C60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693379" w14:paraId="5DCCA484" w14:textId="77777777" w:rsidTr="00A61162">
        <w:tc>
          <w:tcPr>
            <w:tcW w:w="2547" w:type="dxa"/>
          </w:tcPr>
          <w:p w14:paraId="51C80AD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Wells &amp; Ritz 2001</w:t>
            </w:r>
          </w:p>
        </w:tc>
        <w:tc>
          <w:tcPr>
            <w:tcW w:w="1275" w:type="dxa"/>
          </w:tcPr>
          <w:p w14:paraId="0253A88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5E750A2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4B133C1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3BF5C2A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5E39819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5F2E7B6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154081E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66C319F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65C8A77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693379" w14:paraId="4DA0A65C" w14:textId="77777777" w:rsidTr="00A61162">
        <w:tc>
          <w:tcPr>
            <w:tcW w:w="2547" w:type="dxa"/>
          </w:tcPr>
          <w:p w14:paraId="0ED04F9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Butte et al. 2016</w:t>
            </w:r>
          </w:p>
        </w:tc>
        <w:tc>
          <w:tcPr>
            <w:tcW w:w="1275" w:type="dxa"/>
          </w:tcPr>
          <w:p w14:paraId="688951E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718F2A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1321A65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0CF64D5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6002BDC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64366E3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172E999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71C7AB8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6" w:type="dxa"/>
          </w:tcPr>
          <w:p w14:paraId="140CE45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693379" w14:paraId="4C10AA88" w14:textId="77777777" w:rsidTr="00A61162">
        <w:tc>
          <w:tcPr>
            <w:tcW w:w="2547" w:type="dxa"/>
          </w:tcPr>
          <w:p w14:paraId="271AFF9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Ip et al. 2016</w:t>
            </w:r>
          </w:p>
        </w:tc>
        <w:tc>
          <w:tcPr>
            <w:tcW w:w="1275" w:type="dxa"/>
          </w:tcPr>
          <w:p w14:paraId="51CB704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04A0729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1A5920A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6" w:type="dxa"/>
          </w:tcPr>
          <w:p w14:paraId="6845EAE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5D506F2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71C5654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3CCBA93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6C277B0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6" w:type="dxa"/>
          </w:tcPr>
          <w:p w14:paraId="41A7591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693379" w14:paraId="0919BC60" w14:textId="77777777" w:rsidTr="00A61162">
        <w:tc>
          <w:tcPr>
            <w:tcW w:w="2547" w:type="dxa"/>
          </w:tcPr>
          <w:p w14:paraId="366AF69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Leppanen et al. 2017</w:t>
            </w:r>
          </w:p>
        </w:tc>
        <w:tc>
          <w:tcPr>
            <w:tcW w:w="1275" w:type="dxa"/>
          </w:tcPr>
          <w:p w14:paraId="4082571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353161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058283C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7B06884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44A769A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658D25B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8" w:type="dxa"/>
          </w:tcPr>
          <w:p w14:paraId="72ED264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0EE2B6E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2A909E6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693379" w14:paraId="40994469" w14:textId="77777777" w:rsidTr="00A61162">
        <w:tc>
          <w:tcPr>
            <w:tcW w:w="2547" w:type="dxa"/>
          </w:tcPr>
          <w:p w14:paraId="3B5C520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Moore et al. 2003</w:t>
            </w:r>
          </w:p>
        </w:tc>
        <w:tc>
          <w:tcPr>
            <w:tcW w:w="1275" w:type="dxa"/>
          </w:tcPr>
          <w:p w14:paraId="5FC3448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12A0B5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25032B2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6" w:type="dxa"/>
          </w:tcPr>
          <w:p w14:paraId="059B69B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363420B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08D8215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6684C38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0E4EDF1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6" w:type="dxa"/>
          </w:tcPr>
          <w:p w14:paraId="02D1AAF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693379" w14:paraId="4F9E8144" w14:textId="77777777" w:rsidTr="00A61162">
        <w:tc>
          <w:tcPr>
            <w:tcW w:w="2547" w:type="dxa"/>
          </w:tcPr>
          <w:p w14:paraId="52E2593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DuRant et al. 1993</w:t>
            </w:r>
          </w:p>
        </w:tc>
        <w:tc>
          <w:tcPr>
            <w:tcW w:w="1275" w:type="dxa"/>
          </w:tcPr>
          <w:p w14:paraId="5084B6F8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P</w:t>
            </w:r>
          </w:p>
        </w:tc>
        <w:tc>
          <w:tcPr>
            <w:tcW w:w="851" w:type="dxa"/>
          </w:tcPr>
          <w:p w14:paraId="0E6C1FD7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G</w:t>
            </w:r>
          </w:p>
        </w:tc>
        <w:tc>
          <w:tcPr>
            <w:tcW w:w="1559" w:type="dxa"/>
          </w:tcPr>
          <w:p w14:paraId="650E231E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P</w:t>
            </w:r>
          </w:p>
        </w:tc>
        <w:tc>
          <w:tcPr>
            <w:tcW w:w="1276" w:type="dxa"/>
          </w:tcPr>
          <w:p w14:paraId="6A660F96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N/A</w:t>
            </w:r>
          </w:p>
        </w:tc>
        <w:tc>
          <w:tcPr>
            <w:tcW w:w="1700" w:type="dxa"/>
          </w:tcPr>
          <w:p w14:paraId="6870D797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G</w:t>
            </w:r>
          </w:p>
        </w:tc>
        <w:tc>
          <w:tcPr>
            <w:tcW w:w="1620" w:type="dxa"/>
          </w:tcPr>
          <w:p w14:paraId="4C0B9D7D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F</w:t>
            </w:r>
          </w:p>
        </w:tc>
        <w:tc>
          <w:tcPr>
            <w:tcW w:w="1498" w:type="dxa"/>
          </w:tcPr>
          <w:p w14:paraId="74A591E2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N/A</w:t>
            </w:r>
          </w:p>
        </w:tc>
        <w:tc>
          <w:tcPr>
            <w:tcW w:w="1154" w:type="dxa"/>
            <w:gridSpan w:val="2"/>
          </w:tcPr>
          <w:p w14:paraId="0EDA8444" w14:textId="77777777" w:rsidR="008302FB" w:rsidRPr="00A1199D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A1199D">
              <w:rPr>
                <w:rFonts w:ascii="Calibri" w:hAnsi="Calibri"/>
                <w:color w:val="000000"/>
                <w:sz w:val="20"/>
              </w:rPr>
              <w:t>P</w:t>
            </w:r>
          </w:p>
        </w:tc>
        <w:tc>
          <w:tcPr>
            <w:tcW w:w="1256" w:type="dxa"/>
          </w:tcPr>
          <w:p w14:paraId="7010CD3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4D59CAD1" w14:textId="77777777" w:rsidTr="00A61162">
        <w:tc>
          <w:tcPr>
            <w:tcW w:w="2547" w:type="dxa"/>
          </w:tcPr>
          <w:p w14:paraId="0ED1DAF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Goldfield et al. 2016</w:t>
            </w:r>
          </w:p>
        </w:tc>
        <w:tc>
          <w:tcPr>
            <w:tcW w:w="1275" w:type="dxa"/>
          </w:tcPr>
          <w:p w14:paraId="23C9A6E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0A147A6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4EA7B74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132DEE3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64177C6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740C7AD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8" w:type="dxa"/>
          </w:tcPr>
          <w:p w14:paraId="1DD295B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32C6DCC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1211BBA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7B053954" w14:textId="77777777" w:rsidTr="00A61162">
        <w:tc>
          <w:tcPr>
            <w:tcW w:w="2547" w:type="dxa"/>
          </w:tcPr>
          <w:p w14:paraId="08C68E2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Krombholz et al. 2012</w:t>
            </w:r>
          </w:p>
        </w:tc>
        <w:tc>
          <w:tcPr>
            <w:tcW w:w="1275" w:type="dxa"/>
          </w:tcPr>
          <w:p w14:paraId="4447C93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10FFA13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39D8B17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491C1C8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568071F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18A1E12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1547AB1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797BC9A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6" w:type="dxa"/>
          </w:tcPr>
          <w:p w14:paraId="1CF4EBC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6B3D00E7" w14:textId="77777777" w:rsidTr="00A61162">
        <w:tc>
          <w:tcPr>
            <w:tcW w:w="2547" w:type="dxa"/>
          </w:tcPr>
          <w:p w14:paraId="1275532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Mo-suwam et al. 1998</w:t>
            </w:r>
          </w:p>
        </w:tc>
        <w:tc>
          <w:tcPr>
            <w:tcW w:w="1275" w:type="dxa"/>
          </w:tcPr>
          <w:p w14:paraId="3A0336D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285C8B4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01574E0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0D5A11D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536BBCD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6737CDD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8" w:type="dxa"/>
          </w:tcPr>
          <w:p w14:paraId="62DFC74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3DEDE94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6" w:type="dxa"/>
          </w:tcPr>
          <w:p w14:paraId="6B1A4E5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726A18EA" w14:textId="77777777" w:rsidTr="00A61162">
        <w:tc>
          <w:tcPr>
            <w:tcW w:w="2547" w:type="dxa"/>
          </w:tcPr>
          <w:p w14:paraId="1E5883E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Scheffler et al. 2007</w:t>
            </w:r>
          </w:p>
        </w:tc>
        <w:tc>
          <w:tcPr>
            <w:tcW w:w="1275" w:type="dxa"/>
          </w:tcPr>
          <w:p w14:paraId="44C8CA4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604B05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5CEE4D2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3D11BC1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6C6879D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7F16361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8" w:type="dxa"/>
          </w:tcPr>
          <w:p w14:paraId="12270C0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7F04DDA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6" w:type="dxa"/>
          </w:tcPr>
          <w:p w14:paraId="78B9291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2EB9F281" w14:textId="77777777" w:rsidTr="00A61162">
        <w:tc>
          <w:tcPr>
            <w:tcW w:w="14736" w:type="dxa"/>
            <w:gridSpan w:val="11"/>
          </w:tcPr>
          <w:p w14:paraId="6B4AC6CF" w14:textId="77777777" w:rsidR="008302FB" w:rsidRPr="00693379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693379">
              <w:rPr>
                <w:b/>
                <w:color w:val="000000" w:themeColor="text1"/>
                <w:sz w:val="20"/>
                <w:szCs w:val="20"/>
              </w:rPr>
              <w:t>Motor Development</w:t>
            </w:r>
          </w:p>
        </w:tc>
      </w:tr>
      <w:tr w:rsidR="008302FB" w:rsidRPr="00693379" w14:paraId="02A69F50" w14:textId="77777777" w:rsidTr="00A61162">
        <w:tc>
          <w:tcPr>
            <w:tcW w:w="2547" w:type="dxa"/>
          </w:tcPr>
          <w:p w14:paraId="2E9909B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Kuo et al. 2008</w:t>
            </w:r>
          </w:p>
        </w:tc>
        <w:tc>
          <w:tcPr>
            <w:tcW w:w="1275" w:type="dxa"/>
          </w:tcPr>
          <w:p w14:paraId="40169CE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3E8F1C1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1334AE9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6719A3D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0" w:type="dxa"/>
          </w:tcPr>
          <w:p w14:paraId="5DAFBE5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3A2692E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74DFA78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432BA61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6" w:type="dxa"/>
          </w:tcPr>
          <w:p w14:paraId="7C8E858E" w14:textId="77777777" w:rsidR="008302FB" w:rsidRPr="00693379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693379" w14:paraId="2148FF74" w14:textId="77777777" w:rsidTr="00A61162">
        <w:tc>
          <w:tcPr>
            <w:tcW w:w="2547" w:type="dxa"/>
          </w:tcPr>
          <w:p w14:paraId="4D3A63F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Donath et al. 2015</w:t>
            </w:r>
          </w:p>
        </w:tc>
        <w:tc>
          <w:tcPr>
            <w:tcW w:w="1275" w:type="dxa"/>
          </w:tcPr>
          <w:p w14:paraId="541961B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CC633F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0AC49B6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6" w:type="dxa"/>
          </w:tcPr>
          <w:p w14:paraId="338B281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7C8EF55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136700C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71954A4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074F4EE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0893985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44C33C7E" w14:textId="77777777" w:rsidTr="00A61162">
        <w:tc>
          <w:tcPr>
            <w:tcW w:w="2547" w:type="dxa"/>
          </w:tcPr>
          <w:p w14:paraId="087CCC8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Goodway &amp; Branta 2003</w:t>
            </w:r>
          </w:p>
        </w:tc>
        <w:tc>
          <w:tcPr>
            <w:tcW w:w="1275" w:type="dxa"/>
          </w:tcPr>
          <w:p w14:paraId="36BFF4A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D1A2DD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705D9C9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524E61F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24122C3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6836CC6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8" w:type="dxa"/>
          </w:tcPr>
          <w:p w14:paraId="194CCC3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3242F4F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6" w:type="dxa"/>
          </w:tcPr>
          <w:p w14:paraId="4DBC1D77" w14:textId="77777777" w:rsidR="008302FB" w:rsidRPr="00693379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09DA27B7" w14:textId="77777777" w:rsidTr="00A61162">
        <w:tc>
          <w:tcPr>
            <w:tcW w:w="2547" w:type="dxa"/>
          </w:tcPr>
          <w:p w14:paraId="10F4749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Iivonen et al. 2011</w:t>
            </w:r>
          </w:p>
        </w:tc>
        <w:tc>
          <w:tcPr>
            <w:tcW w:w="1275" w:type="dxa"/>
          </w:tcPr>
          <w:p w14:paraId="0D29448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0337DFE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1195F62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4111812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5794821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7750A7A4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8" w:type="dxa"/>
          </w:tcPr>
          <w:p w14:paraId="6C3C2A3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5B2DB3D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035909D0" w14:textId="77777777" w:rsidR="008302FB" w:rsidRPr="00693379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4BCAF757" w14:textId="77777777" w:rsidTr="00A61162">
        <w:tc>
          <w:tcPr>
            <w:tcW w:w="2547" w:type="dxa"/>
          </w:tcPr>
          <w:p w14:paraId="11323EF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Ketelhut et al. 2018</w:t>
            </w:r>
          </w:p>
        </w:tc>
        <w:tc>
          <w:tcPr>
            <w:tcW w:w="1275" w:type="dxa"/>
          </w:tcPr>
          <w:p w14:paraId="4FA67F5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417119B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2AF4F9F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6" w:type="dxa"/>
          </w:tcPr>
          <w:p w14:paraId="132578A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1F9374C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76F4517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15E5DAC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2E0800D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6" w:type="dxa"/>
          </w:tcPr>
          <w:p w14:paraId="04159A3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52A53E71" w14:textId="77777777" w:rsidTr="00A61162">
        <w:tc>
          <w:tcPr>
            <w:tcW w:w="2547" w:type="dxa"/>
          </w:tcPr>
          <w:p w14:paraId="447FB4F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Krombholz 2012</w:t>
            </w:r>
          </w:p>
        </w:tc>
        <w:tc>
          <w:tcPr>
            <w:tcW w:w="1275" w:type="dxa"/>
          </w:tcPr>
          <w:p w14:paraId="724F862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FDA9F7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3124B10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67A781A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2025BB0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62851A2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8" w:type="dxa"/>
          </w:tcPr>
          <w:p w14:paraId="2749AB8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5047287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6" w:type="dxa"/>
          </w:tcPr>
          <w:p w14:paraId="54E790A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5B60B14E" w14:textId="77777777" w:rsidTr="00A61162">
        <w:tc>
          <w:tcPr>
            <w:tcW w:w="2547" w:type="dxa"/>
          </w:tcPr>
          <w:p w14:paraId="285964D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Lee &amp; Galloway 2012</w:t>
            </w:r>
          </w:p>
        </w:tc>
        <w:tc>
          <w:tcPr>
            <w:tcW w:w="1275" w:type="dxa"/>
          </w:tcPr>
          <w:p w14:paraId="087E8C9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9E503D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61D1B17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4491F20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700" w:type="dxa"/>
          </w:tcPr>
          <w:p w14:paraId="2DFEE18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261F53A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8" w:type="dxa"/>
          </w:tcPr>
          <w:p w14:paraId="1AD93CC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1AFD9BF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0E54843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0E79B656" w14:textId="77777777" w:rsidTr="00A61162">
        <w:tc>
          <w:tcPr>
            <w:tcW w:w="2547" w:type="dxa"/>
          </w:tcPr>
          <w:p w14:paraId="277EE53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Lobo &amp; Galloway 2012</w:t>
            </w:r>
          </w:p>
        </w:tc>
        <w:tc>
          <w:tcPr>
            <w:tcW w:w="1275" w:type="dxa"/>
          </w:tcPr>
          <w:p w14:paraId="4A2B32D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64A11C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12982D6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7312678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700" w:type="dxa"/>
          </w:tcPr>
          <w:p w14:paraId="2419F50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620" w:type="dxa"/>
          </w:tcPr>
          <w:p w14:paraId="12DA629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8" w:type="dxa"/>
          </w:tcPr>
          <w:p w14:paraId="5F0417A9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3B0C971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6D0C5DDC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5B515167" w14:textId="77777777" w:rsidTr="00A61162">
        <w:tc>
          <w:tcPr>
            <w:tcW w:w="2547" w:type="dxa"/>
          </w:tcPr>
          <w:p w14:paraId="6E54CCF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Scheffler et al. 2007</w:t>
            </w:r>
          </w:p>
        </w:tc>
        <w:tc>
          <w:tcPr>
            <w:tcW w:w="1275" w:type="dxa"/>
          </w:tcPr>
          <w:p w14:paraId="46491E9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E284E1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6B47C4A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3B4F486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6B99714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789AC2A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8" w:type="dxa"/>
          </w:tcPr>
          <w:p w14:paraId="642A33D8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4213C1B5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6" w:type="dxa"/>
          </w:tcPr>
          <w:p w14:paraId="0AFB073C" w14:textId="77777777" w:rsidR="008302FB" w:rsidRPr="00693379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2CF1D8D4" w14:textId="77777777" w:rsidTr="00A61162">
        <w:tc>
          <w:tcPr>
            <w:tcW w:w="2547" w:type="dxa"/>
          </w:tcPr>
          <w:p w14:paraId="59ACB6A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Sigmundsson and Hopkins 2009</w:t>
            </w:r>
          </w:p>
        </w:tc>
        <w:tc>
          <w:tcPr>
            <w:tcW w:w="1275" w:type="dxa"/>
          </w:tcPr>
          <w:p w14:paraId="51E7330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2D9C722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65D3EBE7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0E0DDD6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44F476A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7178357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8" w:type="dxa"/>
          </w:tcPr>
          <w:p w14:paraId="2BA7DF7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623390FF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6" w:type="dxa"/>
          </w:tcPr>
          <w:p w14:paraId="6F4E6126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693379" w14:paraId="16A6B7BD" w14:textId="77777777" w:rsidTr="00A61162">
        <w:tc>
          <w:tcPr>
            <w:tcW w:w="2547" w:type="dxa"/>
          </w:tcPr>
          <w:p w14:paraId="551817C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Venetsanou &amp; Kambas 2004</w:t>
            </w:r>
          </w:p>
        </w:tc>
        <w:tc>
          <w:tcPr>
            <w:tcW w:w="1275" w:type="dxa"/>
          </w:tcPr>
          <w:p w14:paraId="18541FAE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E502482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1395885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6A9B2CEB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0" w:type="dxa"/>
          </w:tcPr>
          <w:p w14:paraId="5E1714A0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367F357D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8" w:type="dxa"/>
          </w:tcPr>
          <w:p w14:paraId="4933BD73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60F7B1BA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6" w:type="dxa"/>
          </w:tcPr>
          <w:p w14:paraId="196A1B51" w14:textId="77777777" w:rsidR="008302FB" w:rsidRPr="00693379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693379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</w:tbl>
    <w:p w14:paraId="14E381D0" w14:textId="77777777" w:rsidR="008302FB" w:rsidRPr="00693379" w:rsidRDefault="008302FB" w:rsidP="008302FB">
      <w:pPr>
        <w:rPr>
          <w:sz w:val="18"/>
          <w:lang w:val="en-US"/>
        </w:rPr>
      </w:pPr>
      <w:r w:rsidRPr="00693379">
        <w:rPr>
          <w:sz w:val="18"/>
          <w:vertAlign w:val="superscript"/>
          <w:lang w:val="en-US"/>
        </w:rPr>
        <w:t>1</w:t>
      </w:r>
      <w:r w:rsidRPr="00693379">
        <w:rPr>
          <w:sz w:val="18"/>
          <w:lang w:val="en-US"/>
        </w:rPr>
        <w:t xml:space="preserve"> Items D and G were not applicable for longitudinal studies</w:t>
      </w:r>
      <w:r>
        <w:rPr>
          <w:sz w:val="18"/>
          <w:lang w:val="en-US"/>
        </w:rPr>
        <w:t>,</w:t>
      </w:r>
      <w:r w:rsidRPr="00693379">
        <w:rPr>
          <w:sz w:val="18"/>
          <w:lang w:val="en-US"/>
        </w:rPr>
        <w:t xml:space="preserve"> NA = Not applicable.</w:t>
      </w:r>
    </w:p>
    <w:p w14:paraId="76F7CC38" w14:textId="77777777" w:rsidR="008302FB" w:rsidRDefault="008302FB" w:rsidP="008302FB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br w:type="page"/>
      </w:r>
    </w:p>
    <w:p w14:paraId="1B62815F" w14:textId="16A1138E" w:rsidR="008302FB" w:rsidRPr="00486435" w:rsidRDefault="008302FB" w:rsidP="008302FB">
      <w:pPr>
        <w:rPr>
          <w:szCs w:val="24"/>
          <w:lang w:val="en-US"/>
        </w:rPr>
      </w:pPr>
      <w:r w:rsidRPr="00A811A5">
        <w:rPr>
          <w:b/>
          <w:color w:val="000000" w:themeColor="text1"/>
          <w:lang w:val="en-US"/>
        </w:rPr>
        <w:lastRenderedPageBreak/>
        <w:t>Supplementary</w:t>
      </w:r>
      <w:r>
        <w:rPr>
          <w:b/>
          <w:color w:val="000000" w:themeColor="text1"/>
          <w:lang w:val="en-US"/>
        </w:rPr>
        <w:t xml:space="preserve"> Table</w:t>
      </w:r>
      <w:r w:rsidRPr="00A811A5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  <w:lang w:val="en-US"/>
        </w:rPr>
        <w:t>7</w:t>
      </w:r>
      <w:r w:rsidRPr="00A811A5">
        <w:rPr>
          <w:b/>
          <w:color w:val="000000" w:themeColor="text1"/>
          <w:lang w:val="en-US"/>
        </w:rPr>
        <w:t xml:space="preserve">. </w:t>
      </w:r>
      <w:r>
        <w:rPr>
          <w:b/>
          <w:szCs w:val="24"/>
          <w:lang w:val="en-US"/>
        </w:rPr>
        <w:t xml:space="preserve">Methodological </w:t>
      </w:r>
      <w:r w:rsidR="005230E1">
        <w:rPr>
          <w:b/>
          <w:szCs w:val="24"/>
          <w:lang w:val="en-US"/>
        </w:rPr>
        <w:t>q</w:t>
      </w:r>
      <w:r>
        <w:rPr>
          <w:b/>
          <w:szCs w:val="24"/>
          <w:lang w:val="en-US"/>
        </w:rPr>
        <w:t xml:space="preserve">uality of </w:t>
      </w:r>
      <w:r w:rsidR="005230E1">
        <w:rPr>
          <w:b/>
          <w:szCs w:val="24"/>
          <w:lang w:val="en-US"/>
        </w:rPr>
        <w:t>included s</w:t>
      </w:r>
      <w:r>
        <w:rPr>
          <w:b/>
          <w:szCs w:val="24"/>
          <w:lang w:val="en-US"/>
        </w:rPr>
        <w:t>tudies (continued).</w:t>
      </w:r>
    </w:p>
    <w:tbl>
      <w:tblPr>
        <w:tblStyle w:val="Tabelraster"/>
        <w:tblW w:w="14737" w:type="dxa"/>
        <w:tblInd w:w="0" w:type="dxa"/>
        <w:tblLook w:val="04A0" w:firstRow="1" w:lastRow="0" w:firstColumn="1" w:lastColumn="0" w:noHBand="0" w:noVBand="1"/>
      </w:tblPr>
      <w:tblGrid>
        <w:gridCol w:w="2405"/>
        <w:gridCol w:w="1276"/>
        <w:gridCol w:w="993"/>
        <w:gridCol w:w="1559"/>
        <w:gridCol w:w="1275"/>
        <w:gridCol w:w="1701"/>
        <w:gridCol w:w="1620"/>
        <w:gridCol w:w="1499"/>
        <w:gridCol w:w="1132"/>
        <w:gridCol w:w="22"/>
        <w:gridCol w:w="1255"/>
      </w:tblGrid>
      <w:tr w:rsidR="008302FB" w:rsidRPr="008C3C3C" w14:paraId="1AFDA572" w14:textId="77777777" w:rsidTr="00A61162">
        <w:tc>
          <w:tcPr>
            <w:tcW w:w="2405" w:type="dxa"/>
          </w:tcPr>
          <w:p w14:paraId="2D09EB43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276" w:type="dxa"/>
          </w:tcPr>
          <w:p w14:paraId="70932355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A Selection Bias</w:t>
            </w:r>
          </w:p>
        </w:tc>
        <w:tc>
          <w:tcPr>
            <w:tcW w:w="993" w:type="dxa"/>
          </w:tcPr>
          <w:p w14:paraId="57BF6458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B Study Design</w:t>
            </w:r>
          </w:p>
        </w:tc>
        <w:tc>
          <w:tcPr>
            <w:tcW w:w="1559" w:type="dxa"/>
          </w:tcPr>
          <w:p w14:paraId="64797688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C Confounders</w:t>
            </w:r>
          </w:p>
        </w:tc>
        <w:tc>
          <w:tcPr>
            <w:tcW w:w="1275" w:type="dxa"/>
          </w:tcPr>
          <w:p w14:paraId="22C53532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D Blinding</w:t>
            </w:r>
            <w:r w:rsidRPr="008C3C3C">
              <w:rPr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02968753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E Data Collection Methods</w:t>
            </w:r>
          </w:p>
        </w:tc>
        <w:tc>
          <w:tcPr>
            <w:tcW w:w="1620" w:type="dxa"/>
          </w:tcPr>
          <w:p w14:paraId="63D22B8E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  <w:lang w:val="en-US"/>
              </w:rPr>
              <w:t>F Withdrawals and Drop-outs</w:t>
            </w:r>
          </w:p>
        </w:tc>
        <w:tc>
          <w:tcPr>
            <w:tcW w:w="1499" w:type="dxa"/>
          </w:tcPr>
          <w:p w14:paraId="10DDCD78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G Intervention Integrity</w:t>
            </w:r>
            <w:r w:rsidRPr="008C3C3C">
              <w:rPr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2" w:type="dxa"/>
          </w:tcPr>
          <w:p w14:paraId="282027C6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H Analysis</w:t>
            </w:r>
          </w:p>
        </w:tc>
        <w:tc>
          <w:tcPr>
            <w:tcW w:w="1277" w:type="dxa"/>
            <w:gridSpan w:val="2"/>
          </w:tcPr>
          <w:p w14:paraId="74A28CBA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Overall Score</w:t>
            </w:r>
          </w:p>
        </w:tc>
      </w:tr>
      <w:tr w:rsidR="008302FB" w:rsidRPr="008C3C3C" w14:paraId="7373C5C9" w14:textId="77777777" w:rsidTr="00A61162">
        <w:tc>
          <w:tcPr>
            <w:tcW w:w="14737" w:type="dxa"/>
            <w:gridSpan w:val="11"/>
          </w:tcPr>
          <w:p w14:paraId="0FC0D338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Cognitive Development</w:t>
            </w:r>
          </w:p>
        </w:tc>
      </w:tr>
      <w:tr w:rsidR="008302FB" w:rsidRPr="008C3C3C" w14:paraId="5AEECE87" w14:textId="77777777" w:rsidTr="00A61162">
        <w:tc>
          <w:tcPr>
            <w:tcW w:w="2405" w:type="dxa"/>
          </w:tcPr>
          <w:p w14:paraId="3B77A3E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Gialamas et al. 2019</w:t>
            </w:r>
          </w:p>
        </w:tc>
        <w:tc>
          <w:tcPr>
            <w:tcW w:w="1276" w:type="dxa"/>
          </w:tcPr>
          <w:p w14:paraId="77D8E1A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5656086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3D8E3D80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14DA33A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11FCC44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290257C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499" w:type="dxa"/>
          </w:tcPr>
          <w:p w14:paraId="59EEE09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3C2AAC2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5" w:type="dxa"/>
          </w:tcPr>
          <w:p w14:paraId="4C1BA0A6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8C3C3C" w14:paraId="2221CD86" w14:textId="77777777" w:rsidTr="00A61162">
        <w:tc>
          <w:tcPr>
            <w:tcW w:w="2405" w:type="dxa"/>
          </w:tcPr>
          <w:p w14:paraId="1676032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Holmes et al. 2006</w:t>
            </w:r>
          </w:p>
        </w:tc>
        <w:tc>
          <w:tcPr>
            <w:tcW w:w="1276" w:type="dxa"/>
          </w:tcPr>
          <w:p w14:paraId="486407D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408ED6E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F </w:t>
            </w:r>
          </w:p>
        </w:tc>
        <w:tc>
          <w:tcPr>
            <w:tcW w:w="1559" w:type="dxa"/>
          </w:tcPr>
          <w:p w14:paraId="42D6E3B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48EA92C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6A0D0DE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11DBCA5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9" w:type="dxa"/>
          </w:tcPr>
          <w:p w14:paraId="37EF0B0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6887030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1E8CFF10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01B60AF5" w14:textId="77777777" w:rsidTr="00A61162">
        <w:tc>
          <w:tcPr>
            <w:tcW w:w="2405" w:type="dxa"/>
          </w:tcPr>
          <w:p w14:paraId="05D656D0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Kirk et al. 2014</w:t>
            </w:r>
          </w:p>
        </w:tc>
        <w:tc>
          <w:tcPr>
            <w:tcW w:w="1276" w:type="dxa"/>
          </w:tcPr>
          <w:p w14:paraId="0ACD27D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7B7DC7A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23624BF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0D09BA1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9340ED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6D2B3BA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9" w:type="dxa"/>
          </w:tcPr>
          <w:p w14:paraId="2E9D64A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54" w:type="dxa"/>
            <w:gridSpan w:val="2"/>
          </w:tcPr>
          <w:p w14:paraId="672BC1A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5" w:type="dxa"/>
          </w:tcPr>
          <w:p w14:paraId="14B1BD40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1FABC786" w14:textId="77777777" w:rsidTr="00A61162">
        <w:tc>
          <w:tcPr>
            <w:tcW w:w="2405" w:type="dxa"/>
          </w:tcPr>
          <w:p w14:paraId="3FCF102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Kirk and Kirk 2016</w:t>
            </w:r>
          </w:p>
        </w:tc>
        <w:tc>
          <w:tcPr>
            <w:tcW w:w="1276" w:type="dxa"/>
          </w:tcPr>
          <w:p w14:paraId="05AB760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1DDB841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0967643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5E7D31A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03E5D38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22F13E1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9" w:type="dxa"/>
          </w:tcPr>
          <w:p w14:paraId="1BE87E0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4136D14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6F07F76B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26873CDD" w14:textId="77777777" w:rsidTr="00A61162">
        <w:tc>
          <w:tcPr>
            <w:tcW w:w="2405" w:type="dxa"/>
          </w:tcPr>
          <w:p w14:paraId="1C1218B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Mavilidi et al. 2015</w:t>
            </w:r>
          </w:p>
        </w:tc>
        <w:tc>
          <w:tcPr>
            <w:tcW w:w="1276" w:type="dxa"/>
          </w:tcPr>
          <w:p w14:paraId="7D4A6DA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2B5CBB3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1F860A7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744C2B8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292ED20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043B42D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9" w:type="dxa"/>
          </w:tcPr>
          <w:p w14:paraId="7080CB3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1801AA6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12F39AD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7BD1FF58" w14:textId="77777777" w:rsidTr="00A61162">
        <w:tc>
          <w:tcPr>
            <w:tcW w:w="2405" w:type="dxa"/>
          </w:tcPr>
          <w:p w14:paraId="2D36A43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Mavilidi et al. 2016</w:t>
            </w:r>
          </w:p>
        </w:tc>
        <w:tc>
          <w:tcPr>
            <w:tcW w:w="1276" w:type="dxa"/>
          </w:tcPr>
          <w:p w14:paraId="2446486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3753F49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2ADA99D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1F4CE9A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64ABB07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299E6D9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9" w:type="dxa"/>
          </w:tcPr>
          <w:p w14:paraId="3DDE62C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54" w:type="dxa"/>
            <w:gridSpan w:val="2"/>
          </w:tcPr>
          <w:p w14:paraId="1780B6A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3FECD5C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05F85023" w14:textId="77777777" w:rsidTr="00A61162">
        <w:tc>
          <w:tcPr>
            <w:tcW w:w="2405" w:type="dxa"/>
          </w:tcPr>
          <w:p w14:paraId="423DBAD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Mavilidi et al. 2017</w:t>
            </w:r>
          </w:p>
        </w:tc>
        <w:tc>
          <w:tcPr>
            <w:tcW w:w="1276" w:type="dxa"/>
          </w:tcPr>
          <w:p w14:paraId="5534DAD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67BC27B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384BBD5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4CAB9F1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6F0382E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74C0FB2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9" w:type="dxa"/>
          </w:tcPr>
          <w:p w14:paraId="2A700C7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54" w:type="dxa"/>
            <w:gridSpan w:val="2"/>
          </w:tcPr>
          <w:p w14:paraId="279B107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02D379E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678C7CD9" w14:textId="77777777" w:rsidTr="00A61162">
        <w:tc>
          <w:tcPr>
            <w:tcW w:w="2405" w:type="dxa"/>
          </w:tcPr>
          <w:p w14:paraId="2227118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Mavilidi et al. 2018</w:t>
            </w:r>
          </w:p>
        </w:tc>
        <w:tc>
          <w:tcPr>
            <w:tcW w:w="1276" w:type="dxa"/>
          </w:tcPr>
          <w:p w14:paraId="4FD93FF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5C775A4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69CE534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5" w:type="dxa"/>
          </w:tcPr>
          <w:p w14:paraId="2B5D47D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349B0CA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620" w:type="dxa"/>
          </w:tcPr>
          <w:p w14:paraId="3B40556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9" w:type="dxa"/>
          </w:tcPr>
          <w:p w14:paraId="2E1A27B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3C73622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5" w:type="dxa"/>
          </w:tcPr>
          <w:p w14:paraId="3188C8C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15E4ACB1" w14:textId="77777777" w:rsidTr="00A61162">
        <w:tc>
          <w:tcPr>
            <w:tcW w:w="2405" w:type="dxa"/>
          </w:tcPr>
          <w:p w14:paraId="139E6DE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Palmer et al. 2013</w:t>
            </w:r>
          </w:p>
        </w:tc>
        <w:tc>
          <w:tcPr>
            <w:tcW w:w="1276" w:type="dxa"/>
          </w:tcPr>
          <w:p w14:paraId="3FEAB49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2A1F133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053129A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4A18C5F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3370433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74CF79A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9" w:type="dxa"/>
          </w:tcPr>
          <w:p w14:paraId="567C0D3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54" w:type="dxa"/>
            <w:gridSpan w:val="2"/>
          </w:tcPr>
          <w:p w14:paraId="701393F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5" w:type="dxa"/>
          </w:tcPr>
          <w:p w14:paraId="3A20C2F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7CAB99B7" w14:textId="77777777" w:rsidTr="00A61162">
        <w:tc>
          <w:tcPr>
            <w:tcW w:w="2405" w:type="dxa"/>
          </w:tcPr>
          <w:p w14:paraId="00C1BAC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Webster et al. 2015</w:t>
            </w:r>
          </w:p>
        </w:tc>
        <w:tc>
          <w:tcPr>
            <w:tcW w:w="1276" w:type="dxa"/>
          </w:tcPr>
          <w:p w14:paraId="2327FC4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5006E7C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559" w:type="dxa"/>
          </w:tcPr>
          <w:p w14:paraId="33F7499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30CE611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786ED31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4EA60F1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F  </w:t>
            </w:r>
          </w:p>
        </w:tc>
        <w:tc>
          <w:tcPr>
            <w:tcW w:w="1499" w:type="dxa"/>
          </w:tcPr>
          <w:p w14:paraId="539E0CD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54" w:type="dxa"/>
            <w:gridSpan w:val="2"/>
          </w:tcPr>
          <w:p w14:paraId="715EACD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581A1BD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30E7DB42" w14:textId="77777777" w:rsidTr="00A61162">
        <w:tc>
          <w:tcPr>
            <w:tcW w:w="14737" w:type="dxa"/>
            <w:gridSpan w:val="11"/>
          </w:tcPr>
          <w:p w14:paraId="5E34F6AB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Cardiovascular Health</w:t>
            </w:r>
          </w:p>
        </w:tc>
      </w:tr>
      <w:tr w:rsidR="008302FB" w:rsidRPr="008C3C3C" w14:paraId="5E882C25" w14:textId="77777777" w:rsidTr="00A61162">
        <w:tc>
          <w:tcPr>
            <w:tcW w:w="2405" w:type="dxa"/>
          </w:tcPr>
          <w:p w14:paraId="49D3445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Metcalf et al. 2008</w:t>
            </w:r>
          </w:p>
        </w:tc>
        <w:tc>
          <w:tcPr>
            <w:tcW w:w="1276" w:type="dxa"/>
          </w:tcPr>
          <w:p w14:paraId="48F1EE3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044C6C5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02E49CC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5" w:type="dxa"/>
          </w:tcPr>
          <w:p w14:paraId="175F0BA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344E061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304B9E3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9" w:type="dxa"/>
          </w:tcPr>
          <w:p w14:paraId="60011D8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25D6F92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5" w:type="dxa"/>
          </w:tcPr>
          <w:p w14:paraId="4320DB41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8C3C3C" w14:paraId="62C48F9D" w14:textId="77777777" w:rsidTr="00A61162">
        <w:tc>
          <w:tcPr>
            <w:tcW w:w="2405" w:type="dxa"/>
          </w:tcPr>
          <w:p w14:paraId="291277F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Metcalf et al. 2009</w:t>
            </w:r>
          </w:p>
        </w:tc>
        <w:tc>
          <w:tcPr>
            <w:tcW w:w="1276" w:type="dxa"/>
          </w:tcPr>
          <w:p w14:paraId="4491D1A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29246B4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75344F7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72D89B4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7ACA157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35A636E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F  </w:t>
            </w:r>
          </w:p>
        </w:tc>
        <w:tc>
          <w:tcPr>
            <w:tcW w:w="1499" w:type="dxa"/>
          </w:tcPr>
          <w:p w14:paraId="4494BFB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198C999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5" w:type="dxa"/>
          </w:tcPr>
          <w:p w14:paraId="41EE01B7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8C3C3C" w14:paraId="673419C2" w14:textId="77777777" w:rsidTr="00A61162">
        <w:tc>
          <w:tcPr>
            <w:tcW w:w="2405" w:type="dxa"/>
          </w:tcPr>
          <w:p w14:paraId="29C6547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Proudfoot et al. 2019</w:t>
            </w:r>
          </w:p>
        </w:tc>
        <w:tc>
          <w:tcPr>
            <w:tcW w:w="1276" w:type="dxa"/>
          </w:tcPr>
          <w:p w14:paraId="38A3890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74CC16D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559" w:type="dxa"/>
          </w:tcPr>
          <w:p w14:paraId="5496609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275" w:type="dxa"/>
          </w:tcPr>
          <w:p w14:paraId="2804A38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550232A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505D3A5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499" w:type="dxa"/>
          </w:tcPr>
          <w:p w14:paraId="2394962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1651B2A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5" w:type="dxa"/>
          </w:tcPr>
          <w:p w14:paraId="5740ACDA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302FB" w:rsidRPr="008C3C3C" w14:paraId="5C83A3C7" w14:textId="77777777" w:rsidTr="00A61162">
        <w:tc>
          <w:tcPr>
            <w:tcW w:w="2405" w:type="dxa"/>
          </w:tcPr>
          <w:p w14:paraId="54CD1D4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Leppanen et al. 2017</w:t>
            </w:r>
          </w:p>
        </w:tc>
        <w:tc>
          <w:tcPr>
            <w:tcW w:w="1276" w:type="dxa"/>
          </w:tcPr>
          <w:p w14:paraId="5BE881D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01CAABB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572965D0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6A33C57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5F2B3C1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18AD6B1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9" w:type="dxa"/>
          </w:tcPr>
          <w:p w14:paraId="4FF138C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741CF13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5" w:type="dxa"/>
          </w:tcPr>
          <w:p w14:paraId="155E44D7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8C3C3C" w14:paraId="0D716CA8" w14:textId="77777777" w:rsidTr="00A61162">
        <w:tc>
          <w:tcPr>
            <w:tcW w:w="2405" w:type="dxa"/>
          </w:tcPr>
          <w:p w14:paraId="412EE18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DuRant et al. 1993</w:t>
            </w:r>
          </w:p>
        </w:tc>
        <w:tc>
          <w:tcPr>
            <w:tcW w:w="1276" w:type="dxa"/>
          </w:tcPr>
          <w:p w14:paraId="3E9003B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35EC4CD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454DA70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4F0CC0B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3749B67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21E9135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9" w:type="dxa"/>
          </w:tcPr>
          <w:p w14:paraId="05971DD0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115F730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15CDA64C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 xml:space="preserve">Weak </w:t>
            </w:r>
          </w:p>
        </w:tc>
      </w:tr>
      <w:tr w:rsidR="008302FB" w:rsidRPr="008C3C3C" w14:paraId="47749668" w14:textId="77777777" w:rsidTr="00A61162">
        <w:tc>
          <w:tcPr>
            <w:tcW w:w="2405" w:type="dxa"/>
          </w:tcPr>
          <w:p w14:paraId="5362219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Ketelhut et al. 2018</w:t>
            </w:r>
          </w:p>
        </w:tc>
        <w:tc>
          <w:tcPr>
            <w:tcW w:w="1276" w:type="dxa"/>
          </w:tcPr>
          <w:p w14:paraId="76AFF01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569B098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14C8A80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5" w:type="dxa"/>
          </w:tcPr>
          <w:p w14:paraId="70E1F7C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27EC00E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23EACBB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499" w:type="dxa"/>
          </w:tcPr>
          <w:p w14:paraId="0196481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7D58193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5" w:type="dxa"/>
          </w:tcPr>
          <w:p w14:paraId="37CCD0D7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5A36A677" w14:textId="77777777" w:rsidTr="00A61162">
        <w:tc>
          <w:tcPr>
            <w:tcW w:w="2405" w:type="dxa"/>
          </w:tcPr>
          <w:p w14:paraId="5EBAE680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Scheffler et al. 2007</w:t>
            </w:r>
          </w:p>
        </w:tc>
        <w:tc>
          <w:tcPr>
            <w:tcW w:w="1276" w:type="dxa"/>
          </w:tcPr>
          <w:p w14:paraId="4329AAB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3087361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559" w:type="dxa"/>
          </w:tcPr>
          <w:p w14:paraId="4E33547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223B5A74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5A09E11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480D1E1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9" w:type="dxa"/>
          </w:tcPr>
          <w:p w14:paraId="3A4890C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54" w:type="dxa"/>
            <w:gridSpan w:val="2"/>
          </w:tcPr>
          <w:p w14:paraId="0CE616A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55" w:type="dxa"/>
          </w:tcPr>
          <w:p w14:paraId="71FEE225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Weak</w:t>
            </w:r>
          </w:p>
        </w:tc>
      </w:tr>
      <w:tr w:rsidR="008302FB" w:rsidRPr="008C3C3C" w14:paraId="0F2EB8F7" w14:textId="77777777" w:rsidTr="00A61162">
        <w:tc>
          <w:tcPr>
            <w:tcW w:w="14737" w:type="dxa"/>
            <w:gridSpan w:val="11"/>
          </w:tcPr>
          <w:p w14:paraId="7D9D1B56" w14:textId="77777777" w:rsidR="008302FB" w:rsidRPr="008C3C3C" w:rsidRDefault="008302FB" w:rsidP="00A61162">
            <w:pPr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Social-Emotional Development</w:t>
            </w:r>
          </w:p>
        </w:tc>
      </w:tr>
      <w:tr w:rsidR="008302FB" w:rsidRPr="008C3C3C" w14:paraId="1A490872" w14:textId="77777777" w:rsidTr="00A61162">
        <w:tc>
          <w:tcPr>
            <w:tcW w:w="2405" w:type="dxa"/>
          </w:tcPr>
          <w:p w14:paraId="0E7AA5F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Gialamas et al. 2019</w:t>
            </w:r>
          </w:p>
        </w:tc>
        <w:tc>
          <w:tcPr>
            <w:tcW w:w="1276" w:type="dxa"/>
          </w:tcPr>
          <w:p w14:paraId="123E8E9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04F1DD4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4DC1AD4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1A214C2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0A72E8A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14:paraId="75534360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 </w:t>
            </w:r>
          </w:p>
        </w:tc>
        <w:tc>
          <w:tcPr>
            <w:tcW w:w="1499" w:type="dxa"/>
          </w:tcPr>
          <w:p w14:paraId="164CA06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14B16F4D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5" w:type="dxa"/>
          </w:tcPr>
          <w:p w14:paraId="76078A14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8C3C3C" w14:paraId="3B00D2BC" w14:textId="77777777" w:rsidTr="00A61162">
        <w:tc>
          <w:tcPr>
            <w:tcW w:w="2405" w:type="dxa"/>
          </w:tcPr>
          <w:p w14:paraId="7ED5B58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Vella et al. 2015</w:t>
            </w:r>
          </w:p>
        </w:tc>
        <w:tc>
          <w:tcPr>
            <w:tcW w:w="1276" w:type="dxa"/>
          </w:tcPr>
          <w:p w14:paraId="67A2247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525E691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0AF33CA1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30699DB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5ED45C4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13E5181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9" w:type="dxa"/>
          </w:tcPr>
          <w:p w14:paraId="56D9ED5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01730B49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5" w:type="dxa"/>
          </w:tcPr>
          <w:p w14:paraId="3584997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8302FB" w:rsidRPr="008C3C3C" w14:paraId="2C24A50B" w14:textId="77777777" w:rsidTr="00A61162">
        <w:tc>
          <w:tcPr>
            <w:tcW w:w="14737" w:type="dxa"/>
            <w:gridSpan w:val="11"/>
          </w:tcPr>
          <w:p w14:paraId="29A14D71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Bone Health</w:t>
            </w:r>
          </w:p>
        </w:tc>
      </w:tr>
      <w:tr w:rsidR="008302FB" w:rsidRPr="008C3C3C" w14:paraId="448A7A77" w14:textId="77777777" w:rsidTr="00A61162">
        <w:tc>
          <w:tcPr>
            <w:tcW w:w="2405" w:type="dxa"/>
          </w:tcPr>
          <w:p w14:paraId="14DC6B4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Wosje et al. 2009</w:t>
            </w:r>
          </w:p>
        </w:tc>
        <w:tc>
          <w:tcPr>
            <w:tcW w:w="1276" w:type="dxa"/>
          </w:tcPr>
          <w:p w14:paraId="670CDCFB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93" w:type="dxa"/>
          </w:tcPr>
          <w:p w14:paraId="738686FC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0AF570C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75" w:type="dxa"/>
          </w:tcPr>
          <w:p w14:paraId="04F44642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2A37FBC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620" w:type="dxa"/>
          </w:tcPr>
          <w:p w14:paraId="40C3357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499" w:type="dxa"/>
          </w:tcPr>
          <w:p w14:paraId="1BE81D0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32AF8CB6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255" w:type="dxa"/>
          </w:tcPr>
          <w:p w14:paraId="13B5E7CE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 xml:space="preserve">High  </w:t>
            </w:r>
          </w:p>
        </w:tc>
      </w:tr>
      <w:tr w:rsidR="008302FB" w:rsidRPr="008C3C3C" w14:paraId="464BEE43" w14:textId="77777777" w:rsidTr="00A61162">
        <w:tc>
          <w:tcPr>
            <w:tcW w:w="2405" w:type="dxa"/>
          </w:tcPr>
          <w:p w14:paraId="0F88FCA7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Clark et al. 2008</w:t>
            </w:r>
          </w:p>
        </w:tc>
        <w:tc>
          <w:tcPr>
            <w:tcW w:w="1276" w:type="dxa"/>
          </w:tcPr>
          <w:p w14:paraId="155148D8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6A64467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59" w:type="dxa"/>
          </w:tcPr>
          <w:p w14:paraId="23EFD4FE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42CAC99F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701" w:type="dxa"/>
          </w:tcPr>
          <w:p w14:paraId="78A5BF30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14:paraId="09A479E5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99" w:type="dxa"/>
          </w:tcPr>
          <w:p w14:paraId="05E4F793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54" w:type="dxa"/>
            <w:gridSpan w:val="2"/>
          </w:tcPr>
          <w:p w14:paraId="3BFA6A6A" w14:textId="77777777" w:rsidR="008302FB" w:rsidRPr="008C3C3C" w:rsidRDefault="008302FB" w:rsidP="00A61162">
            <w:pPr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255" w:type="dxa"/>
          </w:tcPr>
          <w:p w14:paraId="10D13E33" w14:textId="77777777" w:rsidR="008302FB" w:rsidRPr="008C3C3C" w:rsidRDefault="008302FB" w:rsidP="00A61162">
            <w:pPr>
              <w:rPr>
                <w:iCs/>
                <w:color w:val="000000" w:themeColor="text1"/>
                <w:sz w:val="20"/>
                <w:szCs w:val="20"/>
              </w:rPr>
            </w:pPr>
            <w:r w:rsidRPr="008C3C3C">
              <w:rPr>
                <w:iCs/>
                <w:color w:val="000000" w:themeColor="text1"/>
                <w:sz w:val="20"/>
                <w:szCs w:val="20"/>
              </w:rPr>
              <w:t>Moderate</w:t>
            </w:r>
          </w:p>
        </w:tc>
      </w:tr>
    </w:tbl>
    <w:p w14:paraId="6A0061F8" w14:textId="77777777" w:rsidR="008302FB" w:rsidRPr="008C3C3C" w:rsidRDefault="008302FB" w:rsidP="008302FB">
      <w:pPr>
        <w:rPr>
          <w:sz w:val="18"/>
          <w:szCs w:val="18"/>
          <w:lang w:val="en-US"/>
        </w:rPr>
      </w:pPr>
      <w:r w:rsidRPr="008C3C3C">
        <w:rPr>
          <w:sz w:val="18"/>
          <w:szCs w:val="18"/>
          <w:vertAlign w:val="superscript"/>
          <w:lang w:val="en-US"/>
        </w:rPr>
        <w:t>1</w:t>
      </w:r>
      <w:r w:rsidRPr="008C3C3C">
        <w:rPr>
          <w:sz w:val="18"/>
          <w:szCs w:val="18"/>
          <w:lang w:val="en-US"/>
        </w:rPr>
        <w:t xml:space="preserve"> Items D and G were not applicable for longitudinal studies</w:t>
      </w:r>
      <w:r>
        <w:rPr>
          <w:sz w:val="18"/>
          <w:szCs w:val="18"/>
          <w:lang w:val="en-US"/>
        </w:rPr>
        <w:t>,</w:t>
      </w:r>
      <w:r w:rsidRPr="008C3C3C">
        <w:rPr>
          <w:sz w:val="18"/>
          <w:szCs w:val="18"/>
          <w:lang w:val="en-US"/>
        </w:rPr>
        <w:t xml:space="preserve"> NA = Not applicable.</w:t>
      </w:r>
    </w:p>
    <w:p w14:paraId="2BBB5AEF" w14:textId="77777777" w:rsidR="008302FB" w:rsidRPr="00F74779" w:rsidRDefault="008302FB" w:rsidP="008302FB">
      <w:pPr>
        <w:rPr>
          <w:lang w:val="en-US"/>
        </w:rPr>
      </w:pPr>
      <w:r w:rsidRPr="00F74779">
        <w:rPr>
          <w:lang w:val="en-US"/>
        </w:rPr>
        <w:br w:type="page"/>
      </w:r>
    </w:p>
    <w:p w14:paraId="2220BEAB" w14:textId="77777777" w:rsidR="009B4532" w:rsidRDefault="009B4532" w:rsidP="001C3D52">
      <w:pPr>
        <w:rPr>
          <w:color w:val="000000" w:themeColor="text1"/>
          <w:lang w:val="en-US"/>
        </w:rPr>
        <w:sectPr w:rsidR="009B4532" w:rsidSect="001C3D5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8C23CE9" w14:textId="0D1D0035" w:rsidR="001C3D52" w:rsidRPr="009B4532" w:rsidRDefault="009B4532" w:rsidP="001C3D52">
      <w:pPr>
        <w:rPr>
          <w:b/>
          <w:color w:val="000000" w:themeColor="text1"/>
          <w:lang w:val="en-US"/>
        </w:rPr>
      </w:pPr>
      <w:r w:rsidRPr="009B4532">
        <w:rPr>
          <w:b/>
          <w:color w:val="000000" w:themeColor="text1"/>
          <w:lang w:val="en-US"/>
        </w:rPr>
        <w:lastRenderedPageBreak/>
        <w:t>References</w:t>
      </w:r>
    </w:p>
    <w:p w14:paraId="5EA7A097" w14:textId="77777777" w:rsidR="001C3D52" w:rsidRPr="005729F3" w:rsidRDefault="001C3D52" w:rsidP="001C3D52">
      <w:pPr>
        <w:pStyle w:val="EndNoteBibliography"/>
        <w:spacing w:after="0"/>
        <w:ind w:left="720" w:hanging="720"/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EN.REFLIST </w:instrText>
      </w:r>
      <w:r>
        <w:rPr>
          <w:color w:val="000000" w:themeColor="text1"/>
        </w:rPr>
        <w:fldChar w:fldCharType="separate"/>
      </w:r>
      <w:r w:rsidRPr="005729F3">
        <w:t>1.</w:t>
      </w:r>
      <w:r w:rsidRPr="005729F3">
        <w:tab/>
        <w:t xml:space="preserve">Goldfield, G.S., et al., </w:t>
      </w:r>
      <w:r w:rsidRPr="005729F3">
        <w:rPr>
          <w:i/>
        </w:rPr>
        <w:t>Effects of Child Care Intervention on Physical Activity and Body Composition.</w:t>
      </w:r>
      <w:r w:rsidRPr="005729F3">
        <w:t xml:space="preserve"> Am J Prev Med, 2016. </w:t>
      </w:r>
      <w:r w:rsidRPr="005729F3">
        <w:rPr>
          <w:b/>
        </w:rPr>
        <w:t>51</w:t>
      </w:r>
      <w:r w:rsidRPr="005729F3">
        <w:t>(2): p. 225-231.</w:t>
      </w:r>
    </w:p>
    <w:p w14:paraId="5FC8BAE9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2.</w:t>
      </w:r>
      <w:r w:rsidRPr="005729F3">
        <w:tab/>
        <w:t xml:space="preserve">Krombholz, H., </w:t>
      </w:r>
      <w:r w:rsidRPr="005729F3">
        <w:rPr>
          <w:i/>
        </w:rPr>
        <w:t>The impact of a 20-month physical activity intervention in child care centers on motor performance and weight in overweight and healthy-weight preschool children.</w:t>
      </w:r>
      <w:r w:rsidRPr="005729F3">
        <w:t xml:space="preserve"> Perceptual &amp; Motor Skills, 2012. </w:t>
      </w:r>
      <w:r w:rsidRPr="005729F3">
        <w:rPr>
          <w:b/>
        </w:rPr>
        <w:t>115</w:t>
      </w:r>
      <w:r w:rsidRPr="005729F3">
        <w:t>(3): p. 919-932.</w:t>
      </w:r>
    </w:p>
    <w:p w14:paraId="32B778BA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3.</w:t>
      </w:r>
      <w:r w:rsidRPr="005729F3">
        <w:tab/>
        <w:t xml:space="preserve">Mo-suwan, L., et al., </w:t>
      </w:r>
      <w:r w:rsidRPr="005729F3">
        <w:rPr>
          <w:i/>
        </w:rPr>
        <w:t>Effects of a controlled trial of a school-based exercise program on the obesity indexes of preschool children.</w:t>
      </w:r>
      <w:r w:rsidRPr="005729F3">
        <w:t xml:space="preserve"> Am J Clin Nutr, 1998. </w:t>
      </w:r>
      <w:r w:rsidRPr="005729F3">
        <w:rPr>
          <w:b/>
        </w:rPr>
        <w:t>68</w:t>
      </w:r>
      <w:r w:rsidRPr="005729F3">
        <w:t>(5): p. 1006-11.</w:t>
      </w:r>
    </w:p>
    <w:p w14:paraId="439F499E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4.</w:t>
      </w:r>
      <w:r w:rsidRPr="005729F3">
        <w:tab/>
        <w:t xml:space="preserve">Scheffler, C., K. Ketelhut, and I. Mohasseb, </w:t>
      </w:r>
      <w:r w:rsidRPr="005729F3">
        <w:rPr>
          <w:i/>
        </w:rPr>
        <w:t>Does physical education modify the body composition?--results of a longitudinal study of pre-school children.</w:t>
      </w:r>
      <w:r w:rsidRPr="005729F3">
        <w:t xml:space="preserve"> Anthropol Anz, 2007. </w:t>
      </w:r>
      <w:r w:rsidRPr="005729F3">
        <w:rPr>
          <w:b/>
        </w:rPr>
        <w:t>65</w:t>
      </w:r>
      <w:r w:rsidRPr="005729F3">
        <w:t>(2): p. 193-201.</w:t>
      </w:r>
    </w:p>
    <w:p w14:paraId="50D80844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5.</w:t>
      </w:r>
      <w:r w:rsidRPr="005729F3">
        <w:tab/>
        <w:t xml:space="preserve">Carter, P.J., et al., </w:t>
      </w:r>
      <w:r w:rsidRPr="005729F3">
        <w:rPr>
          <w:i/>
        </w:rPr>
        <w:t>Longitudinal analysis of sleep in relation to BMI and body fat in children: the FLAME study.</w:t>
      </w:r>
      <w:r w:rsidRPr="005729F3">
        <w:t xml:space="preserve"> Bmj, 2011. </w:t>
      </w:r>
      <w:r w:rsidRPr="005729F3">
        <w:rPr>
          <w:b/>
        </w:rPr>
        <w:t>342</w:t>
      </w:r>
      <w:r w:rsidRPr="005729F3">
        <w:t>: p. d2712.</w:t>
      </w:r>
    </w:p>
    <w:p w14:paraId="0AC1F8B1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6.</w:t>
      </w:r>
      <w:r w:rsidRPr="005729F3">
        <w:tab/>
        <w:t xml:space="preserve">De Coen, V., et al., </w:t>
      </w:r>
      <w:r w:rsidRPr="005729F3">
        <w:rPr>
          <w:i/>
        </w:rPr>
        <w:t>Risk factors for childhood overweight: a 30-month longitudinal study of 3- to 6-year-old children.</w:t>
      </w:r>
      <w:r w:rsidRPr="005729F3">
        <w:t xml:space="preserve"> Public Health Nutr, 2014. </w:t>
      </w:r>
      <w:r w:rsidRPr="005729F3">
        <w:rPr>
          <w:b/>
        </w:rPr>
        <w:t>17</w:t>
      </w:r>
      <w:r w:rsidRPr="005729F3">
        <w:t>(9): p. 1993-2000.</w:t>
      </w:r>
    </w:p>
    <w:p w14:paraId="4E6E4590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7.</w:t>
      </w:r>
      <w:r w:rsidRPr="005729F3">
        <w:tab/>
        <w:t xml:space="preserve">Jago, R., et al., </w:t>
      </w:r>
      <w:r w:rsidRPr="005729F3">
        <w:rPr>
          <w:i/>
        </w:rPr>
        <w:t>BMI from 3-6 y of age is predicted by TV viewing and physical activity, not diet.</w:t>
      </w:r>
      <w:r w:rsidRPr="005729F3">
        <w:t xml:space="preserve"> International Journal of Obesity, 2005. </w:t>
      </w:r>
      <w:r w:rsidRPr="005729F3">
        <w:rPr>
          <w:b/>
        </w:rPr>
        <w:t>29</w:t>
      </w:r>
      <w:r w:rsidRPr="005729F3">
        <w:t>(6): p. 557-564.</w:t>
      </w:r>
    </w:p>
    <w:p w14:paraId="776F860B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8.</w:t>
      </w:r>
      <w:r w:rsidRPr="005729F3">
        <w:tab/>
        <w:t xml:space="preserve">Metcalf, B.S., et al., </w:t>
      </w:r>
      <w:r w:rsidRPr="005729F3">
        <w:rPr>
          <w:i/>
        </w:rPr>
        <w:t>Physical activity at the government-recommended level and obesity-related health outcomes: a longitudinal study (Early Bird 37).</w:t>
      </w:r>
      <w:r w:rsidRPr="005729F3">
        <w:t xml:space="preserve"> Arch Dis Child, 2008. </w:t>
      </w:r>
      <w:r w:rsidRPr="005729F3">
        <w:rPr>
          <w:b/>
        </w:rPr>
        <w:t>93</w:t>
      </w:r>
      <w:r w:rsidRPr="005729F3">
        <w:t>(9): p. 772-7.</w:t>
      </w:r>
    </w:p>
    <w:p w14:paraId="0C7640F2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9.</w:t>
      </w:r>
      <w:r w:rsidRPr="005729F3">
        <w:tab/>
        <w:t xml:space="preserve">Wells, J.C. and P. Ritz, </w:t>
      </w:r>
      <w:r w:rsidRPr="005729F3">
        <w:rPr>
          <w:i/>
        </w:rPr>
        <w:t>Physical activity at 9-12 months and fatness at 2 years of age.</w:t>
      </w:r>
      <w:r w:rsidRPr="005729F3">
        <w:t xml:space="preserve"> Am J Hum Biol, 2001. </w:t>
      </w:r>
      <w:r w:rsidRPr="005729F3">
        <w:rPr>
          <w:b/>
        </w:rPr>
        <w:t>13</w:t>
      </w:r>
      <w:r w:rsidRPr="005729F3">
        <w:t>(3): p. 384-9.</w:t>
      </w:r>
    </w:p>
    <w:p w14:paraId="2FA63B96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10.</w:t>
      </w:r>
      <w:r w:rsidRPr="005729F3">
        <w:tab/>
        <w:t xml:space="preserve">Saldanha-Gomes, C., et al., </w:t>
      </w:r>
      <w:r w:rsidRPr="005729F3">
        <w:rPr>
          <w:i/>
        </w:rPr>
        <w:t>Prospective associations between energy balance-related behaviors at 2 years of age and subsequent adiposity: the EDEN mother-child cohort.</w:t>
      </w:r>
      <w:r w:rsidRPr="005729F3">
        <w:t xml:space="preserve"> Int J Obes (Lond), 2017. </w:t>
      </w:r>
      <w:r w:rsidRPr="005729F3">
        <w:rPr>
          <w:b/>
        </w:rPr>
        <w:t>41</w:t>
      </w:r>
      <w:r w:rsidRPr="005729F3">
        <w:t>(1): p. 38-45.</w:t>
      </w:r>
    </w:p>
    <w:p w14:paraId="1748C1C3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11.</w:t>
      </w:r>
      <w:r w:rsidRPr="005729F3">
        <w:tab/>
        <w:t xml:space="preserve">Butte, N.F., et al., </w:t>
      </w:r>
      <w:r w:rsidRPr="005729F3">
        <w:rPr>
          <w:i/>
        </w:rPr>
        <w:t>Role of physical activity and sleep duration in growth and body composition of preschool-aged children.</w:t>
      </w:r>
      <w:r w:rsidRPr="005729F3">
        <w:t xml:space="preserve"> Obesity (Silver Spring), 2016. </w:t>
      </w:r>
      <w:r w:rsidRPr="005729F3">
        <w:rPr>
          <w:b/>
        </w:rPr>
        <w:t>24</w:t>
      </w:r>
      <w:r w:rsidRPr="005729F3">
        <w:t>(6): p. 1328-35.</w:t>
      </w:r>
    </w:p>
    <w:p w14:paraId="5D3E0844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12.</w:t>
      </w:r>
      <w:r w:rsidRPr="005729F3">
        <w:tab/>
        <w:t xml:space="preserve">Ip, E.H., et al., </w:t>
      </w:r>
      <w:r w:rsidRPr="005729F3">
        <w:rPr>
          <w:i/>
        </w:rPr>
        <w:t>Physical Activity States of Preschool-Aged Latino Children in Farmworker Families: Predictive Factors and Relationship With BMI Percentile.</w:t>
      </w:r>
      <w:r w:rsidRPr="005729F3">
        <w:t xml:space="preserve"> Journal of Physical Activity &amp; Health, 2016. </w:t>
      </w:r>
      <w:r w:rsidRPr="005729F3">
        <w:rPr>
          <w:b/>
        </w:rPr>
        <w:t>13</w:t>
      </w:r>
      <w:r w:rsidRPr="005729F3">
        <w:t>(7): p. 726-732.</w:t>
      </w:r>
    </w:p>
    <w:p w14:paraId="2FCFFBE9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13.</w:t>
      </w:r>
      <w:r w:rsidRPr="005729F3">
        <w:tab/>
        <w:t xml:space="preserve">Leppänen, M.H., et al., </w:t>
      </w:r>
      <w:r w:rsidRPr="005729F3">
        <w:rPr>
          <w:i/>
        </w:rPr>
        <w:t>Longitudinal Physical Activity, Body Composition, and Physical Fitness in Preschoolers.</w:t>
      </w:r>
      <w:r w:rsidRPr="005729F3">
        <w:t xml:space="preserve"> Medicine &amp; Science in Sports &amp; Exercise, 2017. </w:t>
      </w:r>
      <w:r w:rsidRPr="005729F3">
        <w:rPr>
          <w:b/>
        </w:rPr>
        <w:t>49</w:t>
      </w:r>
      <w:r w:rsidRPr="005729F3">
        <w:t>(10): p. 2078-2085.</w:t>
      </w:r>
    </w:p>
    <w:p w14:paraId="58FFE000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14.</w:t>
      </w:r>
      <w:r w:rsidRPr="005729F3">
        <w:tab/>
        <w:t xml:space="preserve">Moore, L.L., et al., </w:t>
      </w:r>
      <w:r w:rsidRPr="005729F3">
        <w:rPr>
          <w:i/>
        </w:rPr>
        <w:t>Does early physical activity predict body fat change throughout childhood?</w:t>
      </w:r>
      <w:r w:rsidRPr="005729F3">
        <w:t xml:space="preserve"> Preventive Medicine: An International Journal Devoted to Practice and Theory, 2003. </w:t>
      </w:r>
      <w:r w:rsidRPr="005729F3">
        <w:rPr>
          <w:b/>
        </w:rPr>
        <w:t>37</w:t>
      </w:r>
      <w:r w:rsidRPr="005729F3">
        <w:t>(1): p. 10-17.</w:t>
      </w:r>
    </w:p>
    <w:p w14:paraId="6B414F5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15.</w:t>
      </w:r>
      <w:r w:rsidRPr="005729F3">
        <w:tab/>
        <w:t xml:space="preserve">Donath, L., et al., </w:t>
      </w:r>
      <w:r w:rsidRPr="005729F3">
        <w:rPr>
          <w:i/>
        </w:rPr>
        <w:t>Fundamental movement skills in preschoolers: A randomized controlled trial targeting object control proficiency.</w:t>
      </w:r>
      <w:r w:rsidRPr="005729F3">
        <w:t xml:space="preserve"> Child: Care, Health and Development, 2015. </w:t>
      </w:r>
      <w:r w:rsidRPr="005729F3">
        <w:rPr>
          <w:b/>
        </w:rPr>
        <w:t>41</w:t>
      </w:r>
      <w:r w:rsidRPr="005729F3">
        <w:t>(6): p. 1179-1187.</w:t>
      </w:r>
    </w:p>
    <w:p w14:paraId="438DB9A9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16.</w:t>
      </w:r>
      <w:r w:rsidRPr="005729F3">
        <w:tab/>
        <w:t xml:space="preserve">Goodway, J.D. and C.F. Branta, </w:t>
      </w:r>
      <w:r w:rsidRPr="005729F3">
        <w:rPr>
          <w:i/>
        </w:rPr>
        <w:t>Influence of a motor skill intervention on fundamental motor skill development of disadvantaged preschool children.</w:t>
      </w:r>
      <w:r w:rsidRPr="005729F3">
        <w:t xml:space="preserve"> Res Q Exerc Sport, 2003. </w:t>
      </w:r>
      <w:r w:rsidRPr="005729F3">
        <w:rPr>
          <w:b/>
        </w:rPr>
        <w:t>74</w:t>
      </w:r>
      <w:r w:rsidRPr="005729F3">
        <w:t>(1): p. 36-46.</w:t>
      </w:r>
    </w:p>
    <w:p w14:paraId="2F186861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17.</w:t>
      </w:r>
      <w:r w:rsidRPr="005729F3">
        <w:tab/>
        <w:t xml:space="preserve">Iivonen, S., A. Sääkslahti, and K. Nissinen, </w:t>
      </w:r>
      <w:r w:rsidRPr="005729F3">
        <w:rPr>
          <w:i/>
        </w:rPr>
        <w:t>The development of fundamental motor skills of four‐ to five‐year‐old preschool children and the effects of a preschool physical education curriculum.</w:t>
      </w:r>
      <w:r w:rsidRPr="005729F3">
        <w:t xml:space="preserve"> Early Child Development and Care, 2011. </w:t>
      </w:r>
      <w:r w:rsidRPr="005729F3">
        <w:rPr>
          <w:b/>
        </w:rPr>
        <w:t>181</w:t>
      </w:r>
      <w:r w:rsidRPr="005729F3">
        <w:t>(3): p. 335-343.</w:t>
      </w:r>
    </w:p>
    <w:p w14:paraId="56691EDD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18.</w:t>
      </w:r>
      <w:r w:rsidRPr="005729F3">
        <w:tab/>
        <w:t xml:space="preserve">Ketelhut, K., I. Mohasseb, and R.G. Ketelhut, </w:t>
      </w:r>
      <w:r w:rsidRPr="005729F3">
        <w:rPr>
          <w:i/>
        </w:rPr>
        <w:t>Two years of regular exercise decreases blood pressure and improves motor skills in early childhood.</w:t>
      </w:r>
      <w:r w:rsidRPr="005729F3">
        <w:t xml:space="preserve"> Sport Sciences for Health, 2018. </w:t>
      </w:r>
      <w:r w:rsidRPr="005729F3">
        <w:rPr>
          <w:b/>
        </w:rPr>
        <w:t>14</w:t>
      </w:r>
      <w:r w:rsidRPr="005729F3">
        <w:t>(3): p. 571-578.</w:t>
      </w:r>
    </w:p>
    <w:p w14:paraId="19D1E50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19.</w:t>
      </w:r>
      <w:r w:rsidRPr="005729F3">
        <w:tab/>
        <w:t xml:space="preserve">Lee, H.-M. and J.C. Galloway, </w:t>
      </w:r>
      <w:r w:rsidRPr="005729F3">
        <w:rPr>
          <w:i/>
        </w:rPr>
        <w:t>Early Intensive Postural and Movement Training Advances Head Control in Very Young Infants.</w:t>
      </w:r>
      <w:r w:rsidRPr="005729F3">
        <w:t xml:space="preserve"> Physical Therapy, 2012. </w:t>
      </w:r>
      <w:r w:rsidRPr="005729F3">
        <w:rPr>
          <w:b/>
        </w:rPr>
        <w:t>92</w:t>
      </w:r>
      <w:r w:rsidRPr="005729F3">
        <w:t>(7): p. 935-947.</w:t>
      </w:r>
    </w:p>
    <w:p w14:paraId="244BB76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20.</w:t>
      </w:r>
      <w:r w:rsidRPr="005729F3">
        <w:tab/>
        <w:t xml:space="preserve">Lobo, M.A. and J.C. Galloway, </w:t>
      </w:r>
      <w:r w:rsidRPr="005729F3">
        <w:rPr>
          <w:i/>
        </w:rPr>
        <w:t>Enhanced handling and positioning in early infancy advances development throughout the first year.</w:t>
      </w:r>
      <w:r w:rsidRPr="005729F3">
        <w:t xml:space="preserve"> Child Development, 2012. </w:t>
      </w:r>
      <w:r w:rsidRPr="005729F3">
        <w:rPr>
          <w:b/>
        </w:rPr>
        <w:t>83</w:t>
      </w:r>
      <w:r w:rsidRPr="005729F3">
        <w:t>(4): p. 1290-1302.</w:t>
      </w:r>
    </w:p>
    <w:p w14:paraId="07C7A1F2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lastRenderedPageBreak/>
        <w:t>21.</w:t>
      </w:r>
      <w:r w:rsidRPr="005729F3">
        <w:tab/>
        <w:t xml:space="preserve">Sigmundsson, H. and B. Hopkins, </w:t>
      </w:r>
      <w:r w:rsidRPr="005729F3">
        <w:rPr>
          <w:i/>
        </w:rPr>
        <w:t>Baby swimming: exploring the effects of early intervention on subsequent motor abilities.</w:t>
      </w:r>
      <w:r w:rsidRPr="005729F3">
        <w:t xml:space="preserve"> Child Care Health Dev, 2010. </w:t>
      </w:r>
      <w:r w:rsidRPr="005729F3">
        <w:rPr>
          <w:b/>
        </w:rPr>
        <w:t>36</w:t>
      </w:r>
      <w:r w:rsidRPr="005729F3">
        <w:t>(3): p. 428-30.</w:t>
      </w:r>
    </w:p>
    <w:p w14:paraId="109C64E2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22.</w:t>
      </w:r>
      <w:r w:rsidRPr="005729F3">
        <w:tab/>
        <w:t xml:space="preserve">Venetsanou, F. and A. Kambas, </w:t>
      </w:r>
      <w:r w:rsidRPr="005729F3">
        <w:rPr>
          <w:i/>
        </w:rPr>
        <w:t>How can a traditional Greek dances programme affect the motor proficiency of pre‐school children?</w:t>
      </w:r>
      <w:r w:rsidRPr="005729F3">
        <w:t xml:space="preserve"> Research in Dance Education, 2004. </w:t>
      </w:r>
      <w:r w:rsidRPr="005729F3">
        <w:rPr>
          <w:b/>
        </w:rPr>
        <w:t>5</w:t>
      </w:r>
      <w:r w:rsidRPr="005729F3">
        <w:t>(2): p. 127-138.</w:t>
      </w:r>
    </w:p>
    <w:p w14:paraId="5AD6ECC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23.</w:t>
      </w:r>
      <w:r w:rsidRPr="005729F3">
        <w:tab/>
        <w:t xml:space="preserve">Kuo, Y.-L., et al., </w:t>
      </w:r>
      <w:r w:rsidRPr="005729F3">
        <w:rPr>
          <w:i/>
        </w:rPr>
        <w:t>The influence of wakeful prone positioning on motor development during the early life.</w:t>
      </w:r>
      <w:r w:rsidRPr="005729F3">
        <w:t xml:space="preserve"> Journal of Developmental and Behavioral Pediatrics, 2008. </w:t>
      </w:r>
      <w:r w:rsidRPr="005729F3">
        <w:rPr>
          <w:b/>
        </w:rPr>
        <w:t>29</w:t>
      </w:r>
      <w:r w:rsidRPr="005729F3">
        <w:t>(5): p. 367-376.</w:t>
      </w:r>
    </w:p>
    <w:p w14:paraId="0246240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24.</w:t>
      </w:r>
      <w:r w:rsidRPr="005729F3">
        <w:tab/>
        <w:t xml:space="preserve">Holmes, R.M., A.D. Pellegrini, and S.L. Schmidt, </w:t>
      </w:r>
      <w:r w:rsidRPr="005729F3">
        <w:rPr>
          <w:i/>
        </w:rPr>
        <w:t>The effects of different recess timing regimens on preschoolers' classroom attention.</w:t>
      </w:r>
      <w:r w:rsidRPr="005729F3">
        <w:t xml:space="preserve"> Early Child Development and Care, 2006. </w:t>
      </w:r>
      <w:r w:rsidRPr="005729F3">
        <w:rPr>
          <w:b/>
        </w:rPr>
        <w:t>176</w:t>
      </w:r>
      <w:r w:rsidRPr="005729F3">
        <w:t>(7): p. 735-743.</w:t>
      </w:r>
    </w:p>
    <w:p w14:paraId="57E0C794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25.</w:t>
      </w:r>
      <w:r w:rsidRPr="005729F3">
        <w:tab/>
        <w:t xml:space="preserve">Kirk, S.M., et al., </w:t>
      </w:r>
      <w:r w:rsidRPr="005729F3">
        <w:rPr>
          <w:i/>
        </w:rPr>
        <w:t>Using Physical Activity to Teach Academic Content: A Study of the Effects on Literacy in Head Start Preschoolers.</w:t>
      </w:r>
      <w:r w:rsidRPr="005729F3">
        <w:t xml:space="preserve"> Early Childhood Education Journal, 2014. </w:t>
      </w:r>
      <w:r w:rsidRPr="005729F3">
        <w:rPr>
          <w:b/>
        </w:rPr>
        <w:t>42</w:t>
      </w:r>
      <w:r w:rsidRPr="005729F3">
        <w:t>(3): p. 181-189.</w:t>
      </w:r>
    </w:p>
    <w:p w14:paraId="65556AF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26.</w:t>
      </w:r>
      <w:r w:rsidRPr="005729F3">
        <w:tab/>
        <w:t xml:space="preserve">Kirk, S.M. and E.P. Kirk, </w:t>
      </w:r>
      <w:r w:rsidRPr="005729F3">
        <w:rPr>
          <w:i/>
        </w:rPr>
        <w:t>Sixty Minutes of Physical Activity per Day Included Within Preschool Academic Lessons Improves Early Literacy.</w:t>
      </w:r>
      <w:r w:rsidRPr="005729F3">
        <w:t xml:space="preserve"> J Sch Health, 2016. </w:t>
      </w:r>
      <w:r w:rsidRPr="005729F3">
        <w:rPr>
          <w:b/>
        </w:rPr>
        <w:t>86</w:t>
      </w:r>
      <w:r w:rsidRPr="005729F3">
        <w:t>(3): p. 155-63.</w:t>
      </w:r>
    </w:p>
    <w:p w14:paraId="18F522F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27.</w:t>
      </w:r>
      <w:r w:rsidRPr="005729F3">
        <w:tab/>
        <w:t xml:space="preserve">Mavilidi, M.-F., et al., </w:t>
      </w:r>
      <w:r w:rsidRPr="005729F3">
        <w:rPr>
          <w:i/>
        </w:rPr>
        <w:t>Effects of Integrated Physical Exercises and Gestures on Preschool Children’s Foreign Language Vocabulary Learning.</w:t>
      </w:r>
      <w:r w:rsidRPr="005729F3">
        <w:t xml:space="preserve"> Educational Psychology Review, 2015. </w:t>
      </w:r>
      <w:r w:rsidRPr="005729F3">
        <w:rPr>
          <w:b/>
        </w:rPr>
        <w:t>27</w:t>
      </w:r>
      <w:r w:rsidRPr="005729F3">
        <w:t>(3): p. 413-426.</w:t>
      </w:r>
    </w:p>
    <w:p w14:paraId="0F4ABE5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28.</w:t>
      </w:r>
      <w:r w:rsidRPr="005729F3">
        <w:tab/>
        <w:t xml:space="preserve">Mavilidi, M.-F., et al., </w:t>
      </w:r>
      <w:r w:rsidRPr="005729F3">
        <w:rPr>
          <w:i/>
        </w:rPr>
        <w:t>Infusing Physical Activities Into the Classroom: Effects on Preschool Children's Geography Learning.</w:t>
      </w:r>
      <w:r w:rsidRPr="005729F3">
        <w:t xml:space="preserve"> Mind, Brain, and Education, 2016. </w:t>
      </w:r>
      <w:r w:rsidRPr="005729F3">
        <w:rPr>
          <w:b/>
        </w:rPr>
        <w:t>10</w:t>
      </w:r>
      <w:r w:rsidRPr="005729F3">
        <w:t>(4): p. 256-263.</w:t>
      </w:r>
    </w:p>
    <w:p w14:paraId="4174BEF6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29.</w:t>
      </w:r>
      <w:r w:rsidRPr="005729F3">
        <w:tab/>
        <w:t xml:space="preserve">Mavilidi, M.-F., et al., </w:t>
      </w:r>
      <w:r w:rsidRPr="005729F3">
        <w:rPr>
          <w:i/>
        </w:rPr>
        <w:t>Effects of Integrating Physical Activities Into a Science Lesson on Preschool Children's Learning and Enjoyment.</w:t>
      </w:r>
      <w:r w:rsidRPr="005729F3">
        <w:t xml:space="preserve"> Applied Cognitive Psychology, 2017. </w:t>
      </w:r>
      <w:r w:rsidRPr="005729F3">
        <w:rPr>
          <w:b/>
        </w:rPr>
        <w:t>31</w:t>
      </w:r>
      <w:r w:rsidRPr="005729F3">
        <w:t>(3): p. 281-290.</w:t>
      </w:r>
    </w:p>
    <w:p w14:paraId="36CEB56A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30.</w:t>
      </w:r>
      <w:r w:rsidRPr="005729F3">
        <w:tab/>
        <w:t xml:space="preserve">Mavilidi, M.-F., et al., </w:t>
      </w:r>
      <w:r w:rsidRPr="005729F3">
        <w:rPr>
          <w:i/>
        </w:rPr>
        <w:t>Immediate and delayed effects of integrating physical activity into preschool children’s learning of numeracy skills.</w:t>
      </w:r>
      <w:r w:rsidRPr="005729F3">
        <w:t xml:space="preserve"> Journal of Experimental Child Psychology, 2018. </w:t>
      </w:r>
      <w:r w:rsidRPr="005729F3">
        <w:rPr>
          <w:b/>
        </w:rPr>
        <w:t>166</w:t>
      </w:r>
      <w:r w:rsidRPr="005729F3">
        <w:t>: p. 502-519.</w:t>
      </w:r>
    </w:p>
    <w:p w14:paraId="33127960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31.</w:t>
      </w:r>
      <w:r w:rsidRPr="005729F3">
        <w:tab/>
        <w:t xml:space="preserve">Palmer, K.K., M.W. Miller, and L.E. Robinson, </w:t>
      </w:r>
      <w:r w:rsidRPr="005729F3">
        <w:rPr>
          <w:i/>
        </w:rPr>
        <w:t>Acute exercise enhances preschoolers' ability to sustain attention.</w:t>
      </w:r>
      <w:r w:rsidRPr="005729F3">
        <w:t xml:space="preserve"> J Sport Exerc Psychol, 2013. </w:t>
      </w:r>
      <w:r w:rsidRPr="005729F3">
        <w:rPr>
          <w:b/>
        </w:rPr>
        <w:t>35</w:t>
      </w:r>
      <w:r w:rsidRPr="005729F3">
        <w:t>(4): p. 433-7.</w:t>
      </w:r>
    </w:p>
    <w:p w14:paraId="66C737DB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32.</w:t>
      </w:r>
      <w:r w:rsidRPr="005729F3">
        <w:tab/>
        <w:t xml:space="preserve">Webster, E.K., D.D. Wadsworth, and L.E. Robinson, </w:t>
      </w:r>
      <w:r w:rsidRPr="005729F3">
        <w:rPr>
          <w:i/>
        </w:rPr>
        <w:t>Preschoolers' time on-task and physical activity during a classroom activity break.</w:t>
      </w:r>
      <w:r w:rsidRPr="005729F3">
        <w:t xml:space="preserve"> Pediatr Exerc Sci, 2015. </w:t>
      </w:r>
      <w:r w:rsidRPr="005729F3">
        <w:rPr>
          <w:b/>
        </w:rPr>
        <w:t>27</w:t>
      </w:r>
      <w:r w:rsidRPr="005729F3">
        <w:t>(1): p. 160-7.</w:t>
      </w:r>
    </w:p>
    <w:p w14:paraId="03B6C08D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33.</w:t>
      </w:r>
      <w:r w:rsidRPr="005729F3">
        <w:tab/>
        <w:t xml:space="preserve">Metcalf, B.S., et al., </w:t>
      </w:r>
      <w:r w:rsidRPr="005729F3">
        <w:rPr>
          <w:i/>
        </w:rPr>
        <w:t>Objectively measured physical activity and its association with adiponectin and other novel metabolic markers: a longitudinal study in children (EarlyBird 38).</w:t>
      </w:r>
      <w:r w:rsidRPr="005729F3">
        <w:t xml:space="preserve"> Diabetes Care, 2009. </w:t>
      </w:r>
      <w:r w:rsidRPr="005729F3">
        <w:rPr>
          <w:b/>
        </w:rPr>
        <w:t>32</w:t>
      </w:r>
      <w:r w:rsidRPr="005729F3">
        <w:t>(3): p. 468-73.</w:t>
      </w:r>
    </w:p>
    <w:p w14:paraId="15059B98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34.</w:t>
      </w:r>
      <w:r w:rsidRPr="005729F3">
        <w:tab/>
        <w:t xml:space="preserve">DuRant, R.H., et al., </w:t>
      </w:r>
      <w:r w:rsidRPr="005729F3">
        <w:rPr>
          <w:i/>
        </w:rPr>
        <w:t>Association among serum lipid and lipoprotein concentrations and physical activity, physical fitness, and body composition in young children.</w:t>
      </w:r>
      <w:r w:rsidRPr="005729F3">
        <w:t xml:space="preserve"> J Pediatr, 1993. </w:t>
      </w:r>
      <w:r w:rsidRPr="005729F3">
        <w:rPr>
          <w:b/>
        </w:rPr>
        <w:t>123</w:t>
      </w:r>
      <w:r w:rsidRPr="005729F3">
        <w:t>(2): p. 185-92.</w:t>
      </w:r>
    </w:p>
    <w:p w14:paraId="132EDCCE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35.</w:t>
      </w:r>
      <w:r w:rsidRPr="005729F3">
        <w:tab/>
        <w:t xml:space="preserve">Vella, S.A., C.A. Magee, and D.P. Cliff, </w:t>
      </w:r>
      <w:r w:rsidRPr="005729F3">
        <w:rPr>
          <w:i/>
        </w:rPr>
        <w:t>Trajectories and predictors of health-related quality of life during childhood.</w:t>
      </w:r>
      <w:r w:rsidRPr="005729F3">
        <w:t xml:space="preserve"> The Journal of Pediatrics, 2015. </w:t>
      </w:r>
      <w:r w:rsidRPr="005729F3">
        <w:rPr>
          <w:b/>
        </w:rPr>
        <w:t>167</w:t>
      </w:r>
      <w:r w:rsidRPr="005729F3">
        <w:t>(2): p. 422-427.</w:t>
      </w:r>
    </w:p>
    <w:p w14:paraId="07D9825D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36.</w:t>
      </w:r>
      <w:r w:rsidRPr="005729F3">
        <w:tab/>
        <w:t xml:space="preserve">Wosje, K.S., et al., </w:t>
      </w:r>
      <w:r w:rsidRPr="005729F3">
        <w:rPr>
          <w:i/>
        </w:rPr>
        <w:t>Adiposity and TV viewing are related to less bone accrual in young children.</w:t>
      </w:r>
      <w:r w:rsidRPr="005729F3">
        <w:t xml:space="preserve"> J Pediatr, 2009. </w:t>
      </w:r>
      <w:r w:rsidRPr="005729F3">
        <w:rPr>
          <w:b/>
        </w:rPr>
        <w:t>154</w:t>
      </w:r>
      <w:r w:rsidRPr="005729F3">
        <w:t>(1): p. 79-85.e2.</w:t>
      </w:r>
    </w:p>
    <w:p w14:paraId="3E6ACDC0" w14:textId="77777777" w:rsidR="001C3D52" w:rsidRPr="005729F3" w:rsidRDefault="001C3D52" w:rsidP="001C3D52">
      <w:pPr>
        <w:pStyle w:val="EndNoteBibliography"/>
        <w:ind w:left="720" w:hanging="720"/>
      </w:pPr>
      <w:r w:rsidRPr="005729F3">
        <w:t>37.</w:t>
      </w:r>
      <w:r w:rsidRPr="005729F3">
        <w:tab/>
        <w:t xml:space="preserve">Clark, E.M., A.R. Ness, and J.H. Tobias, </w:t>
      </w:r>
      <w:r w:rsidRPr="005729F3">
        <w:rPr>
          <w:i/>
        </w:rPr>
        <w:t>Vigorous Physical Activity Increases Fracture Risk in Children Irrespective of Bone Mass: A Prospective Study of the Independent Risk Factors for Fractures in Healthy Children.</w:t>
      </w:r>
      <w:r w:rsidRPr="005729F3">
        <w:t xml:space="preserve"> Journal of Bone &amp; Mineral Research, 2008. </w:t>
      </w:r>
      <w:r w:rsidRPr="005729F3">
        <w:rPr>
          <w:b/>
        </w:rPr>
        <w:t>23</w:t>
      </w:r>
      <w:r w:rsidRPr="005729F3">
        <w:t>(7): p. 1012-22.</w:t>
      </w:r>
    </w:p>
    <w:p w14:paraId="22641FC9" w14:textId="77777777" w:rsidR="001C3D52" w:rsidRPr="00530617" w:rsidRDefault="001C3D52" w:rsidP="001C3D52">
      <w:pPr>
        <w:rPr>
          <w:color w:val="000000" w:themeColor="text1"/>
        </w:rPr>
      </w:pPr>
      <w:r>
        <w:rPr>
          <w:color w:val="000000" w:themeColor="text1"/>
        </w:rPr>
        <w:fldChar w:fldCharType="end"/>
      </w:r>
    </w:p>
    <w:p w14:paraId="76241E1C" w14:textId="77777777" w:rsidR="001C3D52" w:rsidRPr="00C320B0" w:rsidRDefault="001C3D52" w:rsidP="001C3D52">
      <w:pPr>
        <w:rPr>
          <w:szCs w:val="24"/>
          <w:lang w:val="en-US"/>
        </w:rPr>
      </w:pPr>
    </w:p>
    <w:p w14:paraId="62A40BEF" w14:textId="77777777" w:rsidR="001C3D52" w:rsidRPr="001C3D52" w:rsidRDefault="001C3D52">
      <w:pPr>
        <w:rPr>
          <w:b/>
          <w:lang w:val="en-US"/>
        </w:rPr>
      </w:pPr>
    </w:p>
    <w:sectPr w:rsidR="001C3D52" w:rsidRPr="001C3D52" w:rsidSect="009B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74409"/>
    <w:multiLevelType w:val="hybridMultilevel"/>
    <w:tmpl w:val="96B075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71EAF"/>
    <w:multiLevelType w:val="hybridMultilevel"/>
    <w:tmpl w:val="F15023E8"/>
    <w:lvl w:ilvl="0" w:tplc="7EFAD1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07190"/>
    <w:multiLevelType w:val="hybridMultilevel"/>
    <w:tmpl w:val="C31CC3EE"/>
    <w:lvl w:ilvl="0" w:tplc="4350E5DC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D644C20"/>
    <w:multiLevelType w:val="hybridMultilevel"/>
    <w:tmpl w:val="0DC4637A"/>
    <w:lvl w:ilvl="0" w:tplc="4FD40D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F320176"/>
    <w:multiLevelType w:val="hybridMultilevel"/>
    <w:tmpl w:val="EF9AAE7E"/>
    <w:lvl w:ilvl="0" w:tplc="48E62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8707E"/>
    <w:multiLevelType w:val="hybridMultilevel"/>
    <w:tmpl w:val="CC02115A"/>
    <w:lvl w:ilvl="0" w:tplc="2EA622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C375D"/>
    <w:multiLevelType w:val="hybridMultilevel"/>
    <w:tmpl w:val="A2841B64"/>
    <w:lvl w:ilvl="0" w:tplc="0060B4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579"/>
    <w:multiLevelType w:val="hybridMultilevel"/>
    <w:tmpl w:val="88F6A9B2"/>
    <w:lvl w:ilvl="0" w:tplc="50C0316C">
      <w:start w:val="5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20E9A"/>
    <w:multiLevelType w:val="hybridMultilevel"/>
    <w:tmpl w:val="44EEE640"/>
    <w:lvl w:ilvl="0" w:tplc="2ACE66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52"/>
    <w:rsid w:val="00025D51"/>
    <w:rsid w:val="00026C64"/>
    <w:rsid w:val="000D2637"/>
    <w:rsid w:val="000E0302"/>
    <w:rsid w:val="000F6B47"/>
    <w:rsid w:val="001B176D"/>
    <w:rsid w:val="001C3D52"/>
    <w:rsid w:val="00227BAC"/>
    <w:rsid w:val="002747FE"/>
    <w:rsid w:val="002E6673"/>
    <w:rsid w:val="00325862"/>
    <w:rsid w:val="003B6FA5"/>
    <w:rsid w:val="003E678E"/>
    <w:rsid w:val="0044537A"/>
    <w:rsid w:val="00460384"/>
    <w:rsid w:val="00486435"/>
    <w:rsid w:val="004E5BF6"/>
    <w:rsid w:val="004F63F9"/>
    <w:rsid w:val="005137CE"/>
    <w:rsid w:val="005230E1"/>
    <w:rsid w:val="0057416B"/>
    <w:rsid w:val="005B006F"/>
    <w:rsid w:val="00655B09"/>
    <w:rsid w:val="00693379"/>
    <w:rsid w:val="006D54C4"/>
    <w:rsid w:val="00731A23"/>
    <w:rsid w:val="00744BB6"/>
    <w:rsid w:val="00810D65"/>
    <w:rsid w:val="008302FB"/>
    <w:rsid w:val="00831386"/>
    <w:rsid w:val="008731C2"/>
    <w:rsid w:val="008956D4"/>
    <w:rsid w:val="008C3C3C"/>
    <w:rsid w:val="008D6437"/>
    <w:rsid w:val="008F07E3"/>
    <w:rsid w:val="008F2D6E"/>
    <w:rsid w:val="00906BC4"/>
    <w:rsid w:val="00936C6C"/>
    <w:rsid w:val="00950B98"/>
    <w:rsid w:val="00953BD1"/>
    <w:rsid w:val="009B4532"/>
    <w:rsid w:val="009C5F49"/>
    <w:rsid w:val="009D162D"/>
    <w:rsid w:val="009F5B88"/>
    <w:rsid w:val="00A1199D"/>
    <w:rsid w:val="00A61162"/>
    <w:rsid w:val="00A94D2F"/>
    <w:rsid w:val="00AB1BDE"/>
    <w:rsid w:val="00AC58B4"/>
    <w:rsid w:val="00BB5DE1"/>
    <w:rsid w:val="00BD7E03"/>
    <w:rsid w:val="00C33E01"/>
    <w:rsid w:val="00C35659"/>
    <w:rsid w:val="00C93DA0"/>
    <w:rsid w:val="00D109B5"/>
    <w:rsid w:val="00D25E43"/>
    <w:rsid w:val="00D47D05"/>
    <w:rsid w:val="00D90F76"/>
    <w:rsid w:val="00DD31D1"/>
    <w:rsid w:val="00E93EF9"/>
    <w:rsid w:val="00E96D79"/>
    <w:rsid w:val="00EC7FCA"/>
    <w:rsid w:val="00EE2118"/>
    <w:rsid w:val="00F02403"/>
    <w:rsid w:val="00F7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D343"/>
  <w15:chartTrackingRefBased/>
  <w15:docId w15:val="{7407017F-FD7E-480D-9DA3-CEA6E4CF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3D52"/>
  </w:style>
  <w:style w:type="paragraph" w:styleId="Kop1">
    <w:name w:val="heading 1"/>
    <w:basedOn w:val="Standaard"/>
    <w:next w:val="Standaard"/>
    <w:link w:val="Kop1Char"/>
    <w:uiPriority w:val="9"/>
    <w:qFormat/>
    <w:rsid w:val="001C3D52"/>
    <w:pPr>
      <w:spacing w:line="480" w:lineRule="auto"/>
      <w:outlineLvl w:val="0"/>
    </w:pPr>
    <w:rPr>
      <w:b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3D52"/>
    <w:pPr>
      <w:spacing w:line="480" w:lineRule="auto"/>
      <w:outlineLvl w:val="1"/>
    </w:pPr>
    <w:rPr>
      <w:i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1C3D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3D52"/>
    <w:pPr>
      <w:spacing w:line="240" w:lineRule="auto"/>
      <w:ind w:firstLine="426"/>
    </w:pPr>
    <w:rPr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3D52"/>
    <w:rPr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1C3D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5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1C3D52"/>
    <w:rPr>
      <w:b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1C3D52"/>
    <w:rPr>
      <w:i/>
      <w:lang w:val="en-US"/>
    </w:rPr>
  </w:style>
  <w:style w:type="paragraph" w:styleId="Lijstalinea">
    <w:name w:val="List Paragraph"/>
    <w:basedOn w:val="Standaard"/>
    <w:uiPriority w:val="34"/>
    <w:qFormat/>
    <w:rsid w:val="001C3D52"/>
    <w:pPr>
      <w:spacing w:line="480" w:lineRule="auto"/>
      <w:ind w:left="720" w:firstLine="426"/>
      <w:contextualSpacing/>
    </w:pPr>
    <w:rPr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3D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3D52"/>
    <w:rPr>
      <w:b/>
      <w:bCs/>
      <w:sz w:val="20"/>
      <w:szCs w:val="20"/>
      <w:lang w:val="en-US"/>
    </w:rPr>
  </w:style>
  <w:style w:type="paragraph" w:customStyle="1" w:styleId="Default">
    <w:name w:val="Default"/>
    <w:rsid w:val="001C3D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Standaard"/>
    <w:link w:val="EndNoteBibliographyTitleChar"/>
    <w:rsid w:val="001C3D52"/>
    <w:pPr>
      <w:spacing w:after="0" w:line="480" w:lineRule="auto"/>
      <w:ind w:firstLine="426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1C3D52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1C3D52"/>
    <w:pPr>
      <w:spacing w:line="240" w:lineRule="auto"/>
      <w:ind w:firstLine="426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1C3D52"/>
    <w:rPr>
      <w:rFonts w:ascii="Calibri" w:hAnsi="Calibri"/>
      <w:noProof/>
      <w:lang w:val="en-US"/>
    </w:rPr>
  </w:style>
  <w:style w:type="character" w:styleId="Hyperlink">
    <w:name w:val="Hyperlink"/>
    <w:basedOn w:val="Standaardalinea-lettertype"/>
    <w:uiPriority w:val="99"/>
    <w:unhideWhenUsed/>
    <w:rsid w:val="001C3D52"/>
    <w:rPr>
      <w:color w:val="0563C1" w:themeColor="hyperlink"/>
      <w:u w:val="single"/>
    </w:rPr>
  </w:style>
  <w:style w:type="paragraph" w:customStyle="1" w:styleId="Tabel">
    <w:name w:val="Tabel"/>
    <w:basedOn w:val="Standaard"/>
    <w:link w:val="TabelChar"/>
    <w:qFormat/>
    <w:rsid w:val="001C3D52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TabelChar">
    <w:name w:val="Tabel Char"/>
    <w:basedOn w:val="Standaardalinea-lettertype"/>
    <w:link w:val="Tabel"/>
    <w:rsid w:val="001C3D52"/>
    <w:rPr>
      <w:rFonts w:eastAsia="Times New Roman" w:cs="Times New Roman"/>
      <w:szCs w:val="24"/>
    </w:rPr>
  </w:style>
  <w:style w:type="character" w:customStyle="1" w:styleId="TabelTitleChar">
    <w:name w:val="Tabel Title Char"/>
    <w:basedOn w:val="TabelChar"/>
    <w:link w:val="TabelTitle"/>
    <w:locked/>
    <w:rsid w:val="001C3D52"/>
    <w:rPr>
      <w:rFonts w:ascii="Times New Roman" w:eastAsia="Times New Roman" w:hAnsi="Times New Roman" w:cs="Times New Roman"/>
      <w:b/>
      <w:szCs w:val="24"/>
    </w:rPr>
  </w:style>
  <w:style w:type="paragraph" w:customStyle="1" w:styleId="TabelTitle">
    <w:name w:val="Tabel Title"/>
    <w:basedOn w:val="Tabel"/>
    <w:link w:val="TabelTitleChar"/>
    <w:qFormat/>
    <w:rsid w:val="001C3D52"/>
    <w:rPr>
      <w:rFonts w:ascii="Times New Roman" w:hAnsi="Times New Roman"/>
      <w:b/>
    </w:rPr>
  </w:style>
  <w:style w:type="table" w:styleId="Lichtearcering">
    <w:name w:val="Light Shading"/>
    <w:basedOn w:val="Standaardtabel"/>
    <w:uiPriority w:val="60"/>
    <w:rsid w:val="001C3D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Geenafstand">
    <w:name w:val="No Spacing"/>
    <w:uiPriority w:val="1"/>
    <w:qFormat/>
    <w:rsid w:val="001C3D52"/>
    <w:pPr>
      <w:spacing w:after="0" w:line="240" w:lineRule="auto"/>
    </w:pPr>
  </w:style>
  <w:style w:type="paragraph" w:styleId="Koptekst">
    <w:name w:val="header"/>
    <w:basedOn w:val="Standaard"/>
    <w:link w:val="KoptekstChar"/>
    <w:rsid w:val="001C3D52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KoptekstChar">
    <w:name w:val="Koptekst Char"/>
    <w:basedOn w:val="Standaardalinea-lettertype"/>
    <w:link w:val="Koptekst"/>
    <w:rsid w:val="001C3D52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523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44840A78</Template>
  <TotalTime>1</TotalTime>
  <Pages>22</Pages>
  <Words>1532</Words>
  <Characters>8427</Characters>
  <Application>Microsoft Office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Veldman, S.L.C. (Sanne)</dc:creator>
  <cp:keywords/>
  <dc:description/>
  <cp:lastModifiedBy>Veldman, S.L.C. (Sanne)</cp:lastModifiedBy>
  <cp:revision>3</cp:revision>
  <cp:lastPrinted>2020-03-03T12:26:00Z</cp:lastPrinted>
  <dcterms:created xsi:type="dcterms:W3CDTF">2020-07-02T10:21:00Z</dcterms:created>
  <dcterms:modified xsi:type="dcterms:W3CDTF">2020-07-02T10:22:00Z</dcterms:modified>
</cp:coreProperties>
</file>