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8E02A6" w14:textId="6C41FF3E" w:rsidR="00D33DED" w:rsidRPr="00D33DED" w:rsidRDefault="00D33DED" w:rsidP="00627085">
      <w:pPr>
        <w:rPr>
          <w:b/>
          <w:sz w:val="28"/>
        </w:rPr>
      </w:pPr>
      <w:r w:rsidRPr="00D33DED">
        <w:rPr>
          <w:b/>
          <w:sz w:val="28"/>
        </w:rPr>
        <w:t xml:space="preserve">Additional File </w:t>
      </w:r>
      <w:r w:rsidR="00C439E6">
        <w:rPr>
          <w:b/>
          <w:sz w:val="28"/>
        </w:rPr>
        <w:t>3</w:t>
      </w:r>
      <w:r w:rsidRPr="00D33DED">
        <w:rPr>
          <w:b/>
          <w:sz w:val="28"/>
        </w:rPr>
        <w:t>. Supplementary methods</w:t>
      </w:r>
    </w:p>
    <w:p w14:paraId="06089F4E" w14:textId="77777777" w:rsidR="00D33DED" w:rsidRDefault="00D33DED" w:rsidP="00627085">
      <w:pPr>
        <w:rPr>
          <w:b/>
        </w:rPr>
      </w:pPr>
    </w:p>
    <w:p w14:paraId="13D436B3" w14:textId="77777777" w:rsidR="00C27A95" w:rsidRDefault="00C27A95" w:rsidP="00627085">
      <w:pPr>
        <w:rPr>
          <w:b/>
        </w:rPr>
      </w:pPr>
      <w:r>
        <w:rPr>
          <w:b/>
        </w:rPr>
        <w:t>Physical activity measures</w:t>
      </w:r>
    </w:p>
    <w:p w14:paraId="4F432FD1" w14:textId="77777777" w:rsidR="00C27A95" w:rsidRDefault="00C27A95" w:rsidP="00C27A95"/>
    <w:p w14:paraId="5F8E4701" w14:textId="60CD51DE" w:rsidR="00C27A95" w:rsidRPr="006215BE" w:rsidRDefault="00C27A95" w:rsidP="00C27A95">
      <w:r w:rsidRPr="006215BE">
        <w:t xml:space="preserve">Self-reported PA was used to characterise baseline PA levels of the sample. </w:t>
      </w:r>
      <w:r>
        <w:t>PA</w:t>
      </w:r>
      <w:r w:rsidRPr="006215BE">
        <w:t xml:space="preserve"> in the past week was assessed using a single item </w:t>
      </w:r>
      <w:r w:rsidRPr="006215BE">
        <w:fldChar w:fldCharType="begin" w:fldLock="1"/>
      </w:r>
      <w:r w:rsidR="0058170C">
        <w:instrText>ADDIN CSL_CITATION {"citationItems":[{"id":"ITEM-1","itemData":{"ISBN":"1440-1754","author":[{"dropping-particle":"","family":"Scott","given":"Joseph J","non-dropping-particle":"","parse-names":false,"suffix":""},{"dropping-particle":"","family":"Morgan","given":"Philip J","non-dropping-particle":"","parse-names":false,"suffix":""},{"dropping-particle":"","family":"Plotnikoff","given":"Ronald C","non-dropping-particle":"","parse-names":false,"suffix":""},{"dropping-particle":"","family":"Lubans","given":"David R","non-dropping-particle":"","parse-names":false,"suffix":""}],"container-title":"Journal of paediatrics and child health","id":"ITEM-1","issue":"8","issued":{"date-parts":[["2015"]]},"page":"787-793","title":"Reliability and validity of a single</w:instrText>
      </w:r>
      <w:r w:rsidR="0058170C">
        <w:rPr>
          <w:rFonts w:ascii="Cambria Math" w:hAnsi="Cambria Math" w:cs="Cambria Math"/>
        </w:rPr>
        <w:instrText>‐</w:instrText>
      </w:r>
      <w:r w:rsidR="0058170C">
        <w:instrText>item physical activity measure for adolescents","type":"article-journal","volume":"51"},"uris":["http://www.mendeley.com/documents/?uuid=f98295cc-7b14-4380-b841-0b48c410927d"]}],"mendeley":{"formattedCitation":"(1)","plainTextFormattedCitation":"(1)","previouslyFormattedCitation":"(1)"},"properties":{"noteIndex":0},"schema":"https://github.com/citation-style-language/schema/raw/master/csl-citation.json"}</w:instrText>
      </w:r>
      <w:r w:rsidRPr="006215BE">
        <w:fldChar w:fldCharType="separate"/>
      </w:r>
      <w:r w:rsidR="00CC433E" w:rsidRPr="00CC433E">
        <w:rPr>
          <w:noProof/>
        </w:rPr>
        <w:t>(1)</w:t>
      </w:r>
      <w:r w:rsidRPr="006215BE">
        <w:fldChar w:fldCharType="end"/>
      </w:r>
      <w:r w:rsidRPr="006215BE">
        <w:t xml:space="preserve"> asking: “In the past week, on how many days have you done a total of 60 minutes or more of physical activity, which was enough to raise your breathing rate? This may include sport, exercise, and brisk walking or cycling for fun, or to get to and from places.” (range 0 - 7). Habitual </w:t>
      </w:r>
      <w:r>
        <w:t>PA</w:t>
      </w:r>
      <w:r w:rsidRPr="006215BE">
        <w:t xml:space="preserve"> over the past six months was measured with a single item drawn from previous studies </w:t>
      </w:r>
      <w:r w:rsidRPr="006215BE">
        <w:fldChar w:fldCharType="begin" w:fldLock="1"/>
      </w:r>
      <w:r w:rsidR="00AF1BDE">
        <w:instrText>ADDIN CSL_CITATION {"citationItems":[{"id":"ITEM-1","itemData":{"DOI":"10.1080/08870440108405515","ISBN":"0887-0446","ISSN":"08870446","abstract":"This study examined the predictive validity and time-lagged relationships in a model of children's physical activity intentions, attitudes, perceived behavioural control (PBC), behaviour and past behaviour using the Theory of Planned Behaviour (TPB; Ajzen, 1985) as a framework. In Study I, 386 children aged 12-14 years completed measures of intentions, attitudes, subjective norm, PBC and past behaviour. Their physical activity behaviour was assessed one week later. Structural equation analyses supported the construct and predictive validity of the TPB with the exception of subjective norms which did not predict intentions. In Study 2, 70 children completed measures of their physical activity attitudes, intentions, PBC and past behaviour. Attitudes, intentions, PBC and recent behaviour were re-assessed five weeks later. The cognitions demonstrated a moderate degree of stability over time and there were some cross-lagged effects between attitudes and PBC. Past behaviour demonstrated additive rather than attenuating effects. These results support the use of the TPB cognitions and past behaviour as a framework to examine children's physical activity behaviour.","author":[{"dropping-particle":"","family":"Hagger","given":"Martin S","non-dropping-particle":"","parse-names":false,"suffix":""},{"dropping-particle":"","family":"Chatzisarantis","given":"Nikos","non-dropping-particle":"","parse-names":false,"suffix":""},{"dropping-particle":"","family":"Biddle","given":"Stuart J.H.","non-dropping-particle":"","parse-names":false,"suffix":""},{"dropping-particle":"","family":"Orbell","given":"Sheina","non-dropping-particle":"","parse-names":false,"suffix":""}],"container-title":"Psychology and Health","id":"ITEM-1","issue":"4","issued":{"date-parts":[["2001"]]},"page":"391-407","title":"Antecedents of children's physical activity intentions and behaviour: Predictive validity and longitudinal effects","type":"article-journal","volume":"16"},"uris":["http://www.mendeley.com/documents/?uuid=c3a9778c-a61b-410c-b7a5-d478acb4f5b8"]}],"mendeley":{"formattedCitation":"(2)","plainTextFormattedCitation":"(2)","previouslyFormattedCitation":"(2)"},"properties":{"noteIndex":0},"schema":"https://github.com/citation-style-language/schema/raw/master/csl-citation.json"}</w:instrText>
      </w:r>
      <w:r w:rsidRPr="006215BE">
        <w:fldChar w:fldCharType="separate"/>
      </w:r>
      <w:r w:rsidR="00CC433E" w:rsidRPr="00CC433E">
        <w:rPr>
          <w:noProof/>
        </w:rPr>
        <w:t>(2)</w:t>
      </w:r>
      <w:r w:rsidRPr="006215BE">
        <w:fldChar w:fldCharType="end"/>
      </w:r>
      <w:r w:rsidRPr="006215BE">
        <w:t>: “Thinking about the past six months, how often have you been physically active for an hour every day during a typical week in school term?" (1 = never to 7 = always).</w:t>
      </w:r>
    </w:p>
    <w:p w14:paraId="2B540BCF" w14:textId="77777777" w:rsidR="00C27A95" w:rsidRDefault="00C27A95" w:rsidP="00627085">
      <w:pPr>
        <w:rPr>
          <w:b/>
        </w:rPr>
      </w:pPr>
    </w:p>
    <w:p w14:paraId="5255D33F" w14:textId="77777777" w:rsidR="00627085" w:rsidRDefault="00627085" w:rsidP="00627085">
      <w:pPr>
        <w:rPr>
          <w:b/>
        </w:rPr>
      </w:pPr>
      <w:r>
        <w:rPr>
          <w:b/>
        </w:rPr>
        <w:t>Cognitive assessments</w:t>
      </w:r>
    </w:p>
    <w:p w14:paraId="419609EE" w14:textId="77777777" w:rsidR="00627085" w:rsidRDefault="00627085" w:rsidP="00627085">
      <w:pPr>
        <w:rPr>
          <w:b/>
        </w:rPr>
      </w:pPr>
    </w:p>
    <w:p w14:paraId="3407B479" w14:textId="77777777" w:rsidR="00627085" w:rsidRPr="005A6015" w:rsidRDefault="00627085" w:rsidP="00627085">
      <w:pPr>
        <w:rPr>
          <w:i/>
        </w:rPr>
      </w:pPr>
      <w:r w:rsidRPr="005A6015">
        <w:rPr>
          <w:i/>
        </w:rPr>
        <w:t>Reaction time task</w:t>
      </w:r>
    </w:p>
    <w:p w14:paraId="26A34499" w14:textId="202BD086" w:rsidR="00627085" w:rsidRPr="005A6015" w:rsidRDefault="00627085" w:rsidP="00627085">
      <w:r w:rsidRPr="005A6015">
        <w:t>During the task, participants were instructed to respond as quickly as possible (pressing the spacebar) to the presentation of a triangle on the screen (40 trials). Responses between 100-3</w:t>
      </w:r>
      <w:r w:rsidR="0058170C">
        <w:t>,</w:t>
      </w:r>
      <w:r w:rsidRPr="005A6015">
        <w:t>000</w:t>
      </w:r>
      <w:r w:rsidR="0058170C">
        <w:t xml:space="preserve"> </w:t>
      </w:r>
      <w:r w:rsidRPr="005A6015">
        <w:t>ms were considered valid.</w:t>
      </w:r>
    </w:p>
    <w:p w14:paraId="608B75BA" w14:textId="77777777" w:rsidR="00627085" w:rsidRPr="005A6015" w:rsidRDefault="00627085" w:rsidP="00627085"/>
    <w:p w14:paraId="613039BC" w14:textId="77777777" w:rsidR="00627085" w:rsidRPr="005A6015" w:rsidRDefault="00627085" w:rsidP="00627085">
      <w:r w:rsidRPr="005A6015">
        <w:rPr>
          <w:i/>
        </w:rPr>
        <w:t>Relational memory task</w:t>
      </w:r>
      <w:r w:rsidRPr="005A6015">
        <w:t xml:space="preserve">. </w:t>
      </w:r>
    </w:p>
    <w:p w14:paraId="1223C0FC" w14:textId="0A2690B8" w:rsidR="00627085" w:rsidRPr="005A6015" w:rsidRDefault="00627085" w:rsidP="00627085">
      <w:r w:rsidRPr="005A6015">
        <w:t>In the task, participants were presented with two blocks of 18 study trials (i.e. events) containing scene, face and object stimuli. Within each trial, each type of stimulus was presented individually and sequentially (1</w:t>
      </w:r>
      <w:r w:rsidR="0058170C">
        <w:t>,</w:t>
      </w:r>
      <w:r w:rsidRPr="005A6015">
        <w:t>300</w:t>
      </w:r>
      <w:r w:rsidR="0058170C">
        <w:t xml:space="preserve"> </w:t>
      </w:r>
      <w:r w:rsidRPr="005A6015">
        <w:t>ms). Participants were instructed to memorise the stimuli within each trial as belonging to a single event. During the recognition phase, participants were shown 36 test trials, each containing a place, object and face stimulus, half of which were intact (i.e. the stimuli appeared in the same study trial). Participants were instructed to indicate whether all stimuli were from the same even, or whether one of the stimuli did not belong to the event. Responses within 200-15</w:t>
      </w:r>
      <w:r w:rsidR="0058170C">
        <w:t>,</w:t>
      </w:r>
      <w:r w:rsidRPr="005A6015">
        <w:t>000</w:t>
      </w:r>
      <w:r w:rsidR="0058170C">
        <w:t xml:space="preserve"> </w:t>
      </w:r>
      <w:r w:rsidRPr="005A6015">
        <w:t>ms were considered valid.</w:t>
      </w:r>
    </w:p>
    <w:p w14:paraId="00AF354E" w14:textId="77777777" w:rsidR="00627085" w:rsidRPr="000119CF" w:rsidRDefault="00627085" w:rsidP="00627085">
      <w:pPr>
        <w:rPr>
          <w:rFonts w:ascii="Arial" w:hAnsi="Arial" w:cs="Arial"/>
        </w:rPr>
      </w:pPr>
    </w:p>
    <w:p w14:paraId="5C9C95D3" w14:textId="77777777" w:rsidR="00627085" w:rsidRPr="000119CF" w:rsidRDefault="00627085" w:rsidP="00627085">
      <w:pPr>
        <w:rPr>
          <w:i/>
        </w:rPr>
      </w:pPr>
      <w:r w:rsidRPr="000119CF">
        <w:rPr>
          <w:i/>
        </w:rPr>
        <w:t>Modified flanker task</w:t>
      </w:r>
    </w:p>
    <w:p w14:paraId="7E2CAB19" w14:textId="378903AA" w:rsidR="00627085" w:rsidRPr="000119CF" w:rsidRDefault="00627085" w:rsidP="00627085">
      <w:r w:rsidRPr="000119CF">
        <w:t>Participants were instructed to respond as quickly and accurately as possible to the direction of a centrally presented target arrow, which was flanked by arrows that were either in the same direction (i.e. congruent) or opposite direction (i.e. incongruent) to the centrally presented target arrow. The task consisted of two blocks of 52 trials each and responses within 200-1</w:t>
      </w:r>
      <w:r w:rsidR="0058170C">
        <w:t>,</w:t>
      </w:r>
      <w:r w:rsidRPr="000119CF">
        <w:t>400</w:t>
      </w:r>
      <w:r w:rsidR="0058170C">
        <w:t xml:space="preserve"> </w:t>
      </w:r>
      <w:r w:rsidRPr="000119CF">
        <w:t xml:space="preserve">ms were considered valid. Accuracy and average reaction times on congruent and incongruent valid trials were recorded. </w:t>
      </w:r>
    </w:p>
    <w:p w14:paraId="12ACD585" w14:textId="77777777" w:rsidR="00627085" w:rsidRPr="000119CF" w:rsidRDefault="00627085" w:rsidP="00627085"/>
    <w:p w14:paraId="0B88177A" w14:textId="7380675D" w:rsidR="00627085" w:rsidRPr="000119CF" w:rsidRDefault="00627085" w:rsidP="00627085">
      <w:pPr>
        <w:rPr>
          <w:i/>
        </w:rPr>
      </w:pPr>
      <w:r w:rsidRPr="000119CF">
        <w:rPr>
          <w:i/>
        </w:rPr>
        <w:t xml:space="preserve">Visual </w:t>
      </w:r>
      <w:r w:rsidR="0058170C">
        <w:rPr>
          <w:i/>
        </w:rPr>
        <w:t>two</w:t>
      </w:r>
      <w:r w:rsidRPr="000119CF">
        <w:rPr>
          <w:i/>
        </w:rPr>
        <w:t xml:space="preserve">-back </w:t>
      </w:r>
    </w:p>
    <w:p w14:paraId="7EF953B8" w14:textId="73DF2663" w:rsidR="00627085" w:rsidRPr="000119CF" w:rsidRDefault="00627085" w:rsidP="00627085">
      <w:r w:rsidRPr="000119CF">
        <w:t>Participants were shown pseudorandom sequences of weather symbols (i.e. sun, moon, rainbow, snowflake and star), and instructed to identify as quickly and accurately as possible whether the stimulus on the current trial was identical to the one presented two trials ago. The task consisted of two blocks of 26 trials each and responses within 150-2</w:t>
      </w:r>
      <w:r w:rsidR="0058170C">
        <w:t>,</w:t>
      </w:r>
      <w:r w:rsidRPr="000119CF">
        <w:t>500</w:t>
      </w:r>
      <w:r w:rsidR="0058170C">
        <w:t xml:space="preserve"> </w:t>
      </w:r>
      <w:r w:rsidRPr="000119CF">
        <w:t>ms were considered valid. The accuracy and average reaction time on valid trials were recorded.</w:t>
      </w:r>
    </w:p>
    <w:p w14:paraId="3E0DC716" w14:textId="77777777" w:rsidR="00627085" w:rsidRPr="000119CF" w:rsidRDefault="00627085" w:rsidP="00627085"/>
    <w:p w14:paraId="319B599B" w14:textId="77777777" w:rsidR="00627085" w:rsidRPr="000119CF" w:rsidRDefault="00627085" w:rsidP="00627085">
      <w:pPr>
        <w:rPr>
          <w:i/>
        </w:rPr>
      </w:pPr>
      <w:r w:rsidRPr="000119CF">
        <w:rPr>
          <w:i/>
        </w:rPr>
        <w:t>Colour-shape switching task</w:t>
      </w:r>
    </w:p>
    <w:p w14:paraId="2FC95525" w14:textId="4616E472" w:rsidR="00627085" w:rsidRPr="000119CF" w:rsidRDefault="00627085" w:rsidP="00627085">
      <w:pPr>
        <w:rPr>
          <w:b/>
        </w:rPr>
      </w:pPr>
      <w:r w:rsidRPr="000119CF">
        <w:t xml:space="preserve">Participants were instructed to learn a set of response actions that were related to the colour or shape of a centrally presented character: press the “F” key if the character was blue or a circle and the “J” key if the character was green or square. The direction of the character’s arms indicated whether to pay attention to its shape or colour. During homogeneous blocks (2 </w:t>
      </w:r>
      <w:r w:rsidRPr="000119CF">
        <w:lastRenderedPageBreak/>
        <w:t>blocks of 32 trials), participants had to pay attention to either the colour or the shape. During heterogeneous blocks (2 blocks of 64 trials), participants had to flexibly shift their attention towards either the character’s shape or colour based on the direction of the character’s arms. The direction of the character’s arms switched every two trials, giving rise to switch trials and non-switch trials. Responses within 200-6</w:t>
      </w:r>
      <w:r w:rsidR="0058170C">
        <w:t>,</w:t>
      </w:r>
      <w:r w:rsidRPr="000119CF">
        <w:t>000</w:t>
      </w:r>
      <w:r w:rsidR="0058170C">
        <w:t xml:space="preserve"> </w:t>
      </w:r>
      <w:r w:rsidRPr="000119CF">
        <w:t>ms were considered valid. Accuracy and average reaction times on switch and non-switch trials were recorded.</w:t>
      </w:r>
    </w:p>
    <w:p w14:paraId="1F366D2B" w14:textId="77777777" w:rsidR="00627085" w:rsidRDefault="00627085" w:rsidP="00627085">
      <w:pPr>
        <w:rPr>
          <w:b/>
        </w:rPr>
      </w:pPr>
    </w:p>
    <w:p w14:paraId="0606C3B8" w14:textId="77777777" w:rsidR="00627085" w:rsidRDefault="00627085" w:rsidP="00627085">
      <w:pPr>
        <w:rPr>
          <w:b/>
        </w:rPr>
      </w:pPr>
      <w:r w:rsidRPr="003E4662">
        <w:rPr>
          <w:b/>
        </w:rPr>
        <w:t>Actigraphy during PE</w:t>
      </w:r>
    </w:p>
    <w:p w14:paraId="4C8F2D0E" w14:textId="77777777" w:rsidR="00627085" w:rsidRPr="003E4662" w:rsidRDefault="00627085" w:rsidP="00627085">
      <w:pPr>
        <w:rPr>
          <w:b/>
        </w:rPr>
      </w:pPr>
    </w:p>
    <w:p w14:paraId="2BC0494E" w14:textId="60E9E5E0" w:rsidR="00627085" w:rsidRPr="002B6E85" w:rsidRDefault="00627085" w:rsidP="00627085">
      <w:r>
        <w:t>Objective measures of PA during PE were collected using wrist-worn AX3 tri-axial accelerometers (Open Lab, University of Newcastle, UK). Participants wore the accelerometer on their non-dominant wrist. Accelerometers were set to record at 100</w:t>
      </w:r>
      <w:r w:rsidR="50E56AE6">
        <w:t xml:space="preserve"> </w:t>
      </w:r>
      <w:r>
        <w:t>Hz and were attached after participants changed for PE and collected before they changed back into school clothes. Following conversion of raw accelerometer data into 1</w:t>
      </w:r>
      <w:r w:rsidR="0058170C">
        <w:t xml:space="preserve"> </w:t>
      </w:r>
      <w:r>
        <w:t>s epochs, class average minutes of sedentary PA (SPA), moderate PA (MPA) and vigorous PA (VPA) during lesson time were calculated using established cut-points</w:t>
      </w:r>
      <w:r w:rsidR="2B5424B0">
        <w:t xml:space="preserve"> </w:t>
      </w:r>
      <w:r>
        <w:fldChar w:fldCharType="begin" w:fldLock="1"/>
      </w:r>
      <w:r w:rsidR="0058170C">
        <w:instrText>ADDIN CSL_CITATION {"citationItems":[{"id":"ITEM-1","itemData":{"ISBN":"1440-2440","author":[{"dropping-particle":"","family":"Phillips","given":"Lisa R S","non-dropping-particle":"","parse-names":false,"suffix":""},{"dropping-particle":"","family":"Parfitt","given":"Gaynor","non-dropping-particle":"","parse-names":false,"suffix":""},{"dropping-particle":"V","family":"Rowlands","given":"Alex","non-dropping-particle":"","parse-names":false,"suffix":""}],"container-title":"Journal of Science &amp; Medicine in Sport","id":"ITEM-1","issue":"2","issued":{"date-parts":[["2013"]]},"page":"124-128","title":"Calibration of the GENEA accelerometer for assessment of physical activity intensity in children","type":"article-journal","volume":"16"},"uris":["http://www.mendeley.com/documents/?uuid=a394f79b-0084-4f5e-83ac-431ab498bc5b"]}],"mendeley":{"formattedCitation":"(3)","plainTextFormattedCitation":"(3)","previouslyFormattedCitation":"(3)"},"properties":{"noteIndex":0},"schema":"https://github.com/citation-style-language/schema/raw/master/csl-citation.json"}</w:instrText>
      </w:r>
      <w:r>
        <w:fldChar w:fldCharType="separate"/>
      </w:r>
      <w:r w:rsidR="00CC433E" w:rsidRPr="6178F981">
        <w:rPr>
          <w:noProof/>
        </w:rPr>
        <w:t>(3)</w:t>
      </w:r>
      <w:r>
        <w:fldChar w:fldCharType="end"/>
      </w:r>
      <w:r>
        <w:t xml:space="preserve"> and standardised to minutes per hour. We computed the full lesson PA estimates as well as the active, or “effective”, PA estimates. The former represents PA estimates standardized to total time allocated for PE and the latter represent the amount of PA adjusted for change time. </w:t>
      </w:r>
    </w:p>
    <w:p w14:paraId="0AC8F94D" w14:textId="77777777" w:rsidR="00627085" w:rsidRPr="002B6E85" w:rsidRDefault="00627085" w:rsidP="00627085">
      <w:pPr>
        <w:jc w:val="both"/>
        <w:rPr>
          <w:bCs/>
          <w:color w:val="000000"/>
          <w:kern w:val="36"/>
          <w:lang w:eastAsia="en-GB"/>
        </w:rPr>
      </w:pPr>
    </w:p>
    <w:p w14:paraId="5B10A8C8" w14:textId="77777777" w:rsidR="00627085" w:rsidRPr="002B6E85" w:rsidRDefault="00627085" w:rsidP="00627085">
      <w:pPr>
        <w:jc w:val="both"/>
        <w:rPr>
          <w:b/>
          <w:bCs/>
          <w:color w:val="000000"/>
          <w:kern w:val="36"/>
          <w:lang w:eastAsia="en-GB"/>
        </w:rPr>
      </w:pPr>
      <w:r w:rsidRPr="002B6E85">
        <w:rPr>
          <w:b/>
          <w:bCs/>
          <w:color w:val="000000"/>
          <w:kern w:val="36"/>
          <w:lang w:eastAsia="en-GB"/>
        </w:rPr>
        <w:t>Data cleaning</w:t>
      </w:r>
    </w:p>
    <w:p w14:paraId="2927E822" w14:textId="77777777" w:rsidR="00627085" w:rsidRPr="002B6E85" w:rsidRDefault="00627085" w:rsidP="00627085">
      <w:pPr>
        <w:jc w:val="both"/>
        <w:rPr>
          <w:b/>
          <w:bCs/>
          <w:color w:val="000000"/>
          <w:kern w:val="36"/>
          <w:lang w:eastAsia="en-GB"/>
        </w:rPr>
      </w:pPr>
    </w:p>
    <w:p w14:paraId="7B013445" w14:textId="77777777" w:rsidR="00627085" w:rsidRPr="002B6E85" w:rsidRDefault="00627085" w:rsidP="00627085">
      <w:pPr>
        <w:jc w:val="both"/>
        <w:rPr>
          <w:bCs/>
          <w:i/>
          <w:color w:val="000000"/>
          <w:kern w:val="36"/>
          <w:lang w:eastAsia="en-GB"/>
        </w:rPr>
      </w:pPr>
      <w:r w:rsidRPr="002B6E85">
        <w:rPr>
          <w:bCs/>
          <w:i/>
          <w:color w:val="000000"/>
          <w:kern w:val="36"/>
          <w:lang w:eastAsia="en-GB"/>
        </w:rPr>
        <w:t>Cognitive assessments</w:t>
      </w:r>
    </w:p>
    <w:p w14:paraId="783F25B0" w14:textId="72D7F583" w:rsidR="00627085" w:rsidRPr="002B6E85" w:rsidRDefault="00627085" w:rsidP="00627085">
      <w:r w:rsidRPr="002B6E85">
        <w:t xml:space="preserve">Cognitive data were cleaned per assessment. For each assessment, we identified participants with fewer than 30% valid trials (i.e. out of the total number of trials), under the assumption that a proportion (&gt;30%) of trials is required to achieve a reliable estimate of each cognitive construct. Furthermore, for the relational memory and visual two-back task, we identified participants who consistently pressed a single response button throughout the task, as indicated by zero counts for false alarms and hits, or by zero counts for misses and correct rejections. We additionally inspected the primary outcome measures of each task and removed participants with values that were outside the expected range (i.e. 0-100 for accuracy outcomes, and mean RT outside the pre-defined RT bounds, see </w:t>
      </w:r>
      <w:r w:rsidRPr="002B6E85">
        <w:rPr>
          <w:i/>
        </w:rPr>
        <w:t xml:space="preserve">cognitive performance </w:t>
      </w:r>
      <w:r w:rsidRPr="002B6E85">
        <w:t xml:space="preserve">section </w:t>
      </w:r>
      <w:r w:rsidR="0058170C">
        <w:t>above</w:t>
      </w:r>
      <w:r w:rsidRPr="002B6E85">
        <w:t xml:space="preserve">) or were missing due to data collection errors.  </w:t>
      </w:r>
    </w:p>
    <w:p w14:paraId="2995BD10" w14:textId="77777777" w:rsidR="00627085" w:rsidRPr="002B6E85" w:rsidRDefault="00627085" w:rsidP="00627085"/>
    <w:p w14:paraId="7082C67B" w14:textId="77777777" w:rsidR="00627085" w:rsidRPr="002B6E85" w:rsidRDefault="00627085" w:rsidP="00627085">
      <w:pPr>
        <w:rPr>
          <w:i/>
        </w:rPr>
      </w:pPr>
      <w:r w:rsidRPr="002B6E85">
        <w:rPr>
          <w:i/>
        </w:rPr>
        <w:t>Questionnaire assessments</w:t>
      </w:r>
    </w:p>
    <w:p w14:paraId="64055B4F" w14:textId="77777777" w:rsidR="00627085" w:rsidRPr="002B6E85" w:rsidRDefault="00627085" w:rsidP="00627085">
      <w:r w:rsidRPr="002B6E85">
        <w:t xml:space="preserve">Questionnaire measures included in this study were part of a larger battery that consisted of three blocks Likert-scale based items. Long strings of identical answers (i.e. same position on the scale) within a block, accounting for reversed items, were identified. The mean string length (MSL) per block was computed, and data were removed if participants gave the same answer throughout a block and recorded a string of MSL+/- 3SD in at least one more block. In addition, we removed participant scores that were outside the range of individual items (e.g. score &gt; 5 on 5-point Likert scale) due to data collection errors. </w:t>
      </w:r>
    </w:p>
    <w:p w14:paraId="3C8CE501" w14:textId="77777777" w:rsidR="00627085" w:rsidRPr="002B6E85" w:rsidRDefault="00627085" w:rsidP="00627085">
      <w:pPr>
        <w:jc w:val="both"/>
        <w:rPr>
          <w:bCs/>
          <w:color w:val="000000"/>
          <w:kern w:val="36"/>
          <w:lang w:eastAsia="en-GB"/>
        </w:rPr>
      </w:pPr>
    </w:p>
    <w:p w14:paraId="043A2225" w14:textId="77777777" w:rsidR="00627085" w:rsidRPr="002B6E85" w:rsidRDefault="00627085" w:rsidP="00627085">
      <w:pPr>
        <w:jc w:val="both"/>
        <w:rPr>
          <w:bCs/>
          <w:i/>
          <w:color w:val="000000"/>
          <w:kern w:val="36"/>
          <w:lang w:eastAsia="en-GB"/>
        </w:rPr>
      </w:pPr>
      <w:r w:rsidRPr="002B6E85">
        <w:rPr>
          <w:bCs/>
          <w:i/>
          <w:color w:val="000000"/>
          <w:kern w:val="36"/>
          <w:lang w:eastAsia="en-GB"/>
        </w:rPr>
        <w:t>Fitness assessments</w:t>
      </w:r>
    </w:p>
    <w:p w14:paraId="453CA38F" w14:textId="010D78F9" w:rsidR="00627085" w:rsidRPr="002B6E85" w:rsidRDefault="00627085" w:rsidP="00627085">
      <w:pPr>
        <w:jc w:val="both"/>
      </w:pPr>
      <w:r w:rsidRPr="002B6E85">
        <w:t xml:space="preserve">Schools that completed the 12min Cooper Run test (n = 4, of which 1 intervention school; 561 pupils) were excluded from the analysis. Due to the difference in scale and units of the outcome measures (20MSR: laps versus Cooper: total distance), the scores of these tests cannot easily be combined. Classically, researchers have used estimating equations to convert 20MSR </w:t>
      </w:r>
      <w:r w:rsidRPr="002B6E85">
        <w:fldChar w:fldCharType="begin" w:fldLock="1"/>
      </w:r>
      <w:r w:rsidR="0058170C">
        <w:instrText>ADDIN CSL_CITATION {"citationItems":[{"id":"ITEM-1","itemData":{"DOI":"10.1136/bjsports-2016-095987","author":[{"dropping-particle":"","family":"Tomkinson","given":"Grant R","non-dropping-particle":"","parse-names":false,"suffix":""},{"dropping-particle":"","family":"Lang","given":"Justin J","non-dropping-particle":"","parse-names":false,"suffix":""},{"dropping-particle":"","family":"Tremblay","given":"Mark S","non-dropping-particle":"","parse-names":false,"suffix":""},{"dropping-particle":"","family":"Dale","given":"Michael","non-dropping-particle":"","parse-names":false,"suffix":""},{"dropping-particle":"","family":"Leblanc","given":"Allana G","non-dropping-particle":"","parse-names":false,"suffix":""},{"dropping-particle":"","family":"Belanger","given":"Kevin","non-dropping-particle":"","parse-names":false,"suffix":""},{"dropping-particle":"","family":"Ortega","given":"Francisco B","non-dropping-particle":"","parse-names":false,"suffix":""},{"dropping-particle":"","family":"Léger","given":"Luc","non-dropping-particle":"","parse-names":false,"suffix":""}],"container-title":"British Journal of Sports Medicine","id":"ITEM-1","issued":{"date-parts":[["2017"]]},"page":"1545-1554","title":"International normative 20 m shuttle run values from 1142026 children and youth representing 50 countries","type":"article-journal","volume":"51"},"uris":["http://www.mendeley.com/documents/?uuid=96b321ab-fc4b-43ab-9e41-aae6505b572e"]},{"id":"ITEM-2","itemData":{"DOI":"10.1519/JSC.0b013e3182815724","ISSN":"10648011","abstract":"The aim of this study was to analyze the validity of 4 regression equations to estimate the peak oxygen consumption (VO2peak) from the 20-m shuttle run test in adolescents aged 11-13 years. One hundred and fifteen adolescents, 61 boys (mean 6 SD: age = 12.3 6 0.9 years) and 54 girls (age = 12.1 6 0.7 years) performed the 20-m shuttle run test and an incremental progressive maximal test for direct VO2peak analysis. Four linear regression equations were used to estimate the VO2peak: Barnett et al. (equation 1), Le' ger et al. (equation 2), Mahar et al. (equation 3), and Matsuzaka et al. (equation 4). For boys, only the VO2peak estimated by EQ3 did not differ from the value directly measured (p . 0.05). The EQ1, EQ2, and EQ4 underestimated the VO2peak, whereas the EQ3 overestimated, particularly in girls (p , 0.05). Large limits of agreement were found between the reference method and the 4 equations, with higher estimated values by EQ2 for boys (8.36 6 15.24 mLkg21min21) and girls (2.45 6 12.63 mLkg21min21). The highest correlation values were observed by EQ4 for boys (r = 0.80), EQ1 for girls (r = 0.72), and EQ3 for total sample (r = 0.80). The equations analyzed were not precise for individual VO2peak prediction; however, the EQ3 revealed better agreement, particularly for boys. Considering the data obtained in the boys and total sample, our results suggest that the EQ3 may provide the best predictive measure of VO2peak from the 20-m shuttle run test in adolescents aged 11-13 years. © 2013 National Strength and Conditioning Association.","author":[{"dropping-particle":"","family":"Batista","given":"Mariana B.","non-dropping-particle":"","parse-names":false,"suffix":""},{"dropping-particle":"","family":"Cyrino","given":"EDilson S","non-dropping-particle":"","parse-names":false,"suffix":""},{"dropping-particle":"","family":"Arruda","given":"Miguel","non-dropping-particle":"","parse-names":false,"suffix":""},{"dropping-particle":"","family":"Dourado","given":"Antonio C.","non-dropping-particle":"","parse-names":false,"suffix":""},{"dropping-particle":"","family":"Coelho-E-Silva","given":"Manuel J.","non-dropping-particle":"","parse-names":false,"suffix":""},{"dropping-particle":"","family":"Ohara","given":"David","non-dropping-particle":"","parse-names":false,"suffix":""},{"dropping-particle":"","family":"Romanzini","given":"Marcelo","non-dropping-particle":"","parse-names":false,"suffix":""},{"dropping-particle":"","family":"Ronque","given":"Enio R.V.","non-dropping-particle":"","parse-names":false,"suffix":""}],"container-title":"Journal of Strength and Conditioning Research","id":"ITEM-2","issue":"10","issued":{"date-parts":[["2013"]]},"page":"2774-2781","title":"Validity of equations for estimating VO2peak from the 20-m shuttle run test in adolescents aged 11-13 years","type":"article-journal","volume":"27"},"uris":["http://www.mendeley.com/documents/?uuid=54d8f006-216a-4c46-8373-cf78e65129d6"]},{"id":"ITEM-3","itemData":{"DOI":"10.1007/s00421-010-1708-z","ISSN":"14396319","abstract":"This study compared the validity of reported equations as predictors of peak VO2 in 8-10-year-old children. Participants (90 boys and girls aged 8-10 years) performed the multistage-shuttle-run-test (MSRT) and peak VO2 was measured in field using a portable gas analyser. The equations that estimated peak VO2 from the MSRT performance were chosen according to the age range of this study. As follows, the FITNESSGRAM reports and the equations of Leger et al. (Can J Appl Sport Sci 5: 77-84, 1988), Barnett et al. (Pediatr Exerc Sci 5:42-50, 1993), Matsuzaka et al. (Pediatr Exerc Sci 16:113-125, 2004) and Fernhall et al. (Am J Ment Retard 102:602-612, 1998) were used to estimate the peak VO2 and compared with the directly measured value. The equation of Leger et al. (Can J Appl Sport Sci 5: 77-84, 1988) provided a mean difference (d) of 4.7 ml kg-1 min -1 and a 1.0 slope. The equation of Matsuzaka et al. (Pediatr Exerc Sci 16:113-125, 2004)(a) using maximal speed (MS) showed a higher d (5.4) than the remaining using total laps d (4.2). The equation of Barnett et al. (Pediatr Exerc Sci 5:42-50, 1993)(a) that includes triceps skinfold and MS showed the highest d (6.1) but the smallest range (24.1) and slope (0.6). Data from the FITNESSGRAM had the smallest d (1.8 ml kg-1 min-1), but also had the highest range between limits of agreement (28.6 ml kg-1 min-1) and a 1.2 slope. The lowest slope (0.4) and range (22.2 ml kg-1 min-1) were observed using the equation of Fernhall et al. (Am J Ment Retard 102:602-612, 1998). Log transformation of the data revealed that the equations of Matsuzaka et al. (Pediatr Exerc Sci 16:113-125, 2004)(a) (1.1*/÷1.25) and Fernhall et al. (Am J Ment Retard 102:602-612, 1998) (1.17*/÷1.25) showed the closest agreement among all, but they still yield unsatisfactory accuracy. © Springer-Verlag 2010.","author":[{"dropping-particle":"","family":"Melo","given":"Xavier","non-dropping-particle":"","parse-names":false,"suffix":""},{"dropping-particle":"","family":"Santa-Clara","given":"Helena","non-dropping-particle":"","parse-names":false,"suffix":""},{"dropping-particle":"","family":"Almeida","given":"José Pedro","non-dropping-particle":"","parse-names":false,"suffix":""},{"dropping-particle":"","family":"Carnero","given":"Elvis Alvarez","non-dropping-particle":"","parse-names":false,"suffix":""},{"dropping-particle":"","family":"Sardinha","given":"Luís Bettencourt","non-dropping-particle":"","parse-names":false,"suffix":""},{"dropping-particle":"","family":"Bruno","given":"Paula Marta","non-dropping-particle":"","parse-names":false,"suffix":""},{"dropping-particle":"","family":"Fernhall","given":"Bo","non-dropping-particle":"","parse-names":false,"suffix":""}],"container-title":"European Journal of Applied Physiology","id":"ITEM-3","issue":"5","issued":{"date-parts":[["2011"]]},"page":"839-849","title":"Comparing several equations that predict peak VO2 using the 20-m multistage-shuttle run-test in 8-10-year-old children","type":"article-journal","volume":"111"},"uris":["http://www.mendeley.com/documents/?uuid=c59acb10-ba2c-43af-af07-d96c33a7637c"]},{"id":"ITEM-4","itemData":{"DOI":"10.1123/pes.16.2.113","ISSN":"08998493","abstract":"The purpose of this study was to examine the validity of a 20-m shuttle-run test as an aerobic fitness test for Japanese children, adolescents, and young adults. Participants were 62 boys and 70 girls aged 8-17 years and 56 men and 99 women aged 18-23 years. Stepwise regression analysis was used to elucidate the relationship between shuttle-run performance, age, gender, and anthropometric parameters (as independent variables) and peak oxygen uptake (VO2peak), determined directly on a treadmill, as a dependent variable. We observed high multiple correlations for adults (R2 = .88) and for children and adolescents (R2 = .80). Therefore, it is suggested that our multiple regression equations are more appropriate for predicting VO2peak in Japanese children, adolescents, and adults.","author":[{"dropping-particle":"","family":"Matsuzaka","given":"Akira","non-dropping-particle":"","parse-names":false,"suffix":""},{"dropping-particle":"","family":"Takahashi","given":"Yuko","non-dropping-particle":"","parse-names":false,"suffix":""},{"dropping-particle":"","family":"Yamazoe","given":"Masayuki","non-dropping-particle":"","parse-names":false,"suffix":""},{"dropping-particle":"","family":"Kumakura","given":"Naomi","non-dropping-particle":"","parse-names":false,"suffix":""},{"dropping-particle":"","family":"Ikeda","given":"Akiko","non-dropping-particle":"","parse-names":false,"suffix":""},{"dropping-particle":"","family":"Wilk","given":"Boguslaw","non-dropping-particle":"","parse-names":false,"suffix":""},{"dropping-particle":"","family":"Bar-Or","given":"Oded","non-dropping-particle":"","parse-names":false,"suffix":""}],"container-title":"Pediatric Exercise Science","id":"ITEM-4","issue":"2","issued":{"date-parts":[["2004"]]},"page":"113-125","title":"Validity of the multistage 20-m shuttle-run test for Japanese children, adolescents, and adults","type":"article-journal","volume":"16"},"uris":["http://www.mendeley.com/documents/?uuid=783b557f-e7be-487e-a2b6-bedcec5f7472"]},{"id":"ITEM-5","itemData":{"DOI":"10.1080/02640418808729800","ISBN":"0264041880872","ISSN":"1466447X","PMID":"3184250","abstract":"A maximal multistage 20 m shuttle run test was designed to determine the maximal aerobic power of schoolchildren, healthy adults attending fitness class and athletes performing in sports with frequent stops and starts (e.g. basketball, fencing and so on). Subjects run back and forth on a 20 m course and must touch the 20 m line; at the same time a sound signal is emitted from a prerecorded tape. Frequency of the sound signals is increased 0.5 km h-1 each minute from a starting speed of 8.5 km h-1. When the subject can no longer follow the pace, the last stage number announced is used to predict maximal oxygen uptake (VO2max) (Y, ml kg-1 min-1) from the speed (X, km h-1) corresponding to that stage (speed = 8 + 0.5 stage no.) and age (A, year): Y = 31.025 + 3.238 X - 3.248A + 0.1536AX, r = 0.71 with 188 boys and girls aged 8-19 years. To obtain this regression, the test was performed individually. Right upon termination VO2 was measured with four 20 s samples and VO2max was estimated by retroextrapolating the O2 recovery curve at time zero of recovery. For adults, similar measurements indicated that the same equation could be used keeping age constant at 18 (r = 0.90, n = 77 men and women 18-50 years old). Test-retest reliability coefficients were 0.89 for children (139 boys and girls 6-16 years old) and 0.95 for adults (81 men and women, 20-45 years old). Normal data are also available for schoolchildren and adults and estimated V0 2max were found comparable to other tests and/or populations.","author":[{"dropping-particle":"","family":"Léger","given":"L. A.","non-dropping-particle":"","parse-names":false,"suffix":""},{"dropping-particle":"","family":"Mercier","given":"D.","non-dropping-particle":"","parse-names":false,"suffix":""},{"dropping-particle":"","family":"Gadoury","given":"C.","non-dropping-particle":"","parse-names":false,"suffix":""},{"dropping-particle":"","family":"Lambert","given":"J.","non-dropping-particle":"","parse-names":false,"suffix":""}],"container-title":"Journal of Sports Sciences","id":"ITEM-5","issue":"2","issued":{"date-parts":[["1988"]]},"page":"93-101","title":"The multistage 20 metre shuttle run test for aerobic fitness","type":"article-journal","volume":"6"},"uris":["http://www.mendeley.com/documents/?uuid=539084b7-60af-4c09-acb8-b6b5dd9ec160"]},{"id":"ITEM-6","itemData":{"DOI":"10.1080/1091367X.2018.1427590","ISSN":"15327841","abstract":"Purpose: To develop models to estimate aerobic fitness (VO2max) from PACER performance in 10- to 18-year-old youth, with and without body mass index (BMI) as a predictor. Method: Youth (N = 280) completed the PACER and a maximal treadmill test to assess VO2max. Validation and cross-validation groups were randomly formed to develop and examine accuracy of models. Participants were classified into FitnessGram® Healthy Fitness Zone categories based on measured and estimated VO2max and criterion-referenced validity was evaluated. Results: Multiple correlations between measured and estimated VO2max ranged from.70 to.73, with standard errors of estimate between 6.43 and 6.68 mL·kg−1·min−1. Accuracy with and without BMI was nearly identical. Overall, criterion-referenced validity evidence was moderate. Conclusion: Moderately accurate and feasible models were developed. Minimal improvement in accuracy was noted when BMI was added as a predictor. The model with PACER and age as predictors has a high level of utility for youth fitness testing.","author":[{"dropping-particle":"","family":"Mahar","given":"Matthew T.","non-dropping-particle":"","parse-names":false,"suffix":""},{"dropping-particle":"","family":"Welk","given":"Gregory J.","non-dropping-particle":"","parse-names":false,"suffix":""},{"dropping-particle":"","family":"Rowe","given":"David A.","non-dropping-particle":"","parse-names":false,"suffix":""}],"container-title":"Measurement in Physical Education and Exercise Science","id":"ITEM-6","issue":"3","issued":{"date-parts":[["2018"]]},"page":"239-249","title":"Estimation of aerobic fitness from PACER performance with and without body mass index","type":"article-journal","volume":"22"},"uris":["http://www.mendeley.com/documents/?uuid=47d64e19-ceca-4dbc-a67f-12b6b62414ab"]}],"mendeley":{"formattedCitation":"(4–9)","plainTextFormattedCitation":"(4–9)","previouslyFormattedCitation":"(4–9)"},"properties":{"noteIndex":0},"schema":"https://github.com/citation-style-language/schema/raw/master/csl-citation.json"}</w:instrText>
      </w:r>
      <w:r w:rsidRPr="002B6E85">
        <w:fldChar w:fldCharType="separate"/>
      </w:r>
      <w:r w:rsidR="00CC433E" w:rsidRPr="00CC433E">
        <w:rPr>
          <w:noProof/>
        </w:rPr>
        <w:t>(4–9)</w:t>
      </w:r>
      <w:r w:rsidRPr="002B6E85">
        <w:fldChar w:fldCharType="end"/>
      </w:r>
      <w:r w:rsidRPr="002B6E85">
        <w:t xml:space="preserve"> and Cooper Test performance</w:t>
      </w:r>
      <w:r w:rsidRPr="002B6E85">
        <w:fldChar w:fldCharType="begin" w:fldLock="1"/>
      </w:r>
      <w:r w:rsidR="00AF1BDE">
        <w:instrText>ADDIN CSL_CITATION {"citationItems":[{"id":"ITEM-1","itemData":{"DOI":"10.1001/jama.1968.03140030033008","ISBN":"0098-7484 (Print) 0098-7484 (Linking)","ISSN":"0098-7484","PMID":"5694044","abstract":"One hundred and fifteen US Air Force male officers and airmen were evaluated on a 12-minute field performance test and on a treadmill maximal-oxygen-consumption test. The correlation of the field-test data with the laboratory-determined oxygen-consumption data was 0.897. The significance of this relationship makes it possible to estimate with considerable accuracy the maximal oxygen consumption from only the results of the 12-minute perrformance test. This test is readily adaptable to large groupes, requires minimum equipment, and appears to be a better indicator of cardiovascular fitness than the more commonly accepted 600-yard run. Because of the high correlation with maximal oxygen consumption, it can be objective measure of physical fitness reflecting the cardiovascular status of an individual.","author":[{"dropping-particle":"","family":"Cooper","given":"Kenneth H.","non-dropping-particle":"","parse-names":false,"suffix":""}],"container-title":"JAMA","id":"ITEM-1","issue":"3","issued":{"date-parts":[["1968"]]},"page":"201-204","title":"A Means of Assessing Maximal Oxygen Intake","type":"article-journal","volume":"203"},"uris":["http://www.mendeley.com/documents/?uuid=6a3b2940-e588-484b-8e45-0b90829773f8"]},{"id":"ITEM-2","itemData":{"DOI":"10.1136/bjsm.29.3.147","ISBN":"10.1136/bjsm.29.3.147","ISSN":"03063674","PMID":"8800845","abstract":"The aim of this study was to compare the results from a Cooper walk run test, a multistage shuttle run test, and a submaximal cycle test with the direct measurement of maximum oxygen uptake on a treadmill. Three predictive tests of maximum oxygen uptake-linear extrapolation of heart rate of V̇O2 collected from a submaximal cycle ergometer test (predictedL/E), the Cooper 12 min walk, run test, and a multi-stage progressive shuttle run test (MST)- were performed by 22 young healthy males (mean(s.d.) age 22.1(2.4) years; body mass 72.4(8.9 kg)) and the values compared to those obtained by direct measurement on a maximal treadmill test. All of the subjects were regular exercisers. The mean(s.d.) from the various tests in ml · kg-1 · min-1 were as follows: treadmill 60.1(8.0), Cooper 60.6(10.3), MST 55.6(8.0), and predictedL/E 52.0(8.4). The Cooper test had a correlation with the treadmill test of 0.92, while the MST and the predictedL/E had correlations of 0.86 and 0.76 respectively. Both the MST and predictedL/E showed systematic underprediction of the treadmill value. On average, the MST was 4.5 ml · kg-1 · min-1 (s.e. 0.9) lower than the treadmill V̇O2 max while the predictedL/E was 7.8 ml · kg-1 · min-1 (s.e. 1.4) lower than the treadmill V̇O2 max. These findings indicate that, for the population assessed, the Cooper walk run test is the best predictor of V̇O2 max among the three tests. © 1995.","author":[{"dropping-particle":"","family":"Grant","given":"S.","non-dropping-particle":"","parse-names":false,"suffix":""},{"dropping-particle":"","family":"Corbett","given":"K.","non-dropping-particle":"","parse-names":false,"suffix":""},{"dropping-particle":"","family":"Amjad","given":"AM M.","non-dropping-particle":"","parse-names":false,"suffix":""},{"dropping-particle":"","family":"Wilson","given":"J.","non-dropping-particle":"","parse-names":false,"suffix":""},{"dropping-particle":"","family":"Aitchison","given":"T.","non-dropping-particle":"","parse-names":false,"suffix":""}],"container-title":"British Journal of Sports Medicine","id":"ITEM-2","issue":"3","issued":{"date-parts":[["1995"]]},"page":"147-152","title":"A comparison of methods of predicting maximum oxygen uptake","type":"article-journal","volume":"29"},"uris":["http://www.mendeley.com/documents/?uuid=af6b7a85-dbaf-49d3-b437-7931693d0a9c"]}],"mendeley":{"formattedCitation":"(10,11)","plainTextFormattedCitation":"(10,11)","previouslyFormattedCitation":"(10,11)"},"properties":{"noteIndex":0},"schema":"https://github.com/citation-style-language/schema/raw/master/csl-citation.json"}</w:instrText>
      </w:r>
      <w:r w:rsidRPr="002B6E85">
        <w:fldChar w:fldCharType="separate"/>
      </w:r>
      <w:r w:rsidR="00CC433E" w:rsidRPr="00CC433E">
        <w:rPr>
          <w:noProof/>
        </w:rPr>
        <w:t>(10,11)</w:t>
      </w:r>
      <w:r w:rsidRPr="002B6E85">
        <w:fldChar w:fldCharType="end"/>
      </w:r>
      <w:r w:rsidRPr="002B6E85">
        <w:t xml:space="preserve"> to estimated VO</w:t>
      </w:r>
      <w:r w:rsidRPr="00DA3D4A">
        <w:rPr>
          <w:vertAlign w:val="subscript"/>
        </w:rPr>
        <w:t>2max</w:t>
      </w:r>
      <w:r w:rsidRPr="002B6E85">
        <w:t xml:space="preserve"> values. While the conversion to a common metric is attractive, we decided not to pursue this because: (1) a large number of </w:t>
      </w:r>
      <w:r w:rsidRPr="002B6E85">
        <w:lastRenderedPageBreak/>
        <w:t>estimating equations exist, particularly for 20MSR performance (&gt;17) but selecting one that is appropriate for the Fit to Study sample is not straightforward. Depending on the fitness protocol used, these equations vary in their predictors, most commonly including one or more of sex, age, speed or body weight, and more generally in their accuracy of predicting VO</w:t>
      </w:r>
      <w:r w:rsidRPr="00DA3D4A">
        <w:rPr>
          <w:vertAlign w:val="subscript"/>
        </w:rPr>
        <w:t>2max</w:t>
      </w:r>
      <w:r w:rsidRPr="002B6E85">
        <w:t xml:space="preserve"> </w:t>
      </w:r>
      <w:r w:rsidRPr="002B6E85">
        <w:fldChar w:fldCharType="begin" w:fldLock="1"/>
      </w:r>
      <w:r w:rsidR="00AF1BDE">
        <w:instrText>ADDIN CSL_CITATION {"citationItems":[{"id":"ITEM-1","itemData":{"DOI":"10.1007/s00421-010-1708-z","ISSN":"14396319","abstract":"This study compared the validity of reported equations as predictors of peak VO2 in 8-10-year-old children. Participants (90 boys and girls aged 8-10 years) performed the multistage-shuttle-run-test (MSRT) and peak VO2 was measured in field using a portable gas analyser. The equations that estimated peak VO2 from the MSRT performance were chosen according to the age range of this study. As follows, the FITNESSGRAM reports and the equations of Leger et al. (Can J Appl Sport Sci 5: 77-84, 1988), Barnett et al. (Pediatr Exerc Sci 5:42-50, 1993), Matsuzaka et al. (Pediatr Exerc Sci 16:113-125, 2004) and Fernhall et al. (Am J Ment Retard 102:602-612, 1998) were used to estimate the peak VO2 and compared with the directly measured value. The equation of Leger et al. (Can J Appl Sport Sci 5: 77-84, 1988) provided a mean difference (d) of 4.7 ml kg-1 min -1 and a 1.0 slope. The equation of Matsuzaka et al. (Pediatr Exerc Sci 16:113-125, 2004)(a) using maximal speed (MS) showed a higher d (5.4) than the remaining using total laps d (4.2). The equation of Barnett et al. (Pediatr Exerc Sci 5:42-50, 1993)(a) that includes triceps skinfold and MS showed the highest d (6.1) but the smallest range (24.1) and slope (0.6). Data from the FITNESSGRAM had the smallest d (1.8 ml kg-1 min-1), but also had the highest range between limits of agreement (28.6 ml kg-1 min-1) and a 1.2 slope. The lowest slope (0.4) and range (22.2 ml kg-1 min-1) were observed using the equation of Fernhall et al. (Am J Ment Retard 102:602-612, 1998). Log transformation of the data revealed that the equations of Matsuzaka et al. (Pediatr Exerc Sci 16:113-125, 2004)(a) (1.1*/÷1.25) and Fernhall et al. (Am J Ment Retard 102:602-612, 1998) (1.17*/÷1.25) showed the closest agreement among all, but they still yield unsatisfactory accuracy. © Springer-Verlag 2010.","author":[{"dropping-particle":"","family":"Melo","given":"Xavier","non-dropping-particle":"","parse-names":false,"suffix":""},{"dropping-particle":"","family":"Santa-Clara","given":"Helena","non-dropping-particle":"","parse-names":false,"suffix":""},{"dropping-particle":"","family":"Almeida","given":"José Pedro","non-dropping-particle":"","parse-names":false,"suffix":""},{"dropping-particle":"","family":"Carnero","given":"Elvis Alvarez","non-dropping-particle":"","parse-names":false,"suffix":""},{"dropping-particle":"","family":"Sardinha","given":"Luís Bettencourt","non-dropping-particle":"","parse-names":false,"suffix":""},{"dropping-particle":"","family":"Bruno","given":"Paula Marta","non-dropping-particle":"","parse-names":false,"suffix":""},{"dropping-particle":"","family":"Fernhall","given":"Bo","non-dropping-particle":"","parse-names":false,"suffix":""}],"container-title":"European Journal of Applied Physiology","id":"ITEM-1","issue":"5","issued":{"date-parts":[["2011"]]},"page":"839-849","title":"Comparing several equations that predict peak VO2 using the 20-m multistage-shuttle run-test in 8-10-year-old children","type":"article-journal","volume":"111"},"uris":["http://www.mendeley.com/documents/?uuid=c59acb10-ba2c-43af-af07-d96c33a7637c"]},{"id":"ITEM-2","itemData":{"DOI":"10.1519/JSC.0b013e3182815724","ISSN":"10648011","abstract":"The aim of this study was to analyze the validity of 4 regression equations to estimate the peak oxygen consumption (VO2peak) from the 20-m shuttle run test in adolescents aged 11-13 years. One hundred and fifteen adolescents, 61 boys (mean 6 SD: age = 12.3 6 0.9 years) and 54 girls (age = 12.1 6 0.7 years) performed the 20-m shuttle run test and an incremental progressive maximal test for direct VO2peak analysis. Four linear regression equations were used to estimate the VO2peak: Barnett et al. (equation 1), Le' ger et al. (equation 2), Mahar et al. (equation 3), and Matsuzaka et al. (equation 4). For boys, only the VO2peak estimated by EQ3 did not differ from the value directly measured (p . 0.05). The EQ1, EQ2, and EQ4 underestimated the VO2peak, whereas the EQ3 overestimated, particularly in girls (p , 0.05). Large limits of agreement were found between the reference method and the 4 equations, with higher estimated values by EQ2 for boys (8.36 6 15.24 mLkg21min21) and girls (2.45 6 12.63 mLkg21min21). The highest correlation values were observed by EQ4 for boys (r = 0.80), EQ1 for girls (r = 0.72), and EQ3 for total sample (r = 0.80). The equations analyzed were not precise for individual VO2peak prediction; however, the EQ3 revealed better agreement, particularly for boys. Considering the data obtained in the boys and total sample, our results suggest that the EQ3 may provide the best predictive measure of VO2peak from the 20-m shuttle run test in adolescents aged 11-13 years. © 2013 National Strength and Conditioning Association.","author":[{"dropping-particle":"","family":"Batista","given":"Mariana B.","non-dropping-particle":"","parse-names":false,"suffix":""},{"dropping-particle":"","family":"Cyrino","given":"EDilson S","non-dropping-particle":"","parse-names":false,"suffix":""},{"dropping-particle":"","family":"Arruda","given":"Miguel","non-dropping-particle":"","parse-names":false,"suffix":""},{"dropping-particle":"","family":"Dourado","given":"Antonio C.","non-dropping-particle":"","parse-names":false,"suffix":""},{"dropping-particle":"","family":"Coelho-E-Silva","given":"Manuel J.","non-dropping-particle":"","parse-names":false,"suffix":""},{"dropping-particle":"","family":"Ohara","given":"David","non-dropping-particle":"","parse-names":false,"suffix":""},{"dropping-particle":"","family":"Romanzini","given":"Marcelo","non-dropping-particle":"","parse-names":false,"suffix":""},{"dropping-particle":"","family":"Ronque","given":"Enio R.V.","non-dropping-particle":"","parse-names":false,"suffix":""}],"container-title":"Journal of Strength and Conditioning Research","id":"ITEM-2","issue":"10","issued":{"date-parts":[["2013"]]},"page":"2774-2781","title":"Validity of equations for estimating VO2peak from the 20-m shuttle run test in adolescents aged 11-13 years","type":"article-journal","volume":"27"},"uris":["http://www.mendeley.com/documents/?uuid=54d8f006-216a-4c46-8373-cf78e65129d6"]}],"mendeley":{"formattedCitation":"(5,6)","plainTextFormattedCitation":"(5,6)","previouslyFormattedCitation":"(5,6)"},"properties":{"noteIndex":0},"schema":"https://github.com/citation-style-language/schema/raw/master/csl-citation.json"}</w:instrText>
      </w:r>
      <w:r w:rsidRPr="002B6E85">
        <w:fldChar w:fldCharType="separate"/>
      </w:r>
      <w:r w:rsidR="00CC433E" w:rsidRPr="00CC433E">
        <w:rPr>
          <w:noProof/>
        </w:rPr>
        <w:t>(5,6)</w:t>
      </w:r>
      <w:r w:rsidRPr="002B6E85">
        <w:fldChar w:fldCharType="end"/>
      </w:r>
      <w:r w:rsidRPr="002B6E85">
        <w:t>. Second, estimating equations may underestimate</w:t>
      </w:r>
      <w:r>
        <w:t xml:space="preserve"> </w:t>
      </w:r>
      <w:r w:rsidRPr="002B6E85">
        <w:fldChar w:fldCharType="begin" w:fldLock="1"/>
      </w:r>
      <w:r w:rsidR="0058170C">
        <w:instrText>ADDIN CSL_CITATION {"citationItems":[{"id":"ITEM-1","itemData":{"DOI":"10.1136/bjsm.29.3.147","ISBN":"10.1136/bjsm.29.3.147","ISSN":"03063674","PMID":"8800845","abstract":"The aim of this study was to compare the results from a Cooper walk run test, a multistage shuttle run test, and a submaximal cycle test with the direct measurement of maximum oxygen uptake on a treadmill. Three predictive tests of maximum oxygen uptake-linear extrapolation of heart rate of V̇O2 collected from a submaximal cycle ergometer test (predictedL/E), the Cooper 12 min walk, run test, and a multi-stage progressive shuttle run test (MST)- were performed by 22 young healthy males (mean(s.d.) age 22.1(2.4) years; body mass 72.4(8.9 kg)) and the values compared to those obtained by direct measurement on a maximal treadmill test. All of the subjects were regular exercisers. The mean(s.d.) from the various tests in ml · kg-1 · min-1 were as follows: treadmill 60.1(8.0), Cooper 60.6(10.3), MST 55.6(8.0), and predictedL/E 52.0(8.4). The Cooper test had a correlation with the treadmill test of 0.92, while the MST and the predictedL/E had correlations of 0.86 and 0.76 respectively. Both the MST and predictedL/E showed systematic underprediction of the treadmill value. On average, the MST was 4.5 ml · kg-1 · min-1 (s.e. 0.9) lower than the treadmill V̇O2 max while the predictedL/E was 7.8 ml · kg-1 · min-1 (s.e. 1.4) lower than the treadmill V̇O2 max. These findings indicate that, for the population assessed, the Cooper walk run test is the best predictor of V̇O2 max among the three tests. © 1995.","author":[{"dropping-particle":"","family":"Grant","given":"S.","non-dropping-particle":"","parse-names":false,"suffix":""},{"dropping-particle":"","family":"Corbett","given":"K.","non-dropping-particle":"","parse-names":false,"suffix":""},{"dropping-particle":"","family":"Amjad","given":"AM M.","non-dropping-particle":"","parse-names":false,"suffix":""},{"dropping-particle":"","family":"Wilson","given":"J.","non-dropping-particle":"","parse-names":false,"suffix":""},{"dropping-particle":"","family":"Aitchison","given":"T.","non-dropping-particle":"","parse-names":false,"suffix":""}],"container-title":"British Journal of Sports Medicine","id":"ITEM-1","issue":"3","issued":{"date-parts":[["1995"]]},"page":"147-152","title":"A comparison of methods of predicting maximum oxygen uptake","type":"article-journal","volume":"29"},"uris":["http://www.mendeley.com/documents/?uuid=af6b7a85-dbaf-49d3-b437-7931693d0a9c"]},{"id":"ITEM-2","itemData":{"DOI":"10.1519/JSC.0b013e3181cc2423","ISSN":"10648011","abstract":"Field tests are a practical method to assess aerobic fitness, but they demonstrate greater error variability than laboratory tests. The principal goals of this study were to identify potential sources of systematic error in 2 commonly used field tests (Cooper's 12-minute run [12MR] and the multistage shuttle run [MSR]) and estimate the reliability of the 2 tests from these data. In addition, criterion-related validity evidence for field tests was evaluated via Bland-Altman plots. To assess trends across test protocol and test trials, 60 subjects (mean age = 21.8 ± 3.6 years) completed 6 test trials, including 3 trials of each field test. Of these 60 individuals, 21 volunteers completed an incremental treadmill run and expired gas analysis (TR) that was used to establish criterionrelated validity evidence for the 2 field tests. G-study analysis of the field test data returned a high reliability coefficient (φ = 0.96), with the largest amount of systematic error variance (4.3%) attributable to an interaction between subjects and test occasions. The MSR predicted V̇O2max scores lower than those measured in the laboratory setting (p &lt; 0.01), whereas 12MR and TR scores were not different (p &gt; 0.05). However, Bland-Altman plots showed the 12MR to underestimate V̇O2max scores at lower V̇O2max values and overestimate V̇O2max scores at higher values, a trend not observed in the MSR data. These data suggest high overall reliability for V̇O2max field tests in young, healthy individuals. Nevertheless, test administrators must use caution when attempting to use field test data to predict criterion V̇O2max scores. The MSR appears to be a more useful tool than the 12MR because of a consistent mean bias across fitness levels. © 2011 National Strength and Conditioning Association.","author":[{"dropping-particle":"","family":"Penry","given":"Jason T","non-dropping-particle":"","parse-names":false,"suffix":""},{"dropping-particle":"","family":"Wilcox","given":"Anthony R.","non-dropping-particle":"","parse-names":false,"suffix":""},{"dropping-particle":"","family":"Yun","given":"Joonkoo","non-dropping-particle":"","parse-names":false,"suffix":""}],"container-title":"Journal of Strength and Conditioning Research","id":"ITEM-2","issue":"3","issued":{"date-parts":[["2011"]]},"page":"597-605","title":"Validity and reliability analysis of Cooper's 12-minute run and the multistage shuttle run in healthy adults","type":"article-journal","volume":"25"},"uris":["http://www.mendeley.com/documents/?uuid=5acb9d9e-8d10-4c73-b282-c36b2b6d68fb"]}],"mendeley":{"formattedCitation":"(11,12)","plainTextFormattedCitation":"(11,12)","previouslyFormattedCitation":"(11,12)"},"properties":{"noteIndex":0},"schema":"https://github.com/citation-style-language/schema/raw/master/csl-citation.json"}</w:instrText>
      </w:r>
      <w:r w:rsidRPr="002B6E85">
        <w:fldChar w:fldCharType="separate"/>
      </w:r>
      <w:r w:rsidR="00AF1BDE" w:rsidRPr="00AF1BDE">
        <w:rPr>
          <w:noProof/>
        </w:rPr>
        <w:t>(11,12)</w:t>
      </w:r>
      <w:r w:rsidRPr="002B6E85">
        <w:fldChar w:fldCharType="end"/>
      </w:r>
      <w:r w:rsidRPr="002B6E85">
        <w:t xml:space="preserve"> or overestimate</w:t>
      </w:r>
      <w:r>
        <w:t xml:space="preserve"> </w:t>
      </w:r>
      <w:r w:rsidRPr="002B6E85">
        <w:fldChar w:fldCharType="begin" w:fldLock="1"/>
      </w:r>
      <w:r w:rsidR="0058170C">
        <w:instrText>ADDIN CSL_CITATION {"citationItems":[{"id":"ITEM-1","itemData":{"ISSN":"0899-8493","author":[{"dropping-particle":"","family":"Scott","given":"Stacy N","non-dropping-particle":"","parse-names":false,"suffix":""},{"dropping-particle":"","family":"Springer","given":"Cary M","non-dropping-particle":"","parse-names":false,"suffix":""},{"dropping-particle":"","family":"Oody","given":"Jennifer F","non-dropping-particle":"","parse-names":false,"suffix":""},{"dropping-particle":"","family":"McClanahan","given":"Michael S","non-dropping-particle":"","parse-names":false,"suffix":""},{"dropping-particle":"","family":"Wiseman","given":"Brittany D","non-dropping-particle":"","parse-names":false,"suffix":""},{"dropping-particle":"","family":"Kybartas","given":"Tyler J","non-dropping-particle":"","parse-names":false,"suffix":""},{"dropping-particle":"","family":"Coe","given":"Dawn P","non-dropping-particle":"","parse-names":false,"suffix":""}],"container-title":"Pediatric exercise science","id":"ITEM-1","issue":"2","issued":{"date-parts":[["2019"]]},"page":"223-228","publisher":"Human Kinetics","title":"Development and validation of a PACER prediction equation for VO2peak in 10-to 15-year-old youth","type":"article-journal","volume":"31"},"uris":["http://www.mendeley.com/documents/?uuid=32666fd2-7578-4e13-be7b-2e2b89dbb90a"]}],"mendeley":{"formattedCitation":"(13)","plainTextFormattedCitation":"(13)","previouslyFormattedCitation":"(13)"},"properties":{"noteIndex":0},"schema":"https://github.com/citation-style-language/schema/raw/master/csl-citation.json"}</w:instrText>
      </w:r>
      <w:r w:rsidRPr="002B6E85">
        <w:fldChar w:fldCharType="separate"/>
      </w:r>
      <w:r w:rsidR="00AF1BDE" w:rsidRPr="00AF1BDE">
        <w:rPr>
          <w:noProof/>
        </w:rPr>
        <w:t>(13)</w:t>
      </w:r>
      <w:r w:rsidRPr="002B6E85">
        <w:fldChar w:fldCharType="end"/>
      </w:r>
      <w:r w:rsidRPr="002B6E85">
        <w:t xml:space="preserve"> an individual's real VO</w:t>
      </w:r>
      <w:r w:rsidRPr="00DA3D4A">
        <w:rPr>
          <w:vertAlign w:val="subscript"/>
        </w:rPr>
        <w:t xml:space="preserve">2max. </w:t>
      </w:r>
      <w:r w:rsidRPr="002B6E85">
        <w:t>This is particularly problematic if the degree of under / over estimation differs between the Cooper test and 20MSR. A comparison of estimated VO</w:t>
      </w:r>
      <w:r w:rsidRPr="00DA3D4A">
        <w:rPr>
          <w:vertAlign w:val="subscript"/>
        </w:rPr>
        <w:t>2max</w:t>
      </w:r>
      <w:r w:rsidRPr="002B6E85">
        <w:t xml:space="preserve"> values from 20MSR and the Cooper test in healthy adults demonstrated that, although 20MSR underestimated an individual's level of cardiorespiratory fitness, the converted Cooper test results were biased: underestimation of VO</w:t>
      </w:r>
      <w:r w:rsidRPr="00DA3D4A">
        <w:rPr>
          <w:vertAlign w:val="subscript"/>
        </w:rPr>
        <w:t>2max</w:t>
      </w:r>
      <w:r w:rsidRPr="002B6E85">
        <w:t xml:space="preserve"> values in low fit individuals and overestimation of VO</w:t>
      </w:r>
      <w:r w:rsidRPr="00DA3D4A">
        <w:rPr>
          <w:vertAlign w:val="subscript"/>
        </w:rPr>
        <w:t>2max</w:t>
      </w:r>
      <w:r w:rsidRPr="002B6E85">
        <w:t xml:space="preserve"> in high fit individuals</w:t>
      </w:r>
      <w:r w:rsidR="0058170C">
        <w:t xml:space="preserve"> </w:t>
      </w:r>
      <w:r w:rsidRPr="002B6E85">
        <w:fldChar w:fldCharType="begin" w:fldLock="1"/>
      </w:r>
      <w:r w:rsidR="0058170C">
        <w:instrText>ADDIN CSL_CITATION {"citationItems":[{"id":"ITEM-1","itemData":{"DOI":"10.1519/JSC.0b013e3181cc2423","ISSN":"10648011","abstract":"Field tests are a practical method to assess aerobic fitness, but they demonstrate greater error variability than laboratory tests. The principal goals of this study were to identify potential sources of systematic error in 2 commonly used field tests (Cooper's 12-minute run [12MR] and the multistage shuttle run [MSR]) and estimate the reliability of the 2 tests from these data. In addition, criterion-related validity evidence for field tests was evaluated via Bland-Altman plots. To assess trends across test protocol and test trials, 60 subjects (mean age = 21.8 ± 3.6 years) completed 6 test trials, including 3 trials of each field test. Of these 60 individuals, 21 volunteers completed an incremental treadmill run and expired gas analysis (TR) that was used to establish criterionrelated validity evidence for the 2 field tests. G-study analysis of the field test data returned a high reliability coefficient (φ = 0.96), with the largest amount of systematic error variance (4.3%) attributable to an interaction between subjects and test occasions. The MSR predicted V̇O2max scores lower than those measured in the laboratory setting (p &lt; 0.01), whereas 12MR and TR scores were not different (p &gt; 0.05). However, Bland-Altman plots showed the 12MR to underestimate V̇O2max scores at lower V̇O2max values and overestimate V̇O2max scores at higher values, a trend not observed in the MSR data. These data suggest high overall reliability for V̇O2max field tests in young, healthy individuals. Nevertheless, test administrators must use caution when attempting to use field test data to predict criterion V̇O2max scores. The MSR appears to be a more useful tool than the 12MR because of a consistent mean bias across fitness levels. © 2011 National Strength and Conditioning Association.","author":[{"dropping-particle":"","family":"Penry","given":"Jason T","non-dropping-particle":"","parse-names":false,"suffix":""},{"dropping-particle":"","family":"Wilcox","given":"Anthony R.","non-dropping-particle":"","parse-names":false,"suffix":""},{"dropping-particle":"","family":"Yun","given":"Joonkoo","non-dropping-particle":"","parse-names":false,"suffix":""}],"container-title":"Journal of Strength and Conditioning Research","id":"ITEM-1","issue":"3","issued":{"date-parts":[["2011"]]},"page":"597-605","title":"Validity and reliability analysis of Cooper's 12-minute run and the multistage shuttle run in healthy adults","type":"article-journal","volume":"25"},"uris":["http://www.mendeley.com/documents/?uuid=5acb9d9e-8d10-4c73-b282-c36b2b6d68fb"]}],"mendeley":{"formattedCitation":"(12)","plainTextFormattedCitation":"(12)","previouslyFormattedCitation":"(12)"},"properties":{"noteIndex":0},"schema":"https://github.com/citation-style-language/schema/raw/master/csl-citation.json"}</w:instrText>
      </w:r>
      <w:r w:rsidRPr="002B6E85">
        <w:fldChar w:fldCharType="separate"/>
      </w:r>
      <w:r w:rsidR="00AF1BDE" w:rsidRPr="00AF1BDE">
        <w:rPr>
          <w:noProof/>
        </w:rPr>
        <w:t>(12)</w:t>
      </w:r>
      <w:r w:rsidRPr="002B6E85">
        <w:fldChar w:fldCharType="end"/>
      </w:r>
      <w:r>
        <w:t xml:space="preserve">. </w:t>
      </w:r>
      <w:r w:rsidRPr="002B6E85">
        <w:t>Therefore, the 20MSR results were treated as the main measure of cardiorespiratory fitness.</w:t>
      </w:r>
    </w:p>
    <w:p w14:paraId="425B6EAE" w14:textId="77777777" w:rsidR="00627085" w:rsidRPr="002B6E85" w:rsidRDefault="00627085" w:rsidP="00627085">
      <w:pPr>
        <w:jc w:val="both"/>
        <w:rPr>
          <w:bCs/>
          <w:color w:val="000000"/>
          <w:kern w:val="36"/>
          <w:lang w:eastAsia="en-GB"/>
        </w:rPr>
      </w:pPr>
    </w:p>
    <w:p w14:paraId="48B1D8DC" w14:textId="77777777" w:rsidR="00627085" w:rsidRPr="003E4662" w:rsidRDefault="00627085" w:rsidP="00627085">
      <w:pPr>
        <w:jc w:val="both"/>
        <w:rPr>
          <w:bCs/>
          <w:color w:val="000000"/>
          <w:kern w:val="36"/>
          <w:sz w:val="20"/>
          <w:szCs w:val="20"/>
          <w:lang w:eastAsia="en-GB"/>
        </w:rPr>
      </w:pPr>
    </w:p>
    <w:p w14:paraId="69D94CFB" w14:textId="77777777" w:rsidR="00627085" w:rsidRDefault="00627085" w:rsidP="00627085">
      <w:pPr>
        <w:rPr>
          <w:b/>
        </w:rPr>
      </w:pPr>
      <w:r w:rsidRPr="003E4662">
        <w:rPr>
          <w:b/>
        </w:rPr>
        <w:t>Minimum detectable effect size</w:t>
      </w:r>
    </w:p>
    <w:p w14:paraId="506B29F3" w14:textId="77777777" w:rsidR="00627085" w:rsidRPr="003E4662" w:rsidRDefault="00627085" w:rsidP="00627085">
      <w:pPr>
        <w:rPr>
          <w:b/>
        </w:rPr>
      </w:pPr>
    </w:p>
    <w:p w14:paraId="3A353747" w14:textId="55A3B8DE" w:rsidR="00627085" w:rsidRPr="003E4662" w:rsidRDefault="00627085" w:rsidP="00627085">
      <w:r w:rsidRPr="003E4662">
        <w:t xml:space="preserve">Sample size calculations were performed by NatCen for the primary intention-to-treat analysis, which compared maths test performance between intervention and control schools </w:t>
      </w:r>
      <w:r w:rsidRPr="003E4662">
        <w:fldChar w:fldCharType="begin" w:fldLock="1"/>
      </w:r>
      <w:r w:rsidR="0058170C">
        <w:instrText>ADDIN CSL_CITATION {"citationItems":[{"id":"ITEM-1","itemData":{"DOI":"https://educationendowmentfoundation.org.uk/public","author":[{"dropping-particle":"","family":"Husain","given":"Fatima","non-dropping-particle":"","parse-names":false,"suffix":""}],"id":"ITEM-1","issued":{"date-parts":[["2016"]]},"title":"Fit to Study. Evaluation protocol","type":"report"},"uris":["http://www.mendeley.com/documents/?uuid=659a0e21-834b-4958-b340-08962e1d7c66"]}],"mendeley":{"formattedCitation":"(14)","plainTextFormattedCitation":"(14)","previouslyFormattedCitation":"(14)"},"properties":{"noteIndex":0},"schema":"https://github.com/citation-style-language/schema/raw/master/csl-citation.json"}</w:instrText>
      </w:r>
      <w:r w:rsidRPr="003E4662">
        <w:fldChar w:fldCharType="separate"/>
      </w:r>
      <w:r w:rsidR="00AF1BDE" w:rsidRPr="00AF1BDE">
        <w:rPr>
          <w:noProof/>
        </w:rPr>
        <w:t>(14)</w:t>
      </w:r>
      <w:r w:rsidRPr="003E4662">
        <w:fldChar w:fldCharType="end"/>
      </w:r>
      <w:r w:rsidRPr="003E4662">
        <w:t>. The initial sample size calculation demonstrated a range of minimum detectable effect sizes (MDES) varying between 0.18-0.26 for various achieved sample sizes (80-100 schools), assuming 80% power, alpha=0.05 (two-tailed), 90 pupils per school and baseline covariates explaining 50% of variance at pupil and school level. These estimates were updated (in February- March 2018) to reflect school drop-out (n</w:t>
      </w:r>
      <w:r w:rsidR="0058170C">
        <w:t xml:space="preserve"> </w:t>
      </w:r>
      <w:r w:rsidRPr="003E4662">
        <w:t>=</w:t>
      </w:r>
      <w:r w:rsidR="0058170C">
        <w:t xml:space="preserve"> </w:t>
      </w:r>
      <w:r w:rsidRPr="003E4662">
        <w:t xml:space="preserve">18 schools) and a revised set of assumptions </w:t>
      </w:r>
      <w:r w:rsidRPr="003E4662">
        <w:fldChar w:fldCharType="begin" w:fldLock="1"/>
      </w:r>
      <w:r w:rsidR="0058170C">
        <w:instrText>ADDIN CSL_CITATION {"citationItems":[{"id":"ITEM-1","itemData":{"URL":"https://educationendowmentfoundation.org.uk/public/files/Projects/Fit_to_Study_SAP_2018.03.15_FINAL.pdf","author":[{"dropping-particle":"","family":"Bartasevicius","given":"V","non-dropping-particle":"","parse-names":false,"suffix":""},{"dropping-particle":"","family":"Jabin","given":"N","non-dropping-particle":"","parse-names":false,"suffix":""}],"id":"ITEM-1","issued":{"date-parts":[["2018"]]},"title":"Statistical Analysis Plan for the efficacy trial of the Fit to Study intervention","type":"webpage"},"uris":["http://www.mendeley.com/documents/?uuid=116a8e51-de7c-4500-9db7-e5e95200d373"]}],"mendeley":{"formattedCitation":"(15)","plainTextFormattedCitation":"(15)","previouslyFormattedCitation":"(15)"},"properties":{"noteIndex":0},"schema":"https://github.com/citation-style-language/schema/raw/master/csl-citation.json"}</w:instrText>
      </w:r>
      <w:r w:rsidRPr="003E4662">
        <w:fldChar w:fldCharType="separate"/>
      </w:r>
      <w:r w:rsidR="00AF1BDE" w:rsidRPr="00AF1BDE">
        <w:rPr>
          <w:noProof/>
        </w:rPr>
        <w:t>(15)</w:t>
      </w:r>
      <w:r w:rsidRPr="003E4662">
        <w:fldChar w:fldCharType="end"/>
      </w:r>
      <w:r w:rsidRPr="003E4662">
        <w:t xml:space="preserve">. In particular, the new MDES were computed based on: 88 participating schools (47% intervention), on average 78 pupils </w:t>
      </w:r>
      <w:r>
        <w:t>per school,</w:t>
      </w:r>
      <w:r w:rsidRPr="003E4662">
        <w:t xml:space="preserve"> baseline covariates explaining 40% of pupil level variance and 10% of school level variance and an ICC of 0.16. The newly computed MDES was equal to 0.24 standard deviations. The MDES would have been 0.21 standard deviations if all 106 recruited schools had participated in the trial. At the final analysis stage, the MDES was calculated to be 0.22 SD </w:t>
      </w:r>
      <w:r w:rsidRPr="003E4662">
        <w:fldChar w:fldCharType="begin" w:fldLock="1"/>
      </w:r>
      <w:r w:rsidR="0058170C">
        <w:instrText>ADDIN CSL_CITATION {"citationItems":[{"id":"ITEM-1","itemData":{"DOI":"https://educationendowmentfoundation.org.uk/public/files/FitToStudy.pdf","ISSN":"2398-2128","abstract":"There is growing neuroscientific evidence that physical activity has positive effects on brain and cognition. This offers a potential powerful route for impacting on educational attainment by targeting physical activity. Meanwhile, levels of physical activity among UK schoolchildren are shockingly low, with the vast majority of children failing to reach recommended activity targets. 'Fit to Study' is a research project, funded by the Education Endowment Foundation and the Wellcome Trust, which aims to investigate the effects of school-based physical activity on academic outcomes. Fit to Study is being jointly run by the University of Oxford and Oxford Brookes University. We are recruiting 100 secondary schools to participate in the trial. This talk will discuss the aims and rationale for the Fit to Study project. We will also share insights gained through our pilot phase, which has provided useful experience of implementing large scale trials in a school setting.","author":[{"dropping-particle":"","family":"Husain","given":"Fatima","non-dropping-particle":"","parse-names":false,"suffix":""},{"dropping-particle":"","family":"Bartasevicius","given":"Vainius","non-dropping-particle":"","parse-names":false,"suffix":""},{"dropping-particle":"","family":"Marshall","given":"Lydia","non-dropping-particle":"","parse-names":false,"suffix":""},{"dropping-particle":"","family":"Chidley","given":"Sandy","non-dropping-particle":"","parse-names":false,"suffix":""},{"dropping-particle":"","family":"Forsyth","given":"Emma","non-dropping-particle":"","parse-names":false,"suffix":""}],"id":"ITEM-1","issue":"September","issued":{"date-parts":[["2019"]]},"title":"Fit to study. Evaluation report.","type":"report"},"uris":["http://www.mendeley.com/documents/?uuid=088aa1f9-ed0e-4d2e-94d0-02af3974df7a"]}],"mendeley":{"formattedCitation":"(16)","plainTextFormattedCitation":"(16)","previouslyFormattedCitation":"(16)"},"properties":{"noteIndex":0},"schema":"https://github.com/citation-style-language/schema/raw/master/csl-citation.json"}</w:instrText>
      </w:r>
      <w:r w:rsidRPr="003E4662">
        <w:fldChar w:fldCharType="separate"/>
      </w:r>
      <w:r w:rsidR="00AF1BDE" w:rsidRPr="00AF1BDE">
        <w:rPr>
          <w:noProof/>
        </w:rPr>
        <w:t>(16)</w:t>
      </w:r>
      <w:r w:rsidRPr="003E4662">
        <w:fldChar w:fldCharType="end"/>
      </w:r>
      <w:r w:rsidRPr="003E4662">
        <w:t xml:space="preserve">. Power calculations were performed in PowerUp! </w:t>
      </w:r>
      <w:r w:rsidRPr="003E4662">
        <w:fldChar w:fldCharType="begin" w:fldLock="1"/>
      </w:r>
      <w:r w:rsidR="0058170C">
        <w:instrText>ADDIN CSL_CITATION {"citationItems":[{"id":"ITEM-1","itemData":{"DOI":"10.1080/19345747.2012.673143","ISBN":"1934-5747","ISSN":"19345747","abstract":"This paper and the accompanying tool are intended to complement existing supports for conducting power analysis tools by offering a tool based on the framework of Minimum Detectable Effect Sizes (MDES) formulae that can be used in determining sample size requirements and in estimating minimum detectable effect sizes for a range of individual- and group-random assignment design studies and for common quasi-experimental design studies. The paper and accompanying tool cover computation of minimum detectable effect sizes under the following study designs: individual random assignment designs, hierarchical random assignment designs (2-4 levels), block random assignment designs (2-4 levels), regression discontinuity designs (6 types), and short interrupted time-series designs. In each case, the discussion and accompanying tool consider the key factors associated with statistical power and minimum detectable effect sizes, including the level at which treatment occurs and the statistical models (e.g., fixed effect and random effect) used in the analysis. The tool also includes a module that estimates for one and two level random assignment design studies the minimum sample sizes required in order for studies to attain user-defined minimum detectable effect sizes.\\nAbstract This paper and the accompanying tool are intended to complement existing supports for conducting power analysis tools by offering a tool based on the framework of Minimum Detectable Effect Sizes (MDES) formulae that can be used in determining sample size requirements and in estimating minimum detectable effect sizes for a range of individual- and group-random assignment design studies and for common quasi-experimental design studies. The paper and accompanying tool cover computation of minimum detectable effect sizes under the following study designs: individual random assignment designs, hierarchical random assignment designs (2-4 levels), block random assignment designs (2-4 levels), regression discontinuity designs (6 types), and short interrupted time-series designs. In each case, the discussion and accompanying tool consider the key factors associated with statistical power and minimum detectable effect sizes, including the level at which treatment occurs and the statistical models (e.g., fixed effect and random effect) used in the analysis. The tool also includes a module that estimates for one and two level random assignment design studies the minimum sample sizes required in order for…","author":[{"dropping-particle":"","family":"Dong","given":"Nianbo","non-dropping-particle":"","parse-names":false,"suffix":""},{"dropping-particle":"","family":"Maynard","given":"Rebecca","non-dropping-particle":"","parse-names":false,"suffix":""}],"container-title":"Journal of Research on Educational Effectiveness","id":"ITEM-1","issue":"1","issued":{"date-parts":[["2013"]]},"page":"24-67","title":"PowerUp!: A Tool for Calculating Minimum Detectable Effect Sizes and Minimum Required Sample Sizes for Experimental and Quasi-Experimental Design Studies","type":"article-journal","volume":"6"},"uris":["http://www.mendeley.com/documents/?uuid=a0b58055-d22d-48ec-b6ae-05266aecd2c4"]}],"mendeley":{"formattedCitation":"(17)","plainTextFormattedCitation":"(17)","previouslyFormattedCitation":"(17)"},"properties":{"noteIndex":0},"schema":"https://github.com/citation-style-language/schema/raw/master/csl-citation.json"}</w:instrText>
      </w:r>
      <w:r w:rsidRPr="003E4662">
        <w:fldChar w:fldCharType="separate"/>
      </w:r>
      <w:r w:rsidR="00AF1BDE" w:rsidRPr="00AF1BDE">
        <w:rPr>
          <w:noProof/>
        </w:rPr>
        <w:t>(17)</w:t>
      </w:r>
      <w:r w:rsidRPr="003E4662">
        <w:fldChar w:fldCharType="end"/>
      </w:r>
      <w:r w:rsidRPr="003E4662">
        <w:t xml:space="preserve">. No </w:t>
      </w:r>
      <w:r w:rsidRPr="003E4662">
        <w:rPr>
          <w:i/>
        </w:rPr>
        <w:t xml:space="preserve">a priori </w:t>
      </w:r>
      <w:r w:rsidRPr="003E4662">
        <w:t>sample size calculations were perfor</w:t>
      </w:r>
      <w:r>
        <w:t xml:space="preserve">med for the secondary outcomes, but an indication of the MDES is provided below. </w:t>
      </w:r>
    </w:p>
    <w:p w14:paraId="26967D21" w14:textId="77777777" w:rsidR="00627085" w:rsidRPr="003E4662" w:rsidRDefault="00627085" w:rsidP="00627085">
      <w:pPr>
        <w:rPr>
          <w:b/>
        </w:rPr>
      </w:pPr>
    </w:p>
    <w:p w14:paraId="764B28C3" w14:textId="06C8F3FE" w:rsidR="00627085" w:rsidRPr="00CF26B3" w:rsidRDefault="00627085" w:rsidP="00627085">
      <w:r w:rsidRPr="003E4662">
        <w:t xml:space="preserve">The MDES for the cognitive tests was calculated for the randomisation sample using the following set of assumptions: (1) 104 schools, 50% of which in the intervention group, (2) an average of 176 pupils per school (N = 18,261), (3) baseline covariates explaining 40% of pupil level variance and 10% of school level variance (based on NatCen's adjusted estimates), (4) an ICC of 0.02, following a previous study measuring executive functions in a comparable sample </w:t>
      </w:r>
      <w:r w:rsidRPr="003E4662">
        <w:fldChar w:fldCharType="begin" w:fldLock="1"/>
      </w:r>
      <w:r w:rsidR="0058170C">
        <w:instrText>ADDIN CSL_CITATION {"citationItems":[{"id":"ITEM-1","itemData":{"DOI":"10.1080/00313831.2017.1336477","ISSN":"14701170","abstract":"The purpose of this study was to examine the effects of a seven-month curriculum prescribed physical activity (PA) intervention (the Active Smarter Kids [ASK] intervention) on executive functions in 10-year-old Norwegian children. A linear mixed model was used to analyze data from 971–1,123 fifth grade children at 28 intervention schools and 29 control schools. The intervention constituted three PA elements: PA educational lessons, PA breaks, and PA homework, adding 165 minutes of PA to the mandatory 135 minutes of PA and physical education. There was no effect of the intervention on executive functions in the intention-to-treat analyses. Per protocol analyses (n = 776–850) revealed small effects of the intervention on the composite score of executive functions, cognitive flexibility, and motor skills. Cognitively engaging and coordinative demanding activities/games seem viable options to increase executive functions and possibly improve academic performance in children.","author":[{"dropping-particle":"","family":"Aadland","given":"Katrine Nyvoll","non-dropping-particle":"","parse-names":false,"suffix":""},{"dropping-particle":"","family":"Ommundsen","given":"Yngvar","non-dropping-particle":"","parse-names":false,"suffix":""},{"dropping-particle":"","family":"Anderssen","given":"Sigmund Alfred","non-dropping-particle":"","parse-names":false,"suffix":""},{"dropping-particle":"","family":"Brønnick","given":"Kolbjørn Selvåg","non-dropping-particle":"","parse-names":false,"suffix":""},{"dropping-particle":"","family":"Moe","given":"Vegard Fusche","non-dropping-particle":"","parse-names":false,"suffix":""},{"dropping-particle":"","family":"Resaland","given":"Geir Kåre","non-dropping-particle":"","parse-names":false,"suffix":""},{"dropping-particle":"","family":"Skrede","given":"Turid","non-dropping-particle":"","parse-names":false,"suffix":""},{"dropping-particle":"","family":"Stavnsbo","given":"Mette","non-dropping-particle":"","parse-names":false,"suffix":""},{"dropping-particle":"","family":"Aadland","given":"Eivind","non-dropping-particle":"","parse-names":false,"suffix":""}],"container-title":"Scandinavian Journal of Educational Research","id":"ITEM-1","issue":"2","issued":{"date-parts":[["2019"]]},"page":"214-228","publisher":"Taylor &amp; Francis","title":"Effects of the Active Smarter Kids (ASK) Physical Activity School-based Intervention on Executive Functions: A Cluster-Randomized Controlled Trial","type":"article-journal","volume":"63"},"uris":["http://www.mendeley.com/documents/?uuid=dcbc0512-81bc-41c0-87a0-4feecb7cbe27"]}],"mendeley":{"formattedCitation":"(18)","plainTextFormattedCitation":"(18)","previouslyFormattedCitation":"(18)"},"properties":{"noteIndex":0},"schema":"https://github.com/citation-style-language/schema/raw/master/csl-citation.json"}</w:instrText>
      </w:r>
      <w:r w:rsidRPr="003E4662">
        <w:fldChar w:fldCharType="separate"/>
      </w:r>
      <w:r w:rsidR="00AF1BDE" w:rsidRPr="00AF1BDE">
        <w:rPr>
          <w:noProof/>
        </w:rPr>
        <w:t>(18)</w:t>
      </w:r>
      <w:r w:rsidRPr="003E4662">
        <w:fldChar w:fldCharType="end"/>
      </w:r>
      <w:r w:rsidRPr="003E4662">
        <w:t xml:space="preserve"> and (5) 80% power with alpha=0.05 (two-tailed). Under these assumptions MDES was 0.0</w:t>
      </w:r>
      <w:r>
        <w:t xml:space="preserve">7 </w:t>
      </w:r>
      <w:r w:rsidRPr="003E4662">
        <w:t>SD (95% CI: 0.027-0.16; it would be 0.15 SD, 95% CI: 0.045-0.</w:t>
      </w:r>
      <w:r>
        <w:t>12</w:t>
      </w:r>
      <w:r w:rsidRPr="003E4662">
        <w:t xml:space="preserve">, if the ICC was 0.06 </w:t>
      </w:r>
      <w:r w:rsidRPr="003E4662">
        <w:fldChar w:fldCharType="begin" w:fldLock="1"/>
      </w:r>
      <w:r w:rsidR="0058170C">
        <w:instrText>ADDIN CSL_CITATION {"citationItems":[{"id":"ITEM-1","itemData":{"DOI":"10.1016/j.mhpa.2017.01.001","ISBN":"1755-2966","ISSN":"18780199","abstract":"Background There is evidence for weak positive relationships between physical activity, aerobic fitness, and motor skills to executive functions and academic achievement. Studies assessing their relative importance to executive functions and academic performance are lacking. The purpose of this study was to examine the independent associations for moderate to vigorous physical activity and sedentary time, aerobic fitness, and motor skills with executive functions and academic performance in 10-year-old children. Method A linear mixed model was used to analyze cross-sectional data from 697 children from 57 schools in Norway. Results No relationships were observed between moderate to vigorous physical activity and executive functions or academic performance. The time spent sedentary was related to executive functions (standardized regression coefficient (β) 0.17–0.21, p &lt; 0.05) and academic performance in English (β 0.22, p &lt; 0.05) in boys. Aerobic fitness was associated with executive functions (β 0.16–0.21, p &lt; 0.05) and academic performance (β 0.17–0.21, p &lt; 0.05) in boys only. Motor skills were associated with most measures of executive functions in both girls (β 0.16–0.25, p &lt; 0.01) and boys (β 0.13–0.22, p &lt; 0.05) and academic performance in girls (β 0.13–0.16, p &lt; 0.05). Conclusions The strongest independent associations were observed for motor skills to executive functions. Sex-specific associations were observed for aerobic fitness and motor skills. Thus, comprehensive physical activity targeted to increase both aerobic fitness and motor skills may have the potential to positively affect executive functions and academic performance.","author":[{"dropping-particle":"","family":"Aadland","given":"Katrine Nyvoll","non-dropping-particle":"","parse-names":false,"suffix":""},{"dropping-particle":"","family":"Moe","given":"Vegard Fusche","non-dropping-particle":"","parse-names":false,"suffix":""},{"dropping-particle":"","family":"Aadland","given":"Eivind","non-dropping-particle":"","parse-names":false,"suffix":""},{"dropping-particle":"","family":"Anderssen","given":"Sigmund Alfred","non-dropping-particle":"","parse-names":false,"suffix":""},{"dropping-particle":"","family":"Resaland","given":"Geir Kåre","non-dropping-particle":"","parse-names":false,"suffix":""},{"dropping-particle":"","family":"Ommundsen","given":"Yngvar","non-dropping-particle":"","parse-names":false,"suffix":""}],"container-title":"Mental Health and Physical Activity","id":"ITEM-1","issued":{"date-parts":[["2017"]]},"page":"10-18","publisher":"Elsevier Ltd","title":"Relationships between physical activity, sedentary time, aerobic fitness, motor skills and executive function and academic performance in children","type":"article-journal","volume":"12"},"uris":["http://www.mendeley.com/documents/?uuid=e29808dc-660f-4960-b4c7-44cf195595c9"]}],"mendeley":{"formattedCitation":"(19)","plainTextFormattedCitation":"(19)","previouslyFormattedCitation":"(19)"},"properties":{"noteIndex":0},"schema":"https://github.com/citation-style-language/schema/raw/master/csl-citation.json"}</w:instrText>
      </w:r>
      <w:r w:rsidRPr="003E4662">
        <w:fldChar w:fldCharType="separate"/>
      </w:r>
      <w:r w:rsidR="00AF1BDE" w:rsidRPr="00AF1BDE">
        <w:rPr>
          <w:noProof/>
        </w:rPr>
        <w:t>(19)</w:t>
      </w:r>
      <w:r w:rsidRPr="003E4662">
        <w:fldChar w:fldCharType="end"/>
      </w:r>
      <w:r w:rsidRPr="003E4662">
        <w:t xml:space="preserve">). </w:t>
      </w:r>
      <w:r>
        <w:t>With a similar set of assumptions and an ICC =</w:t>
      </w:r>
      <w:r w:rsidR="0058170C">
        <w:t xml:space="preserve"> </w:t>
      </w:r>
      <w:r>
        <w:t>0.25</w:t>
      </w:r>
      <w:r w:rsidR="0058170C">
        <w:t xml:space="preserve"> (NB. teacher-rated; </w:t>
      </w:r>
      <w:r w:rsidR="0058170C">
        <w:fldChar w:fldCharType="begin" w:fldLock="1"/>
      </w:r>
      <w:r w:rsidR="0058170C">
        <w:instrText>ADDIN CSL_CITATION {"citationItems":[{"id":"ITEM-1","itemData":{"DOI":"10.1007/s12310-015-9160-1","ISSN":"18662633","abstract":"There are a growing number of school-based interventions designed to promote children’s social and emotional learning. One such intervention, PATHS (Promoting Alternative Thinking Strategies), was evaluated in a randomised controlled trial involving 5074 pupils aged 4–6 years at baseline in 56 primary schools across a large city in the UK. The programme was implemented for two academic years. The primary outcome measure was the teacher-rated Strengths and Difficulties Questionnaire (SDQ). A secondary measure was the PATHS Teacher Rating Scale (PTRS). Observations of child and teacher behaviours were undertaken in a third of intervention and control schools using the Teacher–Pupil Observation Tool (T-POT). Regarding fidelity, dose and adherence were measured via weekly logs completed by teachers, and a semi-structured questionnaire completed by PATHS coaches was used as a global measure of fidelity (capturing adherence, dose and quality). A cost-consequence analysis examined programme costs from a multi-agency public sector perspective. At 1 year post-baseline, there were no statistically significant differences between the programme and control groups on the SDQ subscales or the SDQ total difficulties and impact scores. There were statistically significant differences favouring the programme group for six out of 11 subscales on the secondary outcome measure (PTRS). At 2 years post-baseline, there were no statistically significant differences between the groups on either measure. Fidelity, according to the global measure, was relatively strong, and there was no relationship between fidelity and treatment effects. The average cost of PATHS was £12,666 per school or £139 per child. The study, which was fully powered and independent of the programme developer, shows no statistically significant effect of the programme on child behaviour or emotional well-being. Trial registration site and number: www.controlled-trials.com: ISRCTN 32534848.","author":[{"dropping-particle":"","family":"Berry","given":"Vashti","non-dropping-particle":"","parse-names":false,"suffix":""},{"dropping-particle":"","family":"Axford","given":"Nick","non-dropping-particle":"","parse-names":false,"suffix":""},{"dropping-particle":"","family":"Blower","given":"Sarah","non-dropping-particle":"","parse-names":false,"suffix":""},{"dropping-particle":"","family":"Taylor","given":"Rod S.","non-dropping-particle":"","parse-names":false,"suffix":""},{"dropping-particle":"","family":"Edwards","given":"Rhiannon Tudor","non-dropping-particle":"","parse-names":false,"suffix":""},{"dropping-particle":"","family":"Tobin","given":"Kate","non-dropping-particle":"","parse-names":false,"suffix":""},{"dropping-particle":"","family":"Jones","given":"Carys","non-dropping-particle":"","parse-names":false,"suffix":""},{"dropping-particle":"","family":"Bywater","given":"Tracey","non-dropping-particle":"","parse-names":false,"suffix":""}],"container-title":"School Mental Health","id":"ITEM-1","issue":"2","issued":{"date-parts":[["2016"]]},"page":"238-256","title":"The Effectiveness and Micro-costing Analysis of a Universal, School-Based, Social–Emotional Learning Programme in the UK: A Cluster-Randomised Controlled Trial","type":"article-journal","volume":"8"},"uris":["http://www.mendeley.com/documents/?uuid=c7d2db05-e0a4-4b9a-a756-00c437c30aa4"]}],"mendeley":{"formattedCitation":"(20)","plainTextFormattedCitation":"(20)"},"properties":{"noteIndex":0},"schema":"https://github.com/citation-style-language/schema/raw/master/csl-citation.json"}</w:instrText>
      </w:r>
      <w:r w:rsidR="0058170C">
        <w:fldChar w:fldCharType="separate"/>
      </w:r>
      <w:r w:rsidR="0058170C" w:rsidRPr="0058170C">
        <w:rPr>
          <w:noProof/>
        </w:rPr>
        <w:t>(20)</w:t>
      </w:r>
      <w:r w:rsidR="0058170C">
        <w:fldChar w:fldCharType="end"/>
      </w:r>
      <w:r w:rsidR="0058170C">
        <w:t>)</w:t>
      </w:r>
      <w:r>
        <w:t>, the MDES for the SDQ of the questionnaire was 0.23 SD. For cardiorespiratory fitness, the MDES was 0.08 SD with a similar set of assumptions and an ICC = 0.03</w:t>
      </w:r>
      <w:r w:rsidR="0058170C">
        <w:t xml:space="preserve"> </w:t>
      </w:r>
      <w:r>
        <w:fldChar w:fldCharType="begin" w:fldLock="1"/>
      </w:r>
      <w:r w:rsidR="0058170C">
        <w:instrText>ADDIN CSL_CITATION {"citationItems":[{"id":"ITEM-1","itemData":{"DOI":"10.1136/bmj.c785","ISBN":"1468-5833 (Electronic)\\r0959-535X (Linking)","ISSN":"0959-8138","PMID":"20179126","abstract":"OBJECTIVE: To assess the effectiveness of a school based physical activity programme during one school year on physical and psychological health in young schoolchildren. DESIGN: Cluster randomised controlled trial. SETTING: 28 classes from 15 elementary schools in Switzerland randomly selected and assigned in a 4:3 ratio to an intervention (n=16) or control arm (n=12) after stratification for grade (first and fifth grade), from August 2005 to June 2006. PARTICIPANTS: 540 children, of whom 502 consented and presented at baseline. INTERVENTION: Children in the intervention arm (n=297) received a multi-component physical activity programme that included structuring the three existing physical education lessons each week and adding two additional lessons a week, daily short activity breaks, and physical activity homework. Children (n=205) and parents in the control group were not informed of an intervention group. For most outcome measures, the assessors were blinded. MAIN OUTCOME MEASURES: Primary outcome measures included body fat (sum of four skinfolds), aerobic fitness (shuttle run test), physical activity (accelerometry), and quality of life (questionnaires). Secondary outcome measures included body mass index and cardiovascular risk score (average z score of waist circumference, mean blood pressure, blood glucose, inverted high density lipoprotein cholesterol, and triglycerides). RESULTS: 498 children completed the baseline and follow-up assessments (mean age 6.9 (SD 0.3) years for first grade, 11.1 (0.5) years for fifth grade). After adjustment for grade, sex, baseline values, and clustering within classes, children in the intervention arm compared with controls showed more negative changes in the z score of the sum of four skinfolds (-0.12, 95 % confidence interval -0.21 to -0.03; P=0.009). Likewise, their z scores for aerobic fitness increased more favourably (0.17, 0.01 to 0.32; P=0.04), as did those for moderate-vigorous physical activity in school (1.19, 0.78 to 1.60; P&lt;0.001), all day moderate-vigorous physical activity (0.44, 0.05 to 0.82; P=0.03), and total physical activity in school (0.92, 0.35 to 1.50; P=0.003). Z scores for overall daily physical activity (0.21, -0.21 to 0.63) and physical quality of life (0.42, -1.23 to 2.06) as well as psychological quality of life (0.59, -0.85 to 2.03) did not change significantly. CONCLUSIONS: A school based multi-component physical activity intervention including compulsory elements improved physical…","author":[{"dropping-particle":"","family":"Kriemler","given":"S.","non-dropping-particle":"","parse-names":false,"suffix":""},{"dropping-particle":"","family":"Zahner","given":"L.","non-dropping-particle":"","parse-names":false,"suffix":""},{"dropping-particle":"","family":"Schindler","given":"C.","non-dropping-particle":"","parse-names":false,"suffix":""},{"dropping-particle":"","family":"Meyer","given":"U.","non-dropping-particle":"","parse-names":false,"suffix":""},{"dropping-particle":"","family":"Hartmann","given":"T.","non-dropping-particle":"","parse-names":false,"suffix":""},{"dropping-particle":"","family":"Hebestreit","given":"H.","non-dropping-particle":"","parse-names":false,"suffix":""},{"dropping-particle":"","family":"Brunner-La Rocca","given":"H. P.","non-dropping-particle":"","parse-names":false,"suffix":""},{"dropping-particle":"","family":"Mechelen","given":"W.","non-dropping-particle":"Van","parse-names":false,"suffix":""},{"dropping-particle":"","family":"Puder","given":"J. J","non-dropping-particle":"","parse-names":false,"suffix":""}],"container-title":"BMJ","id":"ITEM-1","issued":{"date-parts":[["2010"]]},"page":"c785","title":"Effect of school based physical activity programme (KISS) on fitness and adiposity in primary schoolchildren: cluster randomised controlled trial","type":"article-journal","volume":"340"},"uris":["http://www.mendeley.com/documents/?uuid=6288ecdc-0be6-4b9f-a902-32ff78be91d8"]}],"mendeley":{"formattedCitation":"(21)","plainTextFormattedCitation":"(21)","previouslyFormattedCitation":"(20)"},"properties":{"noteIndex":0},"schema":"https://github.com/citation-style-language/schema/raw/master/csl-citation.json"}</w:instrText>
      </w:r>
      <w:r>
        <w:fldChar w:fldCharType="separate"/>
      </w:r>
      <w:r w:rsidR="0058170C" w:rsidRPr="0058170C">
        <w:rPr>
          <w:noProof/>
        </w:rPr>
        <w:t>(21)</w:t>
      </w:r>
      <w:r>
        <w:fldChar w:fldCharType="end"/>
      </w:r>
      <w:r>
        <w:t xml:space="preserve">. </w:t>
      </w:r>
      <w:r w:rsidRPr="003E4662">
        <w:t xml:space="preserve">Notably, the trial was not designed to measure or affect cognitive </w:t>
      </w:r>
      <w:r>
        <w:t xml:space="preserve">or mental health </w:t>
      </w:r>
      <w:r w:rsidRPr="003E4662">
        <w:t xml:space="preserve">scores (being secondary measures), hence this MDES solely serves as an </w:t>
      </w:r>
      <w:r w:rsidRPr="003E4662">
        <w:rPr>
          <w:i/>
        </w:rPr>
        <w:t xml:space="preserve">a-posteriori </w:t>
      </w:r>
      <w:r w:rsidRPr="003E4662">
        <w:t>indication of a possible detectable effect size under this particular set of assumptions.</w:t>
      </w:r>
      <w:r>
        <w:t xml:space="preserve"> The MDES for the secondary outcomes was not updated </w:t>
      </w:r>
      <w:r>
        <w:rPr>
          <w:i/>
        </w:rPr>
        <w:t>a-posteriori</w:t>
      </w:r>
      <w:r>
        <w:t>, given the differential amounts of missingness across outcome measures and the lack of intervention fidelity of the trial.</w:t>
      </w:r>
    </w:p>
    <w:p w14:paraId="3C67AF82" w14:textId="77777777" w:rsidR="00627085" w:rsidRDefault="00627085" w:rsidP="00627085">
      <w:pPr>
        <w:rPr>
          <w:rFonts w:ascii="Arial" w:hAnsi="Arial" w:cs="Arial"/>
        </w:rPr>
      </w:pPr>
    </w:p>
    <w:p w14:paraId="70C4F301" w14:textId="77777777" w:rsidR="00627085" w:rsidRPr="00355112" w:rsidRDefault="00627085" w:rsidP="00627085">
      <w:pPr>
        <w:rPr>
          <w:b/>
        </w:rPr>
      </w:pPr>
      <w:r w:rsidRPr="00355112">
        <w:rPr>
          <w:b/>
        </w:rPr>
        <w:t>CACE analysis</w:t>
      </w:r>
    </w:p>
    <w:p w14:paraId="4EAB52F7" w14:textId="77777777" w:rsidR="00627085" w:rsidRPr="00355112" w:rsidRDefault="00627085" w:rsidP="00627085">
      <w:pPr>
        <w:rPr>
          <w:b/>
        </w:rPr>
      </w:pPr>
    </w:p>
    <w:p w14:paraId="1D9AB343" w14:textId="3B53B542" w:rsidR="00627085" w:rsidRPr="00355112" w:rsidRDefault="00627085" w:rsidP="00627085">
      <w:r w:rsidRPr="00355112">
        <w:t xml:space="preserve">The ITT analysis will provide a conservative (or underestimated) treatment effect when schools do not adhere to the intervention </w:t>
      </w:r>
      <w:r w:rsidRPr="00355112">
        <w:fldChar w:fldCharType="begin" w:fldLock="1"/>
      </w:r>
      <w:r w:rsidR="0058170C">
        <w:instrText>ADDIN CSL_CITATION {"citationItems":[{"id":"ITEM-1","itemData":{"DOI":"10.1177/1740774511420743","ISSN":"17407745","abstract":"Background The intention-to-treat comparison is the primary, if not the only, analytic approach of many randomized clinical trials. Purpose To review the shortcomings of intention-to-treat analyses, and of 'as treated' and 'per protocol' analyses as commonly implemented, with an emphasis on problems that are especially relevant for comparative effectiveness research. Methods and Results In placebo-controlled randomized clinical trials, intention-to-treat analyses underestimate the treatment effect and are therefore nonconservative for both safety trials and noninferiority trials. In randomized clinical trials with an active comparator, intention-to-treat estimates can overestimate a treatment's effect in the presence of differential adherence. In either case, there is no guarantee that an intention-to-treat analysis estimates the clinical effectiveness of treatment. Inverse probability weighting, g-estimation, and instrumental variable estimation can reduce the bias introduced by nonadherence and loss to follow-up in 'as treated' and 'per protocol' analyses. Limitations These analyse require untestable assumptions, a dose-response model, and time-varying data on confounders and adherence. Conclusions We recommend that all randomized clinical trials with substantial lack of adherence or loss to follow-up are analyzed using different methods. These include an intention-to-treat analysis to estimate the effect of assigned treatment and 'as treated' and 'per protocol' analyses to estimate the effect of treatment after appropriate adjustment via inverse probability weighting or g-estimation. © 2011 The Society for Clinical Trials.","author":[{"dropping-particle":"","family":"Hernán","given":"Miguel A.","non-dropping-particle":"","parse-names":false,"suffix":""},{"dropping-particle":"","family":"Hernández-Díaz","given":"Sonia","non-dropping-particle":"","parse-names":false,"suffix":""}],"container-title":"Clinical Trials","id":"ITEM-1","issue":"1","issued":{"date-parts":[["2012"]]},"page":"48-55","title":"Beyond the intention-to-treat in comparative effectiveness research","type":"article-journal","volume":"9"},"uris":["http://www.mendeley.com/documents/?uuid=4a6efe6b-196a-40bb-9bbc-1ba4e13cd3c8"]}],"mendeley":{"formattedCitation":"(22)","plainTextFormattedCitation":"(22)","previouslyFormattedCitation":"(21)"},"properties":{"noteIndex":0},"schema":"https://github.com/citation-style-language/schema/raw/master/csl-citation.json"}</w:instrText>
      </w:r>
      <w:r w:rsidRPr="00355112">
        <w:fldChar w:fldCharType="separate"/>
      </w:r>
      <w:r w:rsidR="0058170C" w:rsidRPr="0058170C">
        <w:rPr>
          <w:noProof/>
        </w:rPr>
        <w:t>(22)</w:t>
      </w:r>
      <w:r w:rsidRPr="00355112">
        <w:fldChar w:fldCharType="end"/>
      </w:r>
      <w:r w:rsidRPr="00355112">
        <w:t xml:space="preserve">. We therefore estimated a complier average causal effect (CACE, or local average causal effect, LATE) to estimate the average treatment effect in the population of compliers. The CACE was estimated under one-sided non-compliance, by fitting an instrumental variable (IV) model using the two-stage least squares method. The IV model included the assigned treatment as the instrumental variable and adjusted for the stratification variable (school gender type) and baseline values of the respective outcome measure. In line with the analysis of the primary outcome </w:t>
      </w:r>
      <w:r w:rsidRPr="00355112">
        <w:fldChar w:fldCharType="begin" w:fldLock="1"/>
      </w:r>
      <w:r w:rsidR="0058170C">
        <w:instrText>ADDIN CSL_CITATION {"citationItems":[{"id":"ITEM-1","itemData":{"DOI":"https://educationendowmentfoundation.org.uk/public/files/FitToStudy.pdf","ISSN":"2398-2128","abstract":"There is growing neuroscientific evidence that physical activity has positive effects on brain and cognition. This offers a potential powerful route for impacting on educational attainment by targeting physical activity. Meanwhile, levels of physical activity among UK schoolchildren are shockingly low, with the vast majority of children failing to reach recommended activity targets. 'Fit to Study' is a research project, funded by the Education Endowment Foundation and the Wellcome Trust, which aims to investigate the effects of school-based physical activity on academic outcomes. Fit to Study is being jointly run by the University of Oxford and Oxford Brookes University. We are recruiting 100 secondary schools to participate in the trial. This talk will discuss the aims and rationale for the Fit to Study project. We will also share insights gained through our pilot phase, which has provided useful experience of implementing large scale trials in a school setting.","author":[{"dropping-particle":"","family":"Husain","given":"Fatima","non-dropping-particle":"","parse-names":false,"suffix":""},{"dropping-particle":"","family":"Bartasevicius","given":"Vainius","non-dropping-particle":"","parse-names":false,"suffix":""},{"dropping-particle":"","family":"Marshall","given":"Lydia","non-dropping-particle":"","parse-names":false,"suffix":""},{"dropping-particle":"","family":"Chidley","given":"Sandy","non-dropping-particle":"","parse-names":false,"suffix":""},{"dropping-particle":"","family":"Forsyth","given":"Emma","non-dropping-particle":"","parse-names":false,"suffix":""}],"id":"ITEM-1","issue":"September","issued":{"date-parts":[["2019"]]},"title":"Fit to study. Evaluation report.","type":"report"},"uris":["http://www.mendeley.com/documents/?uuid=088aa1f9-ed0e-4d2e-94d0-02af3974df7a"]}],"mendeley":{"formattedCitation":"(16)","plainTextFormattedCitation":"(16)","previouslyFormattedCitation":"(16)"},"properties":{"noteIndex":0},"schema":"https://github.com/citation-style-language/schema/raw/master/csl-citation.json"}</w:instrText>
      </w:r>
      <w:r w:rsidRPr="00355112">
        <w:fldChar w:fldCharType="separate"/>
      </w:r>
      <w:r w:rsidR="00AF1BDE" w:rsidRPr="00AF1BDE">
        <w:rPr>
          <w:noProof/>
        </w:rPr>
        <w:t>(16)</w:t>
      </w:r>
      <w:r w:rsidRPr="00355112">
        <w:fldChar w:fldCharType="end"/>
      </w:r>
      <w:r w:rsidRPr="00355112">
        <w:t xml:space="preserve">, we used the compliance estimates of the post-intervention teacher-reported school survey as primary compliance metric. A total of 22 intervention schools (of 29 at posttest) provided compliance information. Intervention schools in which the intervention was delivered in &gt; 50% of PE lessons were classified as compliant. Schools that did not provide compliance data were assumed to be non-compliant. The control group was included in the IV model with their treatment received set to 0. </w:t>
      </w:r>
    </w:p>
    <w:p w14:paraId="52DBC989" w14:textId="77777777" w:rsidR="00627085" w:rsidRPr="00355112" w:rsidRDefault="00627085" w:rsidP="00627085">
      <w:pPr>
        <w:rPr>
          <w:sz w:val="20"/>
          <w:szCs w:val="20"/>
        </w:rPr>
      </w:pPr>
    </w:p>
    <w:p w14:paraId="54CF6F73" w14:textId="77777777" w:rsidR="00627085" w:rsidRDefault="00627085" w:rsidP="00627085">
      <w:pPr>
        <w:rPr>
          <w:b/>
        </w:rPr>
      </w:pPr>
      <w:r>
        <w:rPr>
          <w:b/>
        </w:rPr>
        <w:t>Missing data</w:t>
      </w:r>
    </w:p>
    <w:p w14:paraId="34F37116" w14:textId="77777777" w:rsidR="00627085" w:rsidRPr="00355112" w:rsidRDefault="00627085" w:rsidP="00627085">
      <w:pPr>
        <w:rPr>
          <w:b/>
        </w:rPr>
      </w:pPr>
    </w:p>
    <w:p w14:paraId="7A461874" w14:textId="77777777" w:rsidR="00627085" w:rsidRDefault="00627085" w:rsidP="00627085">
      <w:pPr>
        <w:rPr>
          <w:i/>
        </w:rPr>
      </w:pPr>
      <w:r w:rsidRPr="000E468A">
        <w:rPr>
          <w:i/>
        </w:rPr>
        <w:t>Primary analysis</w:t>
      </w:r>
    </w:p>
    <w:p w14:paraId="358BA9A6" w14:textId="263F35B5" w:rsidR="009A2DF7" w:rsidRPr="006215BE" w:rsidRDefault="009A2DF7" w:rsidP="00E720A7">
      <w:r w:rsidRPr="006215BE">
        <w:t>Pupils with missing outcome data were more likely to be male, from a lower socioeconomic background (i.e. eFSM) and to have completed the baseline assessments at school</w:t>
      </w:r>
      <w:r w:rsidR="003A43AA">
        <w:t xml:space="preserve"> (</w:t>
      </w:r>
      <w:r w:rsidR="003A43AA" w:rsidRPr="00DA3D4A">
        <w:rPr>
          <w:i/>
        </w:rPr>
        <w:t>p</w:t>
      </w:r>
      <w:r w:rsidR="003A43AA">
        <w:t xml:space="preserve"> &lt; 0.05)</w:t>
      </w:r>
      <w:r w:rsidRPr="006215BE">
        <w:t xml:space="preserve">. Moreover, for each assessment, pupils with more favourable outcomes at baseline were less likely to have missing outcome data. </w:t>
      </w:r>
      <w:r w:rsidR="003A43AA">
        <w:t>School-level variables did not significantly predict school drop-out (</w:t>
      </w:r>
      <w:r w:rsidR="003A43AA" w:rsidRPr="00DA3D4A">
        <w:rPr>
          <w:i/>
        </w:rPr>
        <w:t>p</w:t>
      </w:r>
      <w:r w:rsidR="003A43AA">
        <w:t xml:space="preserve"> &gt; 0.05).</w:t>
      </w:r>
    </w:p>
    <w:p w14:paraId="61FD46BD" w14:textId="77777777" w:rsidR="009A2DF7" w:rsidRPr="000E468A" w:rsidRDefault="009A2DF7" w:rsidP="00627085">
      <w:pPr>
        <w:rPr>
          <w:i/>
        </w:rPr>
      </w:pPr>
    </w:p>
    <w:p w14:paraId="6E251492" w14:textId="73883676" w:rsidR="00627085" w:rsidRPr="003636F1" w:rsidRDefault="00627085" w:rsidP="00627085">
      <w:r w:rsidRPr="000E468A">
        <w:t>The dataset was multiply imputed (m = 180 imputations</w:t>
      </w:r>
      <w:r>
        <w:t xml:space="preserve">, determined using a recently proposed two-stage procedure </w:t>
      </w:r>
      <w:r>
        <w:fldChar w:fldCharType="begin" w:fldLock="1"/>
      </w:r>
      <w:r w:rsidR="0058170C">
        <w:instrText>ADDIN CSL_CITATION {"citationItems":[{"id":"ITEM-1","itemData":{"DOI":"10.1177/0049124117747303","ISSN":"0049-1241","abstract":"When using multiple imputation, users often want to know how many imputations they need. An old answer is that 2 to 10 imputations usually suffice, but this recommendation only addresses the efficiency of point estimates. You may need more imputations if, in addition to efficient point estimates, you also want standard error (SE) estimates that would not change (much) if you imputed the data again. For replicable SE estimates, the required number of imputations increases quadratically with the fraction of missing information (not linearly, as previous studies have suggested). I recommend a two-stage procedure in which you conduct a pilot analysis using a small-to-moderate number of imputations, then use the results to calculate the number of imputations that are needed for a final analysis whose SE estimates will have the desired level of replicability. I implement the two-stage procedure using a new Stata command called how_many_imputations (available from SSC) and a new SAS macro called %mi_combine (available from the website missingdata.org).","author":[{"dropping-particle":"","family":"Hippel","given":"Paul T.","non-dropping-particle":"Von","parse-names":false,"suffix":""}],"container-title":"Sociological Methods &amp; Research","id":"ITEM-1","issue":"3","issued":{"date-parts":[["2020"]]},"page":"699-718","title":"How Many Imputations Do You Need? A Two-stage Calculation Using a Quadratic Rule","type":"article-journal","volume":"49"},"uris":["http://www.mendeley.com/documents/?uuid=8401815e-160d-4780-81c1-81520627ef30"]}],"mendeley":{"formattedCitation":"(23)","plainTextFormattedCitation":"(23)","previouslyFormattedCitation":"(22)"},"properties":{"noteIndex":0},"schema":"https://github.com/citation-style-language/schema/raw/master/csl-citation.json"}</w:instrText>
      </w:r>
      <w:r>
        <w:fldChar w:fldCharType="separate"/>
      </w:r>
      <w:r w:rsidR="0058170C" w:rsidRPr="0058170C">
        <w:rPr>
          <w:noProof/>
        </w:rPr>
        <w:t>(23)</w:t>
      </w:r>
      <w:r>
        <w:fldChar w:fldCharType="end"/>
      </w:r>
      <w:r w:rsidRPr="000E468A">
        <w:t>) using multilevel multiple imputation by chained equations (MICE)</w:t>
      </w:r>
      <w:r w:rsidRPr="00297ACB">
        <w:t xml:space="preserve"> </w:t>
      </w:r>
      <w:r w:rsidRPr="000E468A">
        <w:t>in R. The imputation model included all variables that were part of the analysis model, as well as any variables that were associated (</w:t>
      </w:r>
      <w:r w:rsidRPr="00DA3D4A">
        <w:rPr>
          <w:i/>
        </w:rPr>
        <w:t>r</w:t>
      </w:r>
      <w:r w:rsidRPr="000E468A">
        <w:t xml:space="preserve"> &gt; 0.4) with variables in those models or related with missingness in variables in the analysis model </w:t>
      </w:r>
      <w:r w:rsidRPr="000E468A">
        <w:fldChar w:fldCharType="begin" w:fldLock="1"/>
      </w:r>
      <w:r w:rsidR="0058170C">
        <w:instrText>ADDIN CSL_CITATION {"citationItems":[{"id":"ITEM-1","itemData":{"ISBN":"0429960352","author":[{"dropping-particle":"","family":"Buuren","given":"Stef","non-dropping-particle":"Van","parse-names":false,"suffix":""}],"id":"ITEM-1","issued":{"date-parts":[["2018"]]},"publisher":"Chapman and Hall/CRC","title":"Flexible imputation of missing data","type":"book"},"uris":["http://www.mendeley.com/documents/?uuid=4d66655f-f997-4003-beab-949c0711df52"]},{"id":"ITEM-2","itemData":{"author":[{"dropping-particle":"","family":"Buuren","given":"S","non-dropping-particle":"Van","parse-names":false,"suffix":""},{"dropping-particle":"","family":"Boshuizen","given":"H C","non-dropping-particle":"","parse-names":false,"suffix":""},{"dropping-particle":"","family":"Knook","given":"D L","non-dropping-particle":"","parse-names":false,"suffix":""}],"container-title":"Statistics in Medicine","id":"ITEM-2","issued":{"date-parts":[["1999"]]},"page":"681-694","title":"Multiple imputation of missing blood pressure covariates in survival analysis","type":"article-journal","volume":"18"},"uris":["http://www.mendeley.com/documents/?uuid=1f0ebcec-df7b-4a3b-a5e1-844df1e20fcf"]}],"mendeley":{"formattedCitation":"(24,25)","plainTextFormattedCitation":"(24,25)","previouslyFormattedCitation":"(23,24)"},"properties":{"noteIndex":0},"schema":"https://github.com/citation-style-language/schema/raw/master/csl-citation.json"}</w:instrText>
      </w:r>
      <w:r w:rsidRPr="000E468A">
        <w:fldChar w:fldCharType="separate"/>
      </w:r>
      <w:r w:rsidR="0058170C" w:rsidRPr="0058170C">
        <w:rPr>
          <w:noProof/>
        </w:rPr>
        <w:t>(24,25)</w:t>
      </w:r>
      <w:r w:rsidRPr="000E468A">
        <w:fldChar w:fldCharType="end"/>
      </w:r>
      <w:r w:rsidRPr="000E468A">
        <w:t xml:space="preserve">. </w:t>
      </w:r>
      <w:r>
        <w:t xml:space="preserve">Models that contained all cognitive assessment date variables (i.e. </w:t>
      </w:r>
      <w:r>
        <w:rPr>
          <w:i/>
        </w:rPr>
        <w:t xml:space="preserve">when </w:t>
      </w:r>
      <w:r>
        <w:t xml:space="preserve">assessments were conducted) at post-test resulted in errors. </w:t>
      </w:r>
      <w:r w:rsidRPr="000E468A">
        <w:t>Given that (1) only 37 participants (of 6</w:t>
      </w:r>
      <w:r>
        <w:t>,</w:t>
      </w:r>
      <w:r w:rsidRPr="000E468A">
        <w:t>174) completed a cognitive assessment during su</w:t>
      </w:r>
      <w:r w:rsidRPr="003636F1">
        <w:t xml:space="preserve">mmer or autumn </w:t>
      </w:r>
      <w:r>
        <w:t xml:space="preserve">term </w:t>
      </w:r>
      <w:r w:rsidRPr="003636F1">
        <w:t xml:space="preserve">at posttest, and (2) the reaction time task was always completed first, we </w:t>
      </w:r>
      <w:r>
        <w:t xml:space="preserve">therefore </w:t>
      </w:r>
      <w:r w:rsidRPr="003636F1">
        <w:t>decided to only include the variable indicating when</w:t>
      </w:r>
      <w:r w:rsidRPr="003636F1">
        <w:rPr>
          <w:i/>
        </w:rPr>
        <w:t xml:space="preserve"> </w:t>
      </w:r>
      <w:r w:rsidRPr="003636F1">
        <w:t>the re</w:t>
      </w:r>
      <w:r>
        <w:t xml:space="preserve">action time task was completed. An overview of all variables included in the imputation model is provided in Additional File </w:t>
      </w:r>
      <w:r w:rsidR="00C439E6">
        <w:t>4</w:t>
      </w:r>
      <w:r>
        <w:t xml:space="preserve"> (Table 3). Moreover, due to computational issues, we removed some variables from the final set of imputation models, reported in Additional file </w:t>
      </w:r>
      <w:r w:rsidR="00C439E6">
        <w:t>4</w:t>
      </w:r>
      <w:bookmarkStart w:id="0" w:name="_GoBack"/>
      <w:bookmarkEnd w:id="0"/>
      <w:r>
        <w:t xml:space="preserve"> (Table 4). </w:t>
      </w:r>
    </w:p>
    <w:p w14:paraId="1F931DC0" w14:textId="77777777" w:rsidR="00627085" w:rsidRDefault="00627085" w:rsidP="00627085"/>
    <w:p w14:paraId="69E91A33" w14:textId="763CFFEE" w:rsidR="00627085" w:rsidRPr="000E468A" w:rsidRDefault="00627085" w:rsidP="00627085">
      <w:r w:rsidRPr="00297ACB">
        <w:t xml:space="preserve">Continuous variables were imputed using a two-level normal model with homogeneous within group variances (PAN) and categorical variables using two-level predictive mean matching. The data was imputed separately by treatment group to allow group-specific covariance structures, thereby preserving all two-way interactions between the treatment group and other variables in the imputation model </w:t>
      </w:r>
      <w:r w:rsidRPr="00297ACB">
        <w:fldChar w:fldCharType="begin" w:fldLock="1"/>
      </w:r>
      <w:r w:rsidR="0058170C">
        <w:instrText>ADDIN CSL_CITATION {"citationItems":[{"id":"ITEM-1","itemData":{"DOI":"10.1080/10705511.2011.532695","ISSN":"10705511","abstract":"Although structural equation modeling software packages use maximum likelihood estimation by default, there are situations where one might prefer to use multiple imputation to handle missing data rather than maximum likelihood estimation (e.g., when incorporating auxiliary variables). The selection of variables is one of the nuances associated with implementing multiple imputation, because the imputer must take special care to preserve any associations or special features of the data that will be modeled in the subsequent analysis. For example, this article deals with multiple group models that are commonly used to examine moderation effects in psychology and the behavioral sciences. Special care must be exercised when using multiple imputation with multiple group models, as failing to preserve the interactive effects during the imputation phase can produce biased parameter estimates in the subsequent analysis phase, even when the data are missing completely at random or missing at random. This study investigates two imputation strategies that have been proposed in the literature, product term imputation and separate group imputation. A series of simulation studies shows that separate group imputation adequately preserves the multiple group data structure and produces accurate parameter estimates. © Taylor &amp; Francis Group, LLC.","author":[{"dropping-particle":"","family":"Enders","given":"Craig K.","non-dropping-particle":"","parse-names":false,"suffix":""},{"dropping-particle":"","family":"Gottschall","given":"Amanda C.","non-dropping-particle":"","parse-names":false,"suffix":""}],"container-title":"Structural Equation Modeling","id":"ITEM-1","issue":"1","issued":{"date-parts":[["2011"]]},"page":"35-54","title":"Multiple imputation strategies for multiple group structural equation models","type":"article-journal","volume":"18"},"uris":["http://www.mendeley.com/documents/?uuid=174e3c25-e589-468e-a67d-57d5fa1910c0"]}],"mendeley":{"formattedCitation":"(26)","plainTextFormattedCitation":"(26)","previouslyFormattedCitation":"(25)"},"properties":{"noteIndex":0},"schema":"https://github.com/citation-style-language/schema/raw/master/csl-citation.json"}</w:instrText>
      </w:r>
      <w:r w:rsidRPr="00297ACB">
        <w:fldChar w:fldCharType="separate"/>
      </w:r>
      <w:r w:rsidR="0058170C" w:rsidRPr="0058170C">
        <w:rPr>
          <w:noProof/>
        </w:rPr>
        <w:t>(26)</w:t>
      </w:r>
      <w:r w:rsidRPr="00297ACB">
        <w:fldChar w:fldCharType="end"/>
      </w:r>
      <w:r w:rsidRPr="00297ACB">
        <w:t xml:space="preserve">. The imputations were visually checked for convergence and estimates were pooled using Rubin’s rules </w:t>
      </w:r>
      <w:r w:rsidRPr="00297ACB">
        <w:fldChar w:fldCharType="begin" w:fldLock="1"/>
      </w:r>
      <w:r w:rsidR="0058170C">
        <w:instrText>ADDIN CSL_CITATION {"citationItems":[{"id":"ITEM-1","itemData":{"author":[{"dropping-particle":"","family":"Rubin","given":"Donald B","non-dropping-particle":"","parse-names":false,"suffix":""}],"id":"ITEM-1","issued":{"date-parts":[["1987"]]},"publisher":"Wiley","publisher-place":"New-York","title":"Multiple Imputation for NonResponse in Surveys","type":"book"},"uris":["http://www.mendeley.com/documents/?uuid=31ee48d0-57d5-4011-a2e8-40fa9493db15"]}],"mendeley":{"formattedCitation":"(27)","plainTextFormattedCitation":"(27)","previouslyFormattedCitation":"(26)"},"properties":{"noteIndex":0},"schema":"https://github.com/citation-style-language/schema/raw/master/csl-citation.json"}</w:instrText>
      </w:r>
      <w:r w:rsidRPr="00297ACB">
        <w:fldChar w:fldCharType="separate"/>
      </w:r>
      <w:r w:rsidR="0058170C" w:rsidRPr="0058170C">
        <w:rPr>
          <w:noProof/>
        </w:rPr>
        <w:t>(27)</w:t>
      </w:r>
      <w:r w:rsidRPr="00297ACB">
        <w:fldChar w:fldCharType="end"/>
      </w:r>
      <w:r w:rsidRPr="00297ACB">
        <w:t xml:space="preserve">. </w:t>
      </w:r>
    </w:p>
    <w:p w14:paraId="2E9F135C" w14:textId="77777777" w:rsidR="00627085" w:rsidRDefault="00627085" w:rsidP="00627085">
      <w:pPr>
        <w:tabs>
          <w:tab w:val="left" w:pos="900"/>
        </w:tabs>
      </w:pPr>
    </w:p>
    <w:p w14:paraId="27B67B6D" w14:textId="77777777" w:rsidR="00627085" w:rsidRDefault="00627085" w:rsidP="00627085">
      <w:pPr>
        <w:tabs>
          <w:tab w:val="left" w:pos="900"/>
        </w:tabs>
        <w:rPr>
          <w:i/>
        </w:rPr>
      </w:pPr>
      <w:r>
        <w:rPr>
          <w:i/>
        </w:rPr>
        <w:t>CACE analysis</w:t>
      </w:r>
    </w:p>
    <w:p w14:paraId="1EA9D79F" w14:textId="77777777" w:rsidR="00D33DED" w:rsidRDefault="00627085" w:rsidP="00627085">
      <w:r>
        <w:t xml:space="preserve">We separately imputed the data for the complier average causal effect (CACE) analysis, given the large amount of missingness in the fidelity measure. The imputation models were identical to the ones included in the primary multiple imputation analysis, with the addition </w:t>
      </w:r>
      <w:r>
        <w:lastRenderedPageBreak/>
        <w:t xml:space="preserve">of a compliance indicator. </w:t>
      </w:r>
      <w:r w:rsidRPr="001D027F">
        <w:t>Intervention schools in which the intervention was delivered in &gt; 50% of PE lessons were classified as compliant</w:t>
      </w:r>
      <w:r w:rsidRPr="008C016D">
        <w:t xml:space="preserve"> and all other schools were classified as non-compliant</w:t>
      </w:r>
      <w:r>
        <w:t xml:space="preserve"> (i.e. not receiving the active intervention)</w:t>
      </w:r>
      <w:r w:rsidRPr="008C016D">
        <w:t xml:space="preserve">. </w:t>
      </w:r>
      <w:r>
        <w:t xml:space="preserve">We opted to multiply impute the data for the CACE analysis separately for several reasons: (1) the compliance measure that was used for the CACE analysis was missing for 24 out of 46 (i.e. 52%) intervention schools, that were assumed to be non-compliant with the intervention, and (2) the measure was deemed a proxy of compliance, given that it was reported by teachers following the intervention period, making it subject to various forms of bias (e.g. recall bias). </w:t>
      </w:r>
    </w:p>
    <w:p w14:paraId="74C1AC20" w14:textId="77777777" w:rsidR="00537563" w:rsidRDefault="00537563" w:rsidP="00627085"/>
    <w:p w14:paraId="44F53EC3" w14:textId="77777777" w:rsidR="00537563" w:rsidRPr="00E720A7" w:rsidRDefault="00537563" w:rsidP="00627085">
      <w:pPr>
        <w:rPr>
          <w:b/>
        </w:rPr>
      </w:pPr>
      <w:r>
        <w:rPr>
          <w:b/>
        </w:rPr>
        <w:t>Software</w:t>
      </w:r>
    </w:p>
    <w:p w14:paraId="0F75917D" w14:textId="77777777" w:rsidR="00537563" w:rsidRDefault="00537563" w:rsidP="00627085"/>
    <w:p w14:paraId="2C5B294D" w14:textId="3BE28311" w:rsidR="00537563" w:rsidRPr="006215BE" w:rsidRDefault="00537563" w:rsidP="00E720A7">
      <w:r w:rsidRPr="006215BE">
        <w:t xml:space="preserve">The majority of the analyses were conducted in Rstudio </w:t>
      </w:r>
      <w:r w:rsidRPr="006215BE">
        <w:fldChar w:fldCharType="begin" w:fldLock="1"/>
      </w:r>
      <w:r w:rsidR="0058170C">
        <w:instrText>ADDIN CSL_CITATION {"citationItems":[{"id":"ITEM-1","itemData":{"author":[{"dropping-particle":"","family":"RStudio Team","given":"","non-dropping-particle":"","parse-names":false,"suffix":""}],"id":"ITEM-1","issued":{"date-parts":[["2016"]]},"publisher-place":"Boston, MA","title":"RStudio: Integrated Development Environment for R","type":"article"},"uris":["http://www.mendeley.com/documents/?uuid=7a0745ac-99d9-4d14-aa9c-32d5282a6fde"]}],"mendeley":{"formattedCitation":"(28)","plainTextFormattedCitation":"(28)","previouslyFormattedCitation":"(27)"},"properties":{"noteIndex":0},"schema":"https://github.com/citation-style-language/schema/raw/master/csl-citation.json"}</w:instrText>
      </w:r>
      <w:r w:rsidRPr="006215BE">
        <w:fldChar w:fldCharType="separate"/>
      </w:r>
      <w:r w:rsidR="0058170C" w:rsidRPr="0058170C">
        <w:rPr>
          <w:noProof/>
        </w:rPr>
        <w:t>(28)</w:t>
      </w:r>
      <w:r w:rsidRPr="006215BE">
        <w:fldChar w:fldCharType="end"/>
      </w:r>
      <w:r w:rsidRPr="006215BE">
        <w:t xml:space="preserve"> with R (</w:t>
      </w:r>
      <w:r w:rsidRPr="006215BE">
        <w:fldChar w:fldCharType="begin" w:fldLock="1"/>
      </w:r>
      <w:r w:rsidR="0058170C">
        <w:instrText>ADDIN CSL_CITATION {"citationItems":[{"id":"ITEM-1","itemData":{"author":[{"dropping-particle":"","family":"R Core Team","given":"","non-dropping-particle":"","parse-names":false,"suffix":""}],"id":"ITEM-1","issued":{"date-parts":[["2020"]]},"publisher-place":"Vienna, Austria","title":"R: A Language and Environment for Statistical Computing","type":"article"},"uris":["http://www.mendeley.com/documents/?uuid=609b89c8-cff3-4fdc-8ab2-028dbdbf2914"]}],"mendeley":{"formattedCitation":"(29)","plainTextFormattedCitation":"(29)","previouslyFormattedCitation":"(28)"},"properties":{"noteIndex":0},"schema":"https://github.com/citation-style-language/schema/raw/master/csl-citation.json"}</w:instrText>
      </w:r>
      <w:r w:rsidRPr="006215BE">
        <w:fldChar w:fldCharType="separate"/>
      </w:r>
      <w:r w:rsidR="0058170C" w:rsidRPr="0058170C">
        <w:rPr>
          <w:noProof/>
        </w:rPr>
        <w:t>(29)</w:t>
      </w:r>
      <w:r w:rsidRPr="006215BE">
        <w:fldChar w:fldCharType="end"/>
      </w:r>
      <w:r w:rsidRPr="006215BE">
        <w:t xml:space="preserve">, version 4.0) using the </w:t>
      </w:r>
      <w:r w:rsidRPr="006215BE">
        <w:rPr>
          <w:i/>
        </w:rPr>
        <w:t xml:space="preserve">estimatr </w:t>
      </w:r>
      <w:r w:rsidRPr="006215BE">
        <w:t xml:space="preserve">package </w:t>
      </w:r>
      <w:r w:rsidRPr="006215BE">
        <w:fldChar w:fldCharType="begin" w:fldLock="1"/>
      </w:r>
      <w:r w:rsidR="0058170C">
        <w:instrText>ADDIN CSL_CITATION {"citationItems":[{"id":"ITEM-1","itemData":{"author":[{"dropping-particle":"","family":"Blair","given":"Graeme","non-dropping-particle":"","parse-names":false,"suffix":""},{"dropping-particle":"","family":"Cooper","given":"Jasper","non-dropping-particle":"","parse-names":false,"suffix":""},{"dropping-particle":"","family":"Coppock","given":"Alexander","non-dropping-particle":"","parse-names":false,"suffix":""},{"dropping-particle":"","family":"Humphreys","given":"Macartan","non-dropping-particle":"","parse-names":false,"suffix":""},{"dropping-particle":"","family":"Sonnet","given":"Luke","non-dropping-particle":"","parse-names":false,"suffix":""}],"id":"ITEM-1","issued":{"date-parts":[["2020"]]},"note":"R package version 0.22.0","title":"estimatr: Fast Estimators for Design-Based Inference","type":"article"},"uris":["http://www.mendeley.com/documents/?uuid=e7704f7c-cc13-4af5-91eb-1e5ee7b98567"]}],"mendeley":{"formattedCitation":"(30)","plainTextFormattedCitation":"(30)","previouslyFormattedCitation":"(29)"},"properties":{"noteIndex":0},"schema":"https://github.com/citation-style-language/schema/raw/master/csl-citation.json"}</w:instrText>
      </w:r>
      <w:r w:rsidRPr="006215BE">
        <w:fldChar w:fldCharType="separate"/>
      </w:r>
      <w:r w:rsidR="0058170C" w:rsidRPr="0058170C">
        <w:rPr>
          <w:noProof/>
        </w:rPr>
        <w:t>(30)</w:t>
      </w:r>
      <w:r w:rsidRPr="006215BE">
        <w:fldChar w:fldCharType="end"/>
      </w:r>
      <w:r w:rsidRPr="006215BE">
        <w:t xml:space="preserve">. Plots were created using </w:t>
      </w:r>
      <w:r w:rsidRPr="006215BE">
        <w:rPr>
          <w:i/>
        </w:rPr>
        <w:t xml:space="preserve">ggplot2 </w:t>
      </w:r>
      <w:r w:rsidRPr="006215BE">
        <w:rPr>
          <w:i/>
        </w:rPr>
        <w:fldChar w:fldCharType="begin" w:fldLock="1"/>
      </w:r>
      <w:r w:rsidR="0058170C">
        <w:rPr>
          <w:i/>
        </w:rPr>
        <w:instrText>ADDIN CSL_CITATION {"citationItems":[{"id":"ITEM-1","itemData":{"ISBN":"978-3-319-24277-4","author":[{"dropping-particle":"","family":"Wickham","given":"Hadley","non-dropping-particle":"","parse-names":false,"suffix":""}],"id":"ITEM-1","issued":{"date-parts":[["2016"]]},"title":"ggplot2: Elegant Graphics for Data Analysis","type":"article"},"uris":["http://www.mendeley.com/documents/?uuid=98cc8cea-e0ce-4439-b712-41e0415c8eef"]}],"mendeley":{"formattedCitation":"(31)","plainTextFormattedCitation":"(31)","previouslyFormattedCitation":"(30)"},"properties":{"noteIndex":0},"schema":"https://github.com/citation-style-language/schema/raw/master/csl-citation.json"}</w:instrText>
      </w:r>
      <w:r w:rsidRPr="006215BE">
        <w:rPr>
          <w:i/>
        </w:rPr>
        <w:fldChar w:fldCharType="separate"/>
      </w:r>
      <w:r w:rsidR="0058170C" w:rsidRPr="0058170C">
        <w:rPr>
          <w:noProof/>
        </w:rPr>
        <w:t>(31)</w:t>
      </w:r>
      <w:r w:rsidRPr="006215BE">
        <w:rPr>
          <w:i/>
        </w:rPr>
        <w:fldChar w:fldCharType="end"/>
      </w:r>
      <w:r w:rsidRPr="006215BE">
        <w:rPr>
          <w:i/>
        </w:rPr>
        <w:t>.</w:t>
      </w:r>
      <w:r w:rsidRPr="006215BE">
        <w:t xml:space="preserve"> Missing data was imputed using MICE </w:t>
      </w:r>
      <w:r w:rsidRPr="006215BE">
        <w:fldChar w:fldCharType="begin" w:fldLock="1"/>
      </w:r>
      <w:r w:rsidR="0058170C">
        <w:instrText>ADDIN CSL_CITATION {"citationItems":[{"id":"ITEM-1","itemData":{"author":[{"dropping-particle":"","family":"Buuren","given":"Stef","non-dropping-particle":"Van","parse-names":false,"suffix":""},{"dropping-particle":"","family":"Groothuis-oudshoorn","given":"Karin","non-dropping-particle":"","parse-names":false,"suffix":""}],"container-title":"Journal of Statistical Software","id":"ITEM-1","issue":"3","issued":{"date-parts":[["2011"]]},"page":"1-67","title":"MICE: Multivariate Imputation by Chained Equations in R","type":"article-journal","volume":"45"},"uris":["http://www.mendeley.com/documents/?uuid=6ed4a8ba-0449-4596-9794-65c698e92887"]}],"mendeley":{"formattedCitation":"(32)","plainTextFormattedCitation":"(32)","previouslyFormattedCitation":"(31)"},"properties":{"noteIndex":0},"schema":"https://github.com/citation-style-language/schema/raw/master/csl-citation.json"}</w:instrText>
      </w:r>
      <w:r w:rsidRPr="006215BE">
        <w:fldChar w:fldCharType="separate"/>
      </w:r>
      <w:r w:rsidR="0058170C" w:rsidRPr="0058170C">
        <w:rPr>
          <w:noProof/>
        </w:rPr>
        <w:t>(32)</w:t>
      </w:r>
      <w:r w:rsidRPr="006215BE">
        <w:fldChar w:fldCharType="end"/>
      </w:r>
      <w:r w:rsidRPr="006215BE">
        <w:rPr>
          <w:i/>
        </w:rPr>
        <w:t xml:space="preserve"> </w:t>
      </w:r>
      <w:r w:rsidRPr="006215BE">
        <w:t xml:space="preserve">on the high-performance cluster of the Wellcome Centre for Integrative Neuroimaging, Oxford UK (R, version 3.6). The structural equation model was constructed using Mplus 8.4 </w:t>
      </w:r>
      <w:r w:rsidRPr="006215BE">
        <w:fldChar w:fldCharType="begin" w:fldLock="1"/>
      </w:r>
      <w:r w:rsidR="0058170C">
        <w:instrText>ADDIN CSL_CITATION {"citationItems":[{"id":"ITEM-1","itemData":{"author":[{"dropping-particle":"","family":"Muthén","given":"L.K.","non-dropping-particle":"","parse-names":false,"suffix":""},{"dropping-particle":"","family":"Muthén","given":"B.O.","non-dropping-particle":"","parse-names":false,"suffix":""}],"id":"ITEM-1","issued":{"date-parts":[["0"]]},"number":"Eighth Edition","publisher":"Muthén &amp; Muthén","publisher-place":"Los Angeles, CA, USA","title":"Mplus User’s Guide. Eighth Edition.","type":"article"},"uris":["http://www.mendeley.com/documents/?uuid=20a50218-a3a5-453f-8cac-545ef5cb178c"]}],"mendeley":{"formattedCitation":"(33)","plainTextFormattedCitation":"(33)","previouslyFormattedCitation":"(32)"},"properties":{"noteIndex":0},"schema":"https://github.com/citation-style-language/schema/raw/master/csl-citation.json"}</w:instrText>
      </w:r>
      <w:r w:rsidRPr="006215BE">
        <w:fldChar w:fldCharType="separate"/>
      </w:r>
      <w:r w:rsidR="0058170C" w:rsidRPr="0058170C">
        <w:rPr>
          <w:noProof/>
        </w:rPr>
        <w:t>(33)</w:t>
      </w:r>
      <w:r w:rsidRPr="006215BE">
        <w:fldChar w:fldCharType="end"/>
      </w:r>
      <w:r w:rsidRPr="006215BE">
        <w:t xml:space="preserve">. </w:t>
      </w:r>
    </w:p>
    <w:p w14:paraId="404C2DFD" w14:textId="77777777" w:rsidR="00537563" w:rsidRDefault="00537563" w:rsidP="00627085"/>
    <w:p w14:paraId="458D1388" w14:textId="77777777" w:rsidR="00D33DED" w:rsidRDefault="00D33DED">
      <w:r>
        <w:br w:type="page"/>
      </w:r>
    </w:p>
    <w:p w14:paraId="50333354" w14:textId="77777777" w:rsidR="00627085" w:rsidRDefault="00D33DED" w:rsidP="00627085">
      <w:pPr>
        <w:rPr>
          <w:b/>
        </w:rPr>
      </w:pPr>
      <w:r>
        <w:rPr>
          <w:b/>
        </w:rPr>
        <w:lastRenderedPageBreak/>
        <w:t>References</w:t>
      </w:r>
    </w:p>
    <w:p w14:paraId="626401C4" w14:textId="23B3375C" w:rsidR="0058170C" w:rsidRPr="0058170C" w:rsidRDefault="00D33DED" w:rsidP="0058170C">
      <w:pPr>
        <w:widowControl w:val="0"/>
        <w:autoSpaceDE w:val="0"/>
        <w:autoSpaceDN w:val="0"/>
        <w:adjustRightInd w:val="0"/>
        <w:ind w:left="640" w:hanging="640"/>
        <w:rPr>
          <w:noProof/>
          <w:lang w:val="en-US"/>
        </w:rPr>
      </w:pPr>
      <w:r>
        <w:rPr>
          <w:b/>
        </w:rPr>
        <w:fldChar w:fldCharType="begin" w:fldLock="1"/>
      </w:r>
      <w:r>
        <w:rPr>
          <w:b/>
        </w:rPr>
        <w:instrText xml:space="preserve">ADDIN Mendeley Bibliography CSL_BIBLIOGRAPHY </w:instrText>
      </w:r>
      <w:r>
        <w:rPr>
          <w:b/>
        </w:rPr>
        <w:fldChar w:fldCharType="separate"/>
      </w:r>
      <w:r w:rsidR="0058170C" w:rsidRPr="0058170C">
        <w:rPr>
          <w:noProof/>
          <w:lang w:val="en-US"/>
        </w:rPr>
        <w:t xml:space="preserve">1. </w:t>
      </w:r>
      <w:r w:rsidR="0058170C" w:rsidRPr="0058170C">
        <w:rPr>
          <w:noProof/>
          <w:lang w:val="en-US"/>
        </w:rPr>
        <w:tab/>
        <w:t>Scott JJ, Morgan PJ, Plotnikoff RC, Lubans DR. Reliability and validity of a single</w:t>
      </w:r>
      <w:r w:rsidR="0058170C" w:rsidRPr="0058170C">
        <w:rPr>
          <w:rFonts w:ascii="Cambria Math" w:hAnsi="Cambria Math" w:cs="Cambria Math"/>
          <w:noProof/>
          <w:lang w:val="en-US"/>
        </w:rPr>
        <w:t>‐</w:t>
      </w:r>
      <w:r w:rsidR="0058170C" w:rsidRPr="0058170C">
        <w:rPr>
          <w:noProof/>
          <w:lang w:val="en-US"/>
        </w:rPr>
        <w:t xml:space="preserve">item physical activity measure for adolescents. J Paediatr Child Health. 2015;51(8):787–93. </w:t>
      </w:r>
    </w:p>
    <w:p w14:paraId="31A4A2C8"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 </w:t>
      </w:r>
      <w:r w:rsidRPr="0058170C">
        <w:rPr>
          <w:noProof/>
          <w:lang w:val="en-US"/>
        </w:rPr>
        <w:tab/>
        <w:t xml:space="preserve">Hagger MS, Chatzisarantis N, Biddle SJH, Orbell S. Antecedents of children’s physical activity intentions and behaviour: Predictive validity and longitudinal effects. Psychol Heal. 2001;16(4):391–407. </w:t>
      </w:r>
    </w:p>
    <w:p w14:paraId="14059FAF"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3. </w:t>
      </w:r>
      <w:r w:rsidRPr="0058170C">
        <w:rPr>
          <w:noProof/>
          <w:lang w:val="en-US"/>
        </w:rPr>
        <w:tab/>
        <w:t xml:space="preserve">Phillips LRS, Parfitt G, Rowlands A V. Calibration of the GENEA accelerometer for assessment of physical activity intensity in children. J Sci Med Sport. 2013;16(2):124–8. </w:t>
      </w:r>
    </w:p>
    <w:p w14:paraId="36CBCBED"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4. </w:t>
      </w:r>
      <w:r w:rsidRPr="0058170C">
        <w:rPr>
          <w:noProof/>
          <w:lang w:val="en-US"/>
        </w:rPr>
        <w:tab/>
        <w:t xml:space="preserve">Tomkinson GR, Lang JJ, Tremblay MS, Dale M, Leblanc AG, Belanger K, et al. International normative 20 m shuttle run values from 1142026 children and youth representing 50 countries. Br J Sports Med. 2017;51:1545–54. </w:t>
      </w:r>
    </w:p>
    <w:p w14:paraId="435B0449"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5. </w:t>
      </w:r>
      <w:r w:rsidRPr="0058170C">
        <w:rPr>
          <w:noProof/>
          <w:lang w:val="en-US"/>
        </w:rPr>
        <w:tab/>
        <w:t xml:space="preserve">Batista MB, Cyrino EdS, Arruda M, Dourado AC, Coelho-E-Silva MJ, Ohara D, et al. Validity of equations for estimating VO2peak from the 20-m shuttle run test in adolescents aged 11-13 years. J Strength Cond Res. 2013;27(10):2774–81. </w:t>
      </w:r>
    </w:p>
    <w:p w14:paraId="15C03F69"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6. </w:t>
      </w:r>
      <w:r w:rsidRPr="0058170C">
        <w:rPr>
          <w:noProof/>
          <w:lang w:val="en-US"/>
        </w:rPr>
        <w:tab/>
        <w:t xml:space="preserve">Melo X, Santa-Clara H, Almeida JP, Carnero EA, Sardinha LB, Bruno PM, et al. Comparing several equations that predict peak VO2 using the 20-m multistage-shuttle run-test in 8-10-year-old children. Eur J Appl Physiol. 2011;111(5):839–49. </w:t>
      </w:r>
    </w:p>
    <w:p w14:paraId="0B4D5F49"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7. </w:t>
      </w:r>
      <w:r w:rsidRPr="0058170C">
        <w:rPr>
          <w:noProof/>
          <w:lang w:val="en-US"/>
        </w:rPr>
        <w:tab/>
        <w:t xml:space="preserve">Matsuzaka A, Takahashi Y, Yamazoe M, Kumakura N, Ikeda A, Wilk B, et al. Validity of the multistage 20-m shuttle-run test for Japanese children, adolescents, and adults. Pediatr Exerc Sci. 2004;16(2):113–25. </w:t>
      </w:r>
    </w:p>
    <w:p w14:paraId="324D3994"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8. </w:t>
      </w:r>
      <w:r w:rsidRPr="0058170C">
        <w:rPr>
          <w:noProof/>
          <w:lang w:val="en-US"/>
        </w:rPr>
        <w:tab/>
        <w:t xml:space="preserve">Léger LA, Mercier D, Gadoury C, Lambert J. The multistage 20 metre shuttle run test for aerobic fitness. J Sports Sci. 1988;6(2):93–101. </w:t>
      </w:r>
    </w:p>
    <w:p w14:paraId="57A6B63C"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9. </w:t>
      </w:r>
      <w:r w:rsidRPr="0058170C">
        <w:rPr>
          <w:noProof/>
          <w:lang w:val="en-US"/>
        </w:rPr>
        <w:tab/>
        <w:t xml:space="preserve">Mahar MT, Welk GJ, Rowe DA. Estimation of aerobic fitness from PACER performance with and without body mass index. Meas Phys Educ Exerc Sci. 2018;22(3):239–49. </w:t>
      </w:r>
    </w:p>
    <w:p w14:paraId="31AA02F9"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10. </w:t>
      </w:r>
      <w:r w:rsidRPr="0058170C">
        <w:rPr>
          <w:noProof/>
          <w:lang w:val="en-US"/>
        </w:rPr>
        <w:tab/>
        <w:t xml:space="preserve">Cooper KH. A Means of Assessing Maximal Oxygen Intake. JAMA. 1968;203(3):201–4. </w:t>
      </w:r>
    </w:p>
    <w:p w14:paraId="6240E8DD"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11. </w:t>
      </w:r>
      <w:r w:rsidRPr="0058170C">
        <w:rPr>
          <w:noProof/>
          <w:lang w:val="en-US"/>
        </w:rPr>
        <w:tab/>
        <w:t xml:space="preserve">Grant S, Corbett K, Amjad AM, Wilson J, Aitchison T. A comparison of methods of predicting maximum oxygen uptake. Br J Sports Med. 1995;29(3):147–52. </w:t>
      </w:r>
    </w:p>
    <w:p w14:paraId="6F326164"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12. </w:t>
      </w:r>
      <w:r w:rsidRPr="0058170C">
        <w:rPr>
          <w:noProof/>
          <w:lang w:val="en-US"/>
        </w:rPr>
        <w:tab/>
        <w:t xml:space="preserve">Penry JT, Wilcox AR, Yun J. Validity and reliability analysis of Cooper’s 12-minute run and the multistage shuttle run in healthy adults. J Strength Cond Res. 2011;25(3):597–605. </w:t>
      </w:r>
    </w:p>
    <w:p w14:paraId="7ACF23DF"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13. </w:t>
      </w:r>
      <w:r w:rsidRPr="0058170C">
        <w:rPr>
          <w:noProof/>
          <w:lang w:val="en-US"/>
        </w:rPr>
        <w:tab/>
        <w:t xml:space="preserve">Scott SN, Springer CM, Oody JF, McClanahan MS, Wiseman BD, Kybartas TJ, et al. Development and validation of a PACER prediction equation for VO2peak in 10-to 15-year-old youth. Pediatr Exerc Sci. 2019;31(2):223–8. </w:t>
      </w:r>
    </w:p>
    <w:p w14:paraId="77A02D9A"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14. </w:t>
      </w:r>
      <w:r w:rsidRPr="0058170C">
        <w:rPr>
          <w:noProof/>
          <w:lang w:val="en-US"/>
        </w:rPr>
        <w:tab/>
        <w:t>Husain F. Fit to Study. Evaluation protocol [Internet]. 2016. Available from: https://educationendowmentfoundation.org.uk/projects-and-evaluation/projects/fit-to-study/</w:t>
      </w:r>
    </w:p>
    <w:p w14:paraId="57025612"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15. </w:t>
      </w:r>
      <w:r w:rsidRPr="0058170C">
        <w:rPr>
          <w:noProof/>
          <w:lang w:val="en-US"/>
        </w:rPr>
        <w:tab/>
        <w:t>Bartasevicius V, Jabin N. Statistical Analysis Plan for the efficacy trial of the Fit to Study intervention [Internet]. 2018. Available from: https://educationendowmentfoundation.org.uk/public/files/Projects/Fit_to_Study_SAP_2018.03.15_FINAL.pdf</w:t>
      </w:r>
    </w:p>
    <w:p w14:paraId="0FACC463"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16. </w:t>
      </w:r>
      <w:r w:rsidRPr="0058170C">
        <w:rPr>
          <w:noProof/>
          <w:lang w:val="en-US"/>
        </w:rPr>
        <w:tab/>
        <w:t>Husain F, Bartasevicius V, Marshall L, Chidley S, Forsyth E. Fit to study. Evaluation report. [Internet]. 2019. Available from: https://educationendowmentfoundation.org.uk/public/files/FitToStudy.pdf</w:t>
      </w:r>
    </w:p>
    <w:p w14:paraId="71F6C741"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17. </w:t>
      </w:r>
      <w:r w:rsidRPr="0058170C">
        <w:rPr>
          <w:noProof/>
          <w:lang w:val="en-US"/>
        </w:rPr>
        <w:tab/>
        <w:t xml:space="preserve">Dong N, Maynard R. PowerUp!: A Tool for Calculating Minimum Detectable Effect Sizes and Minimum Required Sample Sizes for Experimental and Quasi-Experimental Design Studies. J Res Educ Eff. 2013;6(1):24–67. </w:t>
      </w:r>
    </w:p>
    <w:p w14:paraId="2346F8C8"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lastRenderedPageBreak/>
        <w:t xml:space="preserve">18. </w:t>
      </w:r>
      <w:r w:rsidRPr="0058170C">
        <w:rPr>
          <w:noProof/>
          <w:lang w:val="en-US"/>
        </w:rPr>
        <w:tab/>
        <w:t xml:space="preserve">Aadland KN, Ommundsen Y, Anderssen SA, Brønnick KS, Moe VF, Resaland GK, et al. Effects of the Active Smarter Kids (ASK) Physical Activity School-based Intervention on Executive Functions: A Cluster-Randomized Controlled Trial. Scand J Educ Res. 2019;63(2):214–28. </w:t>
      </w:r>
    </w:p>
    <w:p w14:paraId="74C2E758"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19. </w:t>
      </w:r>
      <w:r w:rsidRPr="0058170C">
        <w:rPr>
          <w:noProof/>
          <w:lang w:val="en-US"/>
        </w:rPr>
        <w:tab/>
        <w:t xml:space="preserve">Aadland KN, Moe VF, Aadland E, Anderssen SA, Resaland GK, Ommundsen Y. Relationships between physical activity, sedentary time, aerobic fitness, motor skills and executive function and academic performance in children. Ment Health Phys Act. 2017;12:10–8. </w:t>
      </w:r>
    </w:p>
    <w:p w14:paraId="7432213D"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20. </w:t>
      </w:r>
      <w:r w:rsidRPr="0058170C">
        <w:rPr>
          <w:noProof/>
          <w:lang w:val="en-US"/>
        </w:rPr>
        <w:tab/>
        <w:t xml:space="preserve">Berry V, Axford N, Blower S, Taylor RS, Edwards RT, Tobin K, et al. The Effectiveness and Micro-costing Analysis of a Universal, School-Based, Social–Emotional Learning Programme in the UK: A Cluster-Randomised Controlled Trial. School Ment Health. 2016;8(2):238–56. </w:t>
      </w:r>
    </w:p>
    <w:p w14:paraId="42320E2E"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21. </w:t>
      </w:r>
      <w:r w:rsidRPr="0058170C">
        <w:rPr>
          <w:noProof/>
          <w:lang w:val="en-US"/>
        </w:rPr>
        <w:tab/>
        <w:t xml:space="preserve">Kriemler S, Zahner L, Schindler C, Meyer U, Hartmann T, Hebestreit H, et al. Effect of school based physical activity programme (KISS) on fitness and adiposity in primary schoolchildren: cluster randomised controlled trial. BMJ. 2010;340:c785. </w:t>
      </w:r>
    </w:p>
    <w:p w14:paraId="1556DFA4"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22. </w:t>
      </w:r>
      <w:r w:rsidRPr="0058170C">
        <w:rPr>
          <w:noProof/>
          <w:lang w:val="en-US"/>
        </w:rPr>
        <w:tab/>
        <w:t xml:space="preserve">Hernán MA, Hernández-Díaz S. Beyond the intention-to-treat in comparative effectiveness research. Clin Trials. 2012;9(1):48–55. </w:t>
      </w:r>
    </w:p>
    <w:p w14:paraId="40CE63C1"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23. </w:t>
      </w:r>
      <w:r w:rsidRPr="0058170C">
        <w:rPr>
          <w:noProof/>
          <w:lang w:val="en-US"/>
        </w:rPr>
        <w:tab/>
        <w:t xml:space="preserve">Von Hippel PT. How Many Imputations Do You Need? A Two-stage Calculation Using a Quadratic Rule. Sociol Methods Res. 2020;49(3):699–718. </w:t>
      </w:r>
    </w:p>
    <w:p w14:paraId="48D5C066"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24. </w:t>
      </w:r>
      <w:r w:rsidRPr="0058170C">
        <w:rPr>
          <w:noProof/>
          <w:lang w:val="en-US"/>
        </w:rPr>
        <w:tab/>
        <w:t xml:space="preserve">Van Buuren S. Flexible imputation of missing data. Chapman and Hall/CRC; 2018. </w:t>
      </w:r>
    </w:p>
    <w:p w14:paraId="4B42E85D"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25. </w:t>
      </w:r>
      <w:r w:rsidRPr="0058170C">
        <w:rPr>
          <w:noProof/>
          <w:lang w:val="en-US"/>
        </w:rPr>
        <w:tab/>
        <w:t xml:space="preserve">Van Buuren S, Boshuizen HC, Knook DL. Multiple imputation of missing blood pressure covariates in survival analysis. Stat Med. 1999;18:681–94. </w:t>
      </w:r>
    </w:p>
    <w:p w14:paraId="60D9136C"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26. </w:t>
      </w:r>
      <w:r w:rsidRPr="0058170C">
        <w:rPr>
          <w:noProof/>
          <w:lang w:val="en-US"/>
        </w:rPr>
        <w:tab/>
        <w:t xml:space="preserve">Enders CK, Gottschall AC. Multiple imputation strategies for multiple group structural equation models. Struct Equ Model. 2011;18(1):35–54. </w:t>
      </w:r>
    </w:p>
    <w:p w14:paraId="02CAF5B2"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27. </w:t>
      </w:r>
      <w:r w:rsidRPr="0058170C">
        <w:rPr>
          <w:noProof/>
          <w:lang w:val="en-US"/>
        </w:rPr>
        <w:tab/>
        <w:t xml:space="preserve">Rubin DB. Multiple Imputation for NonResponse in Surveys. New-York: Wiley; 1987. </w:t>
      </w:r>
    </w:p>
    <w:p w14:paraId="3F4070E0"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28. </w:t>
      </w:r>
      <w:r w:rsidRPr="0058170C">
        <w:rPr>
          <w:noProof/>
          <w:lang w:val="en-US"/>
        </w:rPr>
        <w:tab/>
        <w:t>RStudio Team. RStudio: Integrated Development Environment for R [Internet]. Boston, MA; 2016. Available from: http://www.rstudio.com/</w:t>
      </w:r>
    </w:p>
    <w:p w14:paraId="26371899"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29. </w:t>
      </w:r>
      <w:r w:rsidRPr="0058170C">
        <w:rPr>
          <w:noProof/>
          <w:lang w:val="en-US"/>
        </w:rPr>
        <w:tab/>
        <w:t>R Core Team. R: A Language and Environment for Statistical Computing [Internet]. Vienna, Austria; 2020. Available from: https://www.r-project.org/</w:t>
      </w:r>
    </w:p>
    <w:p w14:paraId="2AB75A2F"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30. </w:t>
      </w:r>
      <w:r w:rsidRPr="0058170C">
        <w:rPr>
          <w:noProof/>
          <w:lang w:val="en-US"/>
        </w:rPr>
        <w:tab/>
        <w:t>Blair G, Cooper J, Coppock A, Humphreys M, Sonnet L. estimatr: Fast Estimators for Design-Based Inference [Internet]. 2020. Available from: https://cran.r-project.org/package=estimatr</w:t>
      </w:r>
    </w:p>
    <w:p w14:paraId="570B842E"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31. </w:t>
      </w:r>
      <w:r w:rsidRPr="0058170C">
        <w:rPr>
          <w:noProof/>
          <w:lang w:val="en-US"/>
        </w:rPr>
        <w:tab/>
        <w:t>Wickham H. ggplot2: Elegant Graphics for Data Analysis [Internet]. 2016. Available from: https://cran.r-project.org/package=ggplot2</w:t>
      </w:r>
    </w:p>
    <w:p w14:paraId="6FDAC102" w14:textId="77777777" w:rsidR="0058170C" w:rsidRPr="0058170C" w:rsidRDefault="0058170C" w:rsidP="0058170C">
      <w:pPr>
        <w:widowControl w:val="0"/>
        <w:autoSpaceDE w:val="0"/>
        <w:autoSpaceDN w:val="0"/>
        <w:adjustRightInd w:val="0"/>
        <w:ind w:left="640" w:hanging="640"/>
        <w:rPr>
          <w:noProof/>
          <w:lang w:val="en-US"/>
        </w:rPr>
      </w:pPr>
      <w:r w:rsidRPr="0058170C">
        <w:rPr>
          <w:noProof/>
          <w:lang w:val="en-US"/>
        </w:rPr>
        <w:t xml:space="preserve">32. </w:t>
      </w:r>
      <w:r w:rsidRPr="0058170C">
        <w:rPr>
          <w:noProof/>
          <w:lang w:val="en-US"/>
        </w:rPr>
        <w:tab/>
        <w:t xml:space="preserve">Van Buuren S, Groothuis-oudshoorn K. MICE: Multivariate Imputation by Chained Equations in R. J Stat Softw. 2011;45(3):1–67. </w:t>
      </w:r>
    </w:p>
    <w:p w14:paraId="362B63EF" w14:textId="77777777" w:rsidR="0058170C" w:rsidRPr="0058170C" w:rsidRDefault="0058170C" w:rsidP="0058170C">
      <w:pPr>
        <w:widowControl w:val="0"/>
        <w:autoSpaceDE w:val="0"/>
        <w:autoSpaceDN w:val="0"/>
        <w:adjustRightInd w:val="0"/>
        <w:ind w:left="640" w:hanging="640"/>
        <w:rPr>
          <w:noProof/>
        </w:rPr>
      </w:pPr>
      <w:r w:rsidRPr="0058170C">
        <w:rPr>
          <w:noProof/>
          <w:lang w:val="en-US"/>
        </w:rPr>
        <w:t xml:space="preserve">33. </w:t>
      </w:r>
      <w:r w:rsidRPr="0058170C">
        <w:rPr>
          <w:noProof/>
          <w:lang w:val="en-US"/>
        </w:rPr>
        <w:tab/>
        <w:t xml:space="preserve">Muthén LK, Muthén BO. Mplus User’s Guide. Eighth Edition. Los Angeles, CA, USA: Muthén &amp; Muthén; </w:t>
      </w:r>
    </w:p>
    <w:p w14:paraId="539559A8" w14:textId="7BCB05EE" w:rsidR="00D33DED" w:rsidRPr="00D33DED" w:rsidRDefault="00D33DED" w:rsidP="0058170C">
      <w:pPr>
        <w:widowControl w:val="0"/>
        <w:autoSpaceDE w:val="0"/>
        <w:autoSpaceDN w:val="0"/>
        <w:adjustRightInd w:val="0"/>
        <w:ind w:left="640" w:hanging="640"/>
        <w:rPr>
          <w:b/>
        </w:rPr>
      </w:pPr>
      <w:r>
        <w:rPr>
          <w:b/>
        </w:rPr>
        <w:fldChar w:fldCharType="end"/>
      </w:r>
    </w:p>
    <w:p w14:paraId="239D5D25" w14:textId="77777777" w:rsidR="0015371B" w:rsidRPr="00627085" w:rsidRDefault="0015371B" w:rsidP="00627085"/>
    <w:sectPr w:rsidR="0015371B" w:rsidRPr="00627085" w:rsidSect="00A21166">
      <w:footerReference w:type="even" r:id="rId7"/>
      <w:footerReference w:type="default" r:id="rId8"/>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B2DDA" w14:textId="77777777" w:rsidR="00DD6727" w:rsidRDefault="00DD6727" w:rsidP="00A21166">
      <w:r>
        <w:separator/>
      </w:r>
    </w:p>
  </w:endnote>
  <w:endnote w:type="continuationSeparator" w:id="0">
    <w:p w14:paraId="1D7F06CD" w14:textId="77777777" w:rsidR="00DD6727" w:rsidRDefault="00DD6727" w:rsidP="00A21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47041229"/>
      <w:docPartObj>
        <w:docPartGallery w:val="Page Numbers (Bottom of Page)"/>
        <w:docPartUnique/>
      </w:docPartObj>
    </w:sdtPr>
    <w:sdtEndPr>
      <w:rPr>
        <w:rStyle w:val="PageNumber"/>
      </w:rPr>
    </w:sdtEndPr>
    <w:sdtContent>
      <w:p w14:paraId="3FF48571" w14:textId="77777777" w:rsidR="00A21166" w:rsidRDefault="00A21166"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B0103A" w14:textId="77777777" w:rsidR="00A21166" w:rsidRDefault="00A21166" w:rsidP="00A211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6517267"/>
      <w:docPartObj>
        <w:docPartGallery w:val="Page Numbers (Bottom of Page)"/>
        <w:docPartUnique/>
      </w:docPartObj>
    </w:sdtPr>
    <w:sdtEndPr>
      <w:rPr>
        <w:rStyle w:val="PageNumber"/>
      </w:rPr>
    </w:sdtEndPr>
    <w:sdtContent>
      <w:p w14:paraId="48D6D8FE" w14:textId="77777777" w:rsidR="00A21166" w:rsidRDefault="00A21166"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4F72E5" w14:textId="77777777" w:rsidR="00A21166" w:rsidRDefault="00A21166" w:rsidP="00A211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B071F" w14:textId="77777777" w:rsidR="00DD6727" w:rsidRDefault="00DD6727" w:rsidP="00A21166">
      <w:r>
        <w:separator/>
      </w:r>
    </w:p>
  </w:footnote>
  <w:footnote w:type="continuationSeparator" w:id="0">
    <w:p w14:paraId="7110E0C3" w14:textId="77777777" w:rsidR="00DD6727" w:rsidRDefault="00DD6727" w:rsidP="00A211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C5"/>
    <w:rsid w:val="0006594C"/>
    <w:rsid w:val="00066E0D"/>
    <w:rsid w:val="0015371B"/>
    <w:rsid w:val="00163EBE"/>
    <w:rsid w:val="001C3A69"/>
    <w:rsid w:val="003A43AA"/>
    <w:rsid w:val="003C23F4"/>
    <w:rsid w:val="00400344"/>
    <w:rsid w:val="004109E0"/>
    <w:rsid w:val="004F2AEA"/>
    <w:rsid w:val="004F7D2D"/>
    <w:rsid w:val="00531680"/>
    <w:rsid w:val="00537563"/>
    <w:rsid w:val="005678E3"/>
    <w:rsid w:val="0058170C"/>
    <w:rsid w:val="005912F4"/>
    <w:rsid w:val="005B7EBF"/>
    <w:rsid w:val="005D0648"/>
    <w:rsid w:val="005E58C4"/>
    <w:rsid w:val="006019EE"/>
    <w:rsid w:val="00627085"/>
    <w:rsid w:val="0063333E"/>
    <w:rsid w:val="007003E7"/>
    <w:rsid w:val="007079EC"/>
    <w:rsid w:val="00756731"/>
    <w:rsid w:val="007C6AAD"/>
    <w:rsid w:val="007C7152"/>
    <w:rsid w:val="00886276"/>
    <w:rsid w:val="00975015"/>
    <w:rsid w:val="009951F8"/>
    <w:rsid w:val="009A2DF7"/>
    <w:rsid w:val="009C041C"/>
    <w:rsid w:val="009F327B"/>
    <w:rsid w:val="00A11FE3"/>
    <w:rsid w:val="00A21166"/>
    <w:rsid w:val="00A25FCE"/>
    <w:rsid w:val="00A27CDA"/>
    <w:rsid w:val="00A37779"/>
    <w:rsid w:val="00AA37A1"/>
    <w:rsid w:val="00AA517B"/>
    <w:rsid w:val="00AF1BDE"/>
    <w:rsid w:val="00B01452"/>
    <w:rsid w:val="00B10900"/>
    <w:rsid w:val="00B51EA8"/>
    <w:rsid w:val="00B81094"/>
    <w:rsid w:val="00BB25E6"/>
    <w:rsid w:val="00BD138D"/>
    <w:rsid w:val="00C27A95"/>
    <w:rsid w:val="00C30A01"/>
    <w:rsid w:val="00C439E6"/>
    <w:rsid w:val="00C55C97"/>
    <w:rsid w:val="00CB3DC5"/>
    <w:rsid w:val="00CC433E"/>
    <w:rsid w:val="00D33DED"/>
    <w:rsid w:val="00D675FB"/>
    <w:rsid w:val="00D91230"/>
    <w:rsid w:val="00DA3D4A"/>
    <w:rsid w:val="00DD6727"/>
    <w:rsid w:val="00DE4FF6"/>
    <w:rsid w:val="00E15209"/>
    <w:rsid w:val="00E720A7"/>
    <w:rsid w:val="00F34860"/>
    <w:rsid w:val="00FE5826"/>
    <w:rsid w:val="2B5424B0"/>
    <w:rsid w:val="50E56AE6"/>
    <w:rsid w:val="6178F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BC65A"/>
  <w15:chartTrackingRefBased/>
  <w15:docId w15:val="{74626B78-8EBA-EE42-BB0D-A8451123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DC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21166"/>
  </w:style>
  <w:style w:type="paragraph" w:styleId="Footer">
    <w:name w:val="footer"/>
    <w:basedOn w:val="Normal"/>
    <w:link w:val="FooterChar"/>
    <w:uiPriority w:val="99"/>
    <w:unhideWhenUsed/>
    <w:rsid w:val="00A21166"/>
    <w:pPr>
      <w:tabs>
        <w:tab w:val="center" w:pos="4680"/>
        <w:tab w:val="right" w:pos="9360"/>
      </w:tabs>
    </w:pPr>
  </w:style>
  <w:style w:type="character" w:customStyle="1" w:styleId="FooterChar">
    <w:name w:val="Footer Char"/>
    <w:basedOn w:val="DefaultParagraphFont"/>
    <w:link w:val="Footer"/>
    <w:uiPriority w:val="99"/>
    <w:rsid w:val="00A21166"/>
    <w:rPr>
      <w:rFonts w:ascii="Times New Roman" w:eastAsia="Times New Roman" w:hAnsi="Times New Roman" w:cs="Times New Roman"/>
    </w:rPr>
  </w:style>
  <w:style w:type="character" w:styleId="PageNumber">
    <w:name w:val="page number"/>
    <w:basedOn w:val="DefaultParagraphFont"/>
    <w:uiPriority w:val="99"/>
    <w:semiHidden/>
    <w:unhideWhenUsed/>
    <w:rsid w:val="00A21166"/>
  </w:style>
  <w:style w:type="character" w:styleId="CommentReference">
    <w:name w:val="annotation reference"/>
    <w:basedOn w:val="DefaultParagraphFont"/>
    <w:uiPriority w:val="99"/>
    <w:semiHidden/>
    <w:unhideWhenUsed/>
    <w:rsid w:val="00C27A95"/>
    <w:rPr>
      <w:sz w:val="16"/>
      <w:szCs w:val="16"/>
    </w:rPr>
  </w:style>
  <w:style w:type="paragraph" w:styleId="CommentText">
    <w:name w:val="annotation text"/>
    <w:basedOn w:val="Normal"/>
    <w:link w:val="CommentTextChar"/>
    <w:uiPriority w:val="99"/>
    <w:semiHidden/>
    <w:unhideWhenUsed/>
    <w:rsid w:val="00C27A95"/>
    <w:rPr>
      <w:sz w:val="20"/>
      <w:szCs w:val="20"/>
    </w:rPr>
  </w:style>
  <w:style w:type="character" w:customStyle="1" w:styleId="CommentTextChar">
    <w:name w:val="Comment Text Char"/>
    <w:basedOn w:val="DefaultParagraphFont"/>
    <w:link w:val="CommentText"/>
    <w:uiPriority w:val="99"/>
    <w:semiHidden/>
    <w:rsid w:val="00C27A9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27A95"/>
    <w:rPr>
      <w:sz w:val="18"/>
      <w:szCs w:val="18"/>
    </w:rPr>
  </w:style>
  <w:style w:type="character" w:customStyle="1" w:styleId="BalloonTextChar">
    <w:name w:val="Balloon Text Char"/>
    <w:basedOn w:val="DefaultParagraphFont"/>
    <w:link w:val="BalloonText"/>
    <w:uiPriority w:val="99"/>
    <w:semiHidden/>
    <w:rsid w:val="00C27A95"/>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1E48-5960-7845-BEB7-1975C212D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14684</Words>
  <Characters>83704</Characters>
  <Application>Microsoft Office Word</Application>
  <DocSecurity>0</DocSecurity>
  <Lines>697</Lines>
  <Paragraphs>196</Paragraphs>
  <ScaleCrop>false</ScaleCrop>
  <Company/>
  <LinksUpToDate>false</LinksUpToDate>
  <CharactersWithSpaces>98192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3</cp:revision>
  <dcterms:created xsi:type="dcterms:W3CDTF">2021-02-18T15:31:00Z</dcterms:created>
  <dcterms:modified xsi:type="dcterms:W3CDTF">2021-02-18T17:34:00Z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http://www.zotero.org/styles/current-opinion-in-psychology</vt:lpwstr>
  </property>
  <property fmtid="{D5CDD505-2E9C-101B-9397-08002B2CF9AE}" pid="7" name="Mendeley Recent Style Name 2_1">
    <vt:lpwstr>Current Opinion in Psychology</vt:lpwstr>
  </property>
  <property fmtid="{D5CDD505-2E9C-101B-9397-08002B2CF9AE}" pid="8" name="Mendeley Recent Style Id 3_1">
    <vt:lpwstr>http://csl.mendeley.com/styles/276219341/elsevier-harvard-2</vt:lpwstr>
  </property>
  <property fmtid="{D5CDD505-2E9C-101B-9397-08002B2CF9AE}" pid="9" name="Mendeley Recent Style Name 3_1">
    <vt:lpwstr>Elsevier - Harvard (with titles) - T Wassenaar</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http://www.zotero.org/styles/neuroimage</vt:lpwstr>
  </property>
  <property fmtid="{D5CDD505-2E9C-101B-9397-08002B2CF9AE}" pid="13" name="Mendeley Recent Style Name 5_1">
    <vt:lpwstr>NeuroImage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https://csl.mendeley.com/styles/276219341/vancouver-bnpa</vt:lpwstr>
  </property>
  <property fmtid="{D5CDD505-2E9C-101B-9397-08002B2CF9AE}" pid="19" name="Mendeley Recent Style Name 8_1">
    <vt:lpwstr>Vancouver - T Wassenaar</vt:lpwstr>
  </property>
  <property fmtid="{D5CDD505-2E9C-101B-9397-08002B2CF9AE}" pid="20" name="Mendeley Recent Style Id 9_1">
    <vt:lpwstr>http://csl.mendeley.com/styles/276219341/vancouver-bnpa</vt:lpwstr>
  </property>
  <property fmtid="{D5CDD505-2E9C-101B-9397-08002B2CF9AE}" pid="21" name="Mendeley Recent Style Name 9_1">
    <vt:lpwstr>Vancouver - T Wassenaar</vt:lpwstr>
  </property>
  <property fmtid="{D5CDD505-2E9C-101B-9397-08002B2CF9AE}" pid="22" name="Mendeley Citation Style_1">
    <vt:lpwstr>http://csl.mendeley.com/styles/276219341/vancouver-bnpa</vt:lpwstr>
  </property>
  <property fmtid="{D5CDD505-2E9C-101B-9397-08002B2CF9AE}" pid="23" name="Mendeley Document_1">
    <vt:lpwstr>True</vt:lpwstr>
  </property>
  <property fmtid="{D5CDD505-2E9C-101B-9397-08002B2CF9AE}" pid="24" name="Mendeley Unique User Id_1">
    <vt:lpwstr>b4359343-fc34-34c4-86b0-34b45856e7dd</vt:lpwstr>
  </property>
</Properties>
</file>